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Scot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WRAP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3480 MAIN HWY, 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WRAP TECHNOLOGIES, INC.</w:t>
              </w:r>
            </w:hyperlink>
            <w:r>
              <w:rPr/>
              <w:t xml:space="preserve"> [ </w:t>
            </w:r>
            <w:r>
              <w:rPr>
                <w:rFonts w:ascii="Times;serif" w:hAnsi="Times;serif"/>
                <w:color w:val="0000FF"/>
                <w:sz w:val="24"/>
                <w:shd w:fill="FFFFFF" w:val="clear"/>
              </w:rPr>
              <w:t>WRAP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Executive Chairman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07/09/2026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1055"/>
        <w:gridCol w:w="446"/>
        <w:gridCol w:w="609"/>
        <w:gridCol w:w="1270"/>
        <w:gridCol w:w="988"/>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209,353</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w:t>
            </w:r>
            <w:r>
              <w:rPr/>
              <w:t xml:space="preserve"> </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209,353</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r>
              <w:rPr/>
              <w:t xml:space="preserve"> </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Scot Cohen Roth IRA</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6,589,555</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purpose of this Form 4/A is to amend the original Form 4 filed on July 9, 2026 (the "Original Form 4") to correct(i) the quantity of shares of common stock, par value $0.0001 per share ("Common Stock"), of the Issuer the Reporting Person purchased on July 8, 2026, and (ii) the Reporting Person's form of ownership of such shares of Common Stock, in each case, as reported in the Original Form 4. The Original Form 4 reported (i) the purchase of 21,740 shares of Common Stock, when the Reporting Person purchased 209,353 shares of Common Stock, and (ii) that such shares were purchased directly by the Reporting Person, when such shares are directly held by Scot Cohen Roth IRA.</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8913" TargetMode="External"/><Relationship Id="rId5" Type="http://schemas.openxmlformats.org/officeDocument/2006/relationships/hyperlink" Target="http://www.sec.gov/cgi-bin/browse-edgar?action=getcompany&amp;CIK=00017029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3674</Characters>
  <CharactersWithSpaces>4308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