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C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i w:val="false"/>
          <w:caps w:val="false"/>
          <w:smallCaps w:val="false"/>
          <w:sz w:val="20"/>
        </w:rPr>
        <w:t xml:space="preserve">June 30, </w:t>
      </w:r>
      <w:bookmarkStart w:id="5" w:name="xdx_909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0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0_edei--EntityFileNumber_c20250101"/>
      <w:bookmarkEnd w:id="7"/>
      <w:r>
        <w:rPr>
          <w:rFonts w:ascii="Times New Roman;Times;Serif" w:hAnsi="Times New Roman;Times;Serif"/>
          <w:b w:val="false"/>
          <w:i w:val="false"/>
          <w:caps w:val="false"/>
          <w:smallCaps w:val="false"/>
          <w:sz w:val="20"/>
        </w:rPr>
        <w:t>001-38750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525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048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F_edei--EntityRegistrantName_c2025"/>
      <w:bookmarkEnd w:id="8"/>
      <w:r>
        <w:rPr>
          <w:rFonts w:ascii="Times New Roman;Times;Serif" w:hAnsi="Times New Roman;Times;Serif"/>
          <w:b/>
          <w:i w:val="false"/>
          <w:caps w:val="false"/>
          <w:smallCaps w:val="false"/>
          <w:sz w:val="36"/>
        </w:rPr>
        <w:t>Wrap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5_edei--EntityIncorporationStateCo"/>
            <w:bookmarkEnd w:id="9"/>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E_edei--EntityTaxIdentificationNum"/>
            <w:bookmarkEnd w:id="10"/>
            <w:r>
              <w:rPr>
                <w:rFonts w:ascii="Times New Roman;Times;Serif" w:hAnsi="Times New Roman;Times;Serif"/>
                <w:b w:val="false"/>
                <w:i w:val="false"/>
                <w:caps w:val="false"/>
                <w:smallCaps w:val="false"/>
                <w:sz w:val="20"/>
              </w:rPr>
              <w:t>98-0551945</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11" w:name="xdx_906_edei--EntityAddressAddressLine1_"/>
      <w:bookmarkEnd w:id="11"/>
      <w:r>
        <w:rPr>
          <w:rFonts w:ascii="Times New Roman;Times;Serif" w:hAnsi="Times New Roman;Times;Serif"/>
          <w:b w:val="false"/>
          <w:i w:val="false"/>
          <w:caps w:val="false"/>
          <w:smallCaps w:val="false"/>
          <w:sz w:val="20"/>
          <w:u w:val="single"/>
        </w:rPr>
        <w:t xml:space="preserve">3480 Main Hwy, </w:t>
      </w:r>
      <w:bookmarkStart w:id="12" w:name="xdx_906_edei--EntityAddressAddressLine2_"/>
      <w:bookmarkEnd w:id="12"/>
      <w:r>
        <w:rPr>
          <w:rFonts w:ascii="Times New Roman;Times;Serif" w:hAnsi="Times New Roman;Times;Serif"/>
          <w:b w:val="false"/>
          <w:i w:val="false"/>
          <w:caps w:val="false"/>
          <w:smallCaps w:val="false"/>
          <w:sz w:val="20"/>
          <w:u w:val="single"/>
        </w:rPr>
        <w:t>Suite 202</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13" w:name="xdx_909_edei--EntityAddressCityOrTown_c2"/>
      <w:bookmarkEnd w:id="13"/>
      <w:r>
        <w:rPr>
          <w:rFonts w:ascii="Times New Roman;Times;Serif" w:hAnsi="Times New Roman;Times;Serif"/>
          <w:b w:val="false"/>
          <w:i w:val="false"/>
          <w:caps w:val="false"/>
          <w:smallCaps w:val="false"/>
          <w:sz w:val="20"/>
          <w:u w:val="single"/>
        </w:rPr>
        <w:t xml:space="preserve">Miami, </w:t>
      </w:r>
      <w:bookmarkStart w:id="14" w:name="xdx_90A_edei--EntityAddressStateOrProvin"/>
      <w:bookmarkEnd w:id="14"/>
      <w:r>
        <w:rPr>
          <w:rFonts w:ascii="Times New Roman;Times;Serif" w:hAnsi="Times New Roman;Times;Serif"/>
          <w:b w:val="false"/>
          <w:i w:val="false"/>
          <w:caps w:val="false"/>
          <w:smallCaps w:val="false"/>
          <w:sz w:val="20"/>
          <w:u w:val="single"/>
        </w:rPr>
        <w:t xml:space="preserve">Florida </w:t>
      </w:r>
      <w:bookmarkStart w:id="15" w:name="xdx_90C_edei--EntityAddressPostalZipCode"/>
      <w:bookmarkEnd w:id="15"/>
      <w:r>
        <w:rPr>
          <w:rFonts w:ascii="Times New Roman;Times;Serif" w:hAnsi="Times New Roman;Times;Serif"/>
          <w:b w:val="false"/>
          <w:i w:val="false"/>
          <w:caps w:val="false"/>
          <w:smallCaps w:val="false"/>
          <w:sz w:val="20"/>
          <w:u w:val="single"/>
        </w:rPr>
        <w:t>33133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16" w:name="xdx_90F_edei--CityAreaCode_c20250101__20"/>
      <w:bookmarkEnd w:id="16"/>
      <w:r>
        <w:rPr>
          <w:rFonts w:ascii="Times New Roman;Times;Serif" w:hAnsi="Times New Roman;Times;Serif"/>
          <w:b w:val="false"/>
          <w:i w:val="false"/>
          <w:caps w:val="false"/>
          <w:smallCaps w:val="false"/>
          <w:sz w:val="20"/>
          <w:u w:val="single"/>
        </w:rPr>
        <w:t xml:space="preserve">(800) </w:t>
      </w:r>
      <w:bookmarkStart w:id="17" w:name="xdx_904_edei--LocalPhoneNumber_c20250101"/>
      <w:bookmarkEnd w:id="17"/>
      <w:r>
        <w:rPr>
          <w:rFonts w:ascii="Times New Roman;Times;Serif" w:hAnsi="Times New Roman;Times;Serif"/>
          <w:b w:val="false"/>
          <w:i w:val="false"/>
          <w:caps w:val="false"/>
          <w:smallCaps w:val="false"/>
          <w:sz w:val="20"/>
          <w:u w:val="single"/>
        </w:rPr>
        <w:t>583-2652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5010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50101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SecurityExchangeName_c2025"/>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5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2" w:name="xdx_909_edei--EntityInteractiveDataCurre"/>
      <w:bookmarkEnd w:id="22"/>
      <w:r>
        <w:rPr>
          <w:rFonts w:ascii="Times New Roman;Times;Serif" w:hAnsi="Times New Roman;Times;Serif"/>
          <w:b w:val="false"/>
          <w:i w:val="false"/>
          <w:caps w:val="false"/>
          <w:smallCaps w:val="false"/>
          <w:sz w:val="20"/>
        </w:rPr>
        <w:t>Yes ☐ No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925"/>
        <w:gridCol w:w="230"/>
        <w:gridCol w:w="2225"/>
        <w:gridCol w:w="24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5_edei--EntityFilerCategory_c2025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A_edei--EntitySmallBusiness_c20250"/>
            <w:bookmarkEnd w:id="24"/>
            <w:r>
              <w:rPr>
                <w:caps w:val="false"/>
                <w:smallCaps w:val="false"/>
              </w:rPr>
              <w:t>☒</w:t>
            </w:r>
          </w:p>
        </w:tc>
      </w:tr>
      <w:tr>
        <w:trPr/>
        <w:tc>
          <w:tcPr>
            <w:tcW w:w="215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5" w:name="xdx_90D_edei--EntityEmergingGrowthCompan"/>
            <w:bookmarkEnd w:id="25"/>
            <w:r>
              <w:rPr>
                <w:caps w:val="false"/>
                <w:smallCaps w:val="false"/>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9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13, 2025, a total of </w:t>
      </w:r>
      <w:bookmarkStart w:id="27" w:name="xdx_906_edei--EntityCommonStockSharesOut"/>
      <w:bookmarkEnd w:id="27"/>
      <w:r>
        <w:rPr>
          <w:rFonts w:ascii="Times New Roman;Times;Serif" w:hAnsi="Times New Roman;Times;Serif"/>
          <w:b w:val="false"/>
          <w:i w:val="false"/>
          <w:caps w:val="false"/>
          <w:smallCaps w:val="false"/>
          <w:sz w:val="20"/>
        </w:rPr>
        <w:t>50,820,698 shares of the Registrant’s common stock, par value $</w:t>
      </w:r>
      <w:bookmarkStart w:id="28" w:name="xdx_900_edei--EntityListingParValuePerSh"/>
      <w:bookmarkEnd w:id="28"/>
      <w:r>
        <w:rPr>
          <w:rFonts w:ascii="Times New Roman;Times;Serif" w:hAnsi="Times New Roman;Times;Serif"/>
          <w:b w:val="false"/>
          <w:i w:val="false"/>
          <w:caps w:val="false"/>
          <w:smallCaps w:val="false"/>
          <w:sz w:val="20"/>
        </w:rPr>
        <w:t>0.0001 per share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were issued and outstanding.</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jc w:val="center"/>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25"/>
        <w:gridCol w:w="7280"/>
        <w:gridCol w:w="425"/>
      </w:tblGrid>
      <w:tr>
        <w:trPr/>
        <w:tc>
          <w:tcPr>
            <w:tcW w:w="80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80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Interim Financial Statements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 and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0_111_pn3n3_zlUnVgnppgm3"/>
      <w:bookmarkStart w:id="33" w:name="xdx_300_111_pn3n3_zlUnVgnppgm3"/>
      <w:bookmarkEnd w:id="33"/>
    </w:p>
    <w:tbl>
      <w:tblPr>
        <w:tblW w:w="10205" w:type="dxa"/>
        <w:jc w:val="left"/>
        <w:tblInd w:w="0" w:type="dxa"/>
        <w:tblLayout w:type="fixed"/>
        <w:tblCellMar>
          <w:top w:w="0" w:type="dxa"/>
          <w:left w:w="0" w:type="dxa"/>
          <w:bottom w:w="0" w:type="dxa"/>
          <w:right w:w="0" w:type="dxa"/>
        </w:tblCellMar>
      </w:tblPr>
      <w:tblGrid>
        <w:gridCol w:w="7451"/>
        <w:gridCol w:w="60"/>
        <w:gridCol w:w="153"/>
        <w:gridCol w:w="958"/>
        <w:gridCol w:w="104"/>
        <w:gridCol w:w="60"/>
        <w:gridCol w:w="176"/>
        <w:gridCol w:w="1102"/>
        <w:gridCol w:w="141"/>
      </w:tblGrid>
      <w:tr>
        <w:trPr/>
        <w:tc>
          <w:tcPr>
            <w:tcW w:w="74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9_20250630_zLaw6G2NgHQf"/>
            <w:bookmarkEnd w:id="34"/>
          </w:p>
        </w:tc>
        <w:tc>
          <w:tcPr>
            <w:tcW w:w="12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bookmarkStart w:id="35" w:name="xdx_490_20241231_zV2e4tjBayW2"/>
            <w:bookmarkEnd w:id="35"/>
          </w:p>
        </w:tc>
        <w:tc>
          <w:tcPr>
            <w:tcW w:w="141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2024</w:t>
            </w:r>
            <w:bookmarkStart w:id="36" w:name="xdx_408_eus-gaap--AssetsAbstract_iB_zfHN"/>
            <w:bookmarkEnd w:id="36"/>
          </w:p>
        </w:tc>
      </w:tr>
      <w:tr>
        <w:trPr/>
        <w:tc>
          <w:tcPr>
            <w:tcW w:w="745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bookmarkStart w:id="37" w:name="xdx_40C_eus-gaap--AssetsCurrentAbstract_"/>
            <w:bookmarkEnd w:id="37"/>
          </w:p>
        </w:tc>
      </w:tr>
      <w:tr>
        <w:trPr/>
        <w:tc>
          <w:tcPr>
            <w:tcW w:w="745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bookmarkStart w:id="38" w:name="xdx_408_eus-gaap--CashAndCashEquivalents"/>
            <w:bookmarkEnd w:id="38"/>
          </w:p>
        </w:tc>
      </w:tr>
      <w:tr>
        <w:trPr/>
        <w:tc>
          <w:tcPr>
            <w:tcW w:w="745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283"/>
              <w:jc w:val="right"/>
              <w:rPr/>
            </w:pPr>
            <w:r>
              <w:rPr/>
              <w:t>4,177</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3,610</w:t>
            </w:r>
          </w:p>
        </w:tc>
        <w:tc>
          <w:tcPr>
            <w:tcW w:w="141" w:type="dxa"/>
            <w:tcBorders/>
            <w:shd w:fill="CCEEFF" w:val="clear"/>
            <w:vAlign w:val="center"/>
          </w:tcPr>
          <w:p>
            <w:pPr>
              <w:pStyle w:val="TableContents"/>
              <w:bidi w:val="0"/>
              <w:spacing w:before="0" w:after="283"/>
              <w:jc w:val="left"/>
              <w:rPr/>
            </w:pPr>
            <w:r>
              <w:rPr/>
              <w:t> </w:t>
            </w:r>
            <w:bookmarkStart w:id="39" w:name="xdx_405_eus-gaap--AccountsReceivableNetC"/>
            <w:bookmarkEnd w:id="39"/>
          </w:p>
        </w:tc>
      </w:tr>
      <w:tr>
        <w:trPr/>
        <w:tc>
          <w:tcPr>
            <w:tcW w:w="7451" w:type="dxa"/>
            <w:tcBorders/>
            <w:shd w:fill="FFFFFF" w:val="clear"/>
            <w:vAlign w:val="center"/>
          </w:tcPr>
          <w:p>
            <w:pPr>
              <w:pStyle w:val="TableContents"/>
              <w:bidi w:val="0"/>
              <w:spacing w:before="0" w:after="283"/>
              <w:jc w:val="left"/>
              <w:rPr/>
            </w:pPr>
            <w:r>
              <w:rPr/>
              <w:t>Accounts receivable and contract assets,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906</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513</w:t>
            </w:r>
          </w:p>
        </w:tc>
        <w:tc>
          <w:tcPr>
            <w:tcW w:w="141" w:type="dxa"/>
            <w:tcBorders/>
            <w:shd w:fill="FFFFFF" w:val="clear"/>
            <w:vAlign w:val="center"/>
          </w:tcPr>
          <w:p>
            <w:pPr>
              <w:pStyle w:val="TableContents"/>
              <w:bidi w:val="0"/>
              <w:spacing w:before="0" w:after="283"/>
              <w:jc w:val="left"/>
              <w:rPr/>
            </w:pPr>
            <w:r>
              <w:rPr/>
              <w:t> </w:t>
            </w:r>
            <w:bookmarkStart w:id="40" w:name="xdx_40F_eus-gaap--InventoryNet_i02I_maCz"/>
            <w:bookmarkEnd w:id="40"/>
          </w:p>
        </w:tc>
      </w:tr>
      <w:tr>
        <w:trPr/>
        <w:tc>
          <w:tcPr>
            <w:tcW w:w="7451"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5,904</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6,170</w:t>
            </w:r>
          </w:p>
        </w:tc>
        <w:tc>
          <w:tcPr>
            <w:tcW w:w="141" w:type="dxa"/>
            <w:tcBorders/>
            <w:shd w:fill="CCEEFF" w:val="clear"/>
            <w:vAlign w:val="center"/>
          </w:tcPr>
          <w:p>
            <w:pPr>
              <w:pStyle w:val="TableContents"/>
              <w:bidi w:val="0"/>
              <w:spacing w:before="0" w:after="283"/>
              <w:jc w:val="left"/>
              <w:rPr/>
            </w:pPr>
            <w:r>
              <w:rPr/>
              <w:t> </w:t>
            </w:r>
            <w:bookmarkStart w:id="41" w:name="xdx_405_eus-gaap--PrepaidExpenseAndOther"/>
            <w:bookmarkEnd w:id="41"/>
          </w:p>
        </w:tc>
      </w:tr>
      <w:tr>
        <w:trPr/>
        <w:tc>
          <w:tcPr>
            <w:tcW w:w="7451" w:type="dxa"/>
            <w:tcBorders/>
            <w:shd w:fill="FFFFFF" w:val="clear"/>
            <w:vAlign w:val="center"/>
          </w:tcPr>
          <w:p>
            <w:pPr>
              <w:pStyle w:val="TableContents"/>
              <w:bidi w:val="0"/>
              <w:spacing w:before="0" w:after="283"/>
              <w:jc w:val="left"/>
              <w:rPr/>
            </w:pPr>
            <w:r>
              <w:rPr/>
              <w:t>Prepaid expense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334</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178</w:t>
            </w:r>
          </w:p>
        </w:tc>
        <w:tc>
          <w:tcPr>
            <w:tcW w:w="141" w:type="dxa"/>
            <w:tcBorders/>
            <w:shd w:fill="FFFFFF" w:val="clear"/>
            <w:vAlign w:val="center"/>
          </w:tcPr>
          <w:p>
            <w:pPr>
              <w:pStyle w:val="TableContents"/>
              <w:bidi w:val="0"/>
              <w:spacing w:before="0" w:after="283"/>
              <w:jc w:val="left"/>
              <w:rPr/>
            </w:pPr>
            <w:r>
              <w:rPr/>
              <w:t> </w:t>
            </w:r>
            <w:bookmarkStart w:id="42" w:name="xdx_401_eus-gaap--AssetsCurrent_i01TI_mt"/>
            <w:bookmarkEnd w:id="42"/>
          </w:p>
        </w:tc>
      </w:tr>
      <w:tr>
        <w:trPr/>
        <w:tc>
          <w:tcPr>
            <w:tcW w:w="7451"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11,321</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10,471</w:t>
            </w:r>
          </w:p>
        </w:tc>
        <w:tc>
          <w:tcPr>
            <w:tcW w:w="141" w:type="dxa"/>
            <w:tcBorders/>
            <w:shd w:fill="CCEEFF" w:val="clear"/>
            <w:vAlign w:val="center"/>
          </w:tcPr>
          <w:p>
            <w:pPr>
              <w:pStyle w:val="TableContents"/>
              <w:bidi w:val="0"/>
              <w:spacing w:before="0" w:after="283"/>
              <w:jc w:val="left"/>
              <w:rPr/>
            </w:pPr>
            <w:r>
              <w:rPr/>
              <w:t> </w:t>
            </w:r>
            <w:bookmarkStart w:id="43" w:name="xdx_404_eus-gaap--PropertyPlantAndEquipm"/>
            <w:bookmarkEnd w:id="43"/>
          </w:p>
        </w:tc>
      </w:tr>
      <w:tr>
        <w:trPr/>
        <w:tc>
          <w:tcPr>
            <w:tcW w:w="7451"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87</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146</w:t>
            </w:r>
          </w:p>
        </w:tc>
        <w:tc>
          <w:tcPr>
            <w:tcW w:w="141" w:type="dxa"/>
            <w:tcBorders/>
            <w:shd w:fill="FFFFFF" w:val="clear"/>
            <w:vAlign w:val="center"/>
          </w:tcPr>
          <w:p>
            <w:pPr>
              <w:pStyle w:val="TableContents"/>
              <w:bidi w:val="0"/>
              <w:spacing w:before="0" w:after="283"/>
              <w:jc w:val="left"/>
              <w:rPr/>
            </w:pPr>
            <w:r>
              <w:rPr/>
              <w:t> </w:t>
            </w:r>
            <w:bookmarkStart w:id="44" w:name="xdx_401_eus-gaap--OperatingLeaseRightOfU"/>
            <w:bookmarkEnd w:id="44"/>
          </w:p>
        </w:tc>
      </w:tr>
      <w:tr>
        <w:trPr/>
        <w:tc>
          <w:tcPr>
            <w:tcW w:w="7451" w:type="dxa"/>
            <w:tcBorders/>
            <w:shd w:fill="CCEEFF" w:val="clear"/>
            <w:vAlign w:val="center"/>
          </w:tcPr>
          <w:p>
            <w:pPr>
              <w:pStyle w:val="TableContents"/>
              <w:bidi w:val="0"/>
              <w:spacing w:before="0" w:after="283"/>
              <w:jc w:val="left"/>
              <w:rPr>
                <w:b/>
              </w:rPr>
            </w:pPr>
            <w:r>
              <w:rPr>
                <w:b/>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1,814</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1,964</w:t>
            </w:r>
          </w:p>
        </w:tc>
        <w:tc>
          <w:tcPr>
            <w:tcW w:w="141" w:type="dxa"/>
            <w:tcBorders/>
            <w:shd w:fill="CCEEFF" w:val="clear"/>
            <w:vAlign w:val="center"/>
          </w:tcPr>
          <w:p>
            <w:pPr>
              <w:pStyle w:val="TableContents"/>
              <w:bidi w:val="0"/>
              <w:spacing w:before="0" w:after="283"/>
              <w:jc w:val="left"/>
              <w:rPr/>
            </w:pPr>
            <w:r>
              <w:rPr/>
              <w:t> </w:t>
            </w:r>
            <w:bookmarkStart w:id="45" w:name="xdx_400_eus-gaap--IntangibleAssetsNetExc"/>
            <w:bookmarkEnd w:id="45"/>
          </w:p>
        </w:tc>
      </w:tr>
      <w:tr>
        <w:trPr/>
        <w:tc>
          <w:tcPr>
            <w:tcW w:w="7451" w:type="dxa"/>
            <w:tcBorders/>
            <w:shd w:fill="FFFFFF" w:val="clear"/>
            <w:vAlign w:val="center"/>
          </w:tcPr>
          <w:p>
            <w:pPr>
              <w:pStyle w:val="TableContents"/>
              <w:bidi w:val="0"/>
              <w:spacing w:before="0" w:after="283"/>
              <w:jc w:val="left"/>
              <w:rPr>
                <w:b/>
              </w:rPr>
            </w:pPr>
            <w:r>
              <w:rPr>
                <w:b/>
              </w:rPr>
              <w:t>Intangible assets,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2,262</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2,354</w:t>
            </w:r>
          </w:p>
        </w:tc>
        <w:tc>
          <w:tcPr>
            <w:tcW w:w="141" w:type="dxa"/>
            <w:tcBorders/>
            <w:shd w:fill="FFFFFF" w:val="clear"/>
            <w:vAlign w:val="center"/>
          </w:tcPr>
          <w:p>
            <w:pPr>
              <w:pStyle w:val="TableContents"/>
              <w:bidi w:val="0"/>
              <w:spacing w:before="0" w:after="283"/>
              <w:jc w:val="left"/>
              <w:rPr/>
            </w:pPr>
            <w:r>
              <w:rPr/>
              <w:t> </w:t>
            </w:r>
            <w:bookmarkStart w:id="46" w:name="xdx_40B_eus-gaap--OtherAssetsNoncurrent_"/>
            <w:bookmarkEnd w:id="46"/>
          </w:p>
        </w:tc>
      </w:tr>
      <w:tr>
        <w:trPr/>
        <w:tc>
          <w:tcPr>
            <w:tcW w:w="7451" w:type="dxa"/>
            <w:tcBorders/>
            <w:shd w:fill="CCEEFF" w:val="clear"/>
            <w:vAlign w:val="center"/>
          </w:tcPr>
          <w:p>
            <w:pPr>
              <w:pStyle w:val="TableContents"/>
              <w:bidi w:val="0"/>
              <w:spacing w:before="0" w:after="283"/>
              <w:jc w:val="left"/>
              <w:rPr>
                <w:b/>
              </w:rPr>
            </w:pPr>
            <w:r>
              <w:rPr>
                <w:b/>
              </w:rPr>
              <w:t>Other long-term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128</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186</w:t>
            </w:r>
          </w:p>
        </w:tc>
        <w:tc>
          <w:tcPr>
            <w:tcW w:w="141" w:type="dxa"/>
            <w:tcBorders/>
            <w:shd w:fill="CCEEFF" w:val="clear"/>
            <w:vAlign w:val="center"/>
          </w:tcPr>
          <w:p>
            <w:pPr>
              <w:pStyle w:val="TableContents"/>
              <w:bidi w:val="0"/>
              <w:spacing w:before="0" w:after="283"/>
              <w:jc w:val="left"/>
              <w:rPr/>
            </w:pPr>
            <w:r>
              <w:rPr/>
              <w:t> </w:t>
            </w:r>
            <w:bookmarkStart w:id="47" w:name="xdx_405_eus-gaap--Assets_i01TI_mtCzu7A_z"/>
            <w:bookmarkEnd w:id="47"/>
          </w:p>
        </w:tc>
      </w:tr>
      <w:tr>
        <w:trPr/>
        <w:tc>
          <w:tcPr>
            <w:tcW w:w="745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right"/>
              <w:rPr/>
            </w:pPr>
            <w:r>
              <w:rPr/>
              <w:t>15,612</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15,121</w:t>
            </w:r>
          </w:p>
        </w:tc>
        <w:tc>
          <w:tcPr>
            <w:tcW w:w="141" w:type="dxa"/>
            <w:tcBorders/>
            <w:shd w:fill="FFFFFF" w:val="clear"/>
            <w:vAlign w:val="center"/>
          </w:tcPr>
          <w:p>
            <w:pPr>
              <w:pStyle w:val="TableContents"/>
              <w:bidi w:val="0"/>
              <w:spacing w:before="0" w:after="283"/>
              <w:jc w:val="left"/>
              <w:rPr/>
            </w:pPr>
            <w:r>
              <w:rPr/>
              <w:t> </w:t>
            </w:r>
          </w:p>
        </w:tc>
      </w:tr>
      <w:tr>
        <w:trPr/>
        <w:tc>
          <w:tcPr>
            <w:tcW w:w="74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bookmarkStart w:id="48" w:name="xdx_40E_eus-gaap--LiabilitiesAndStockhol"/>
            <w:bookmarkEnd w:id="48"/>
          </w:p>
        </w:tc>
      </w:tr>
      <w:tr>
        <w:trPr/>
        <w:tc>
          <w:tcPr>
            <w:tcW w:w="7451"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bookmarkStart w:id="49" w:name="xdx_40D_eus-gaap--LiabilitiesCurrentAbst"/>
            <w:bookmarkEnd w:id="49"/>
          </w:p>
        </w:tc>
      </w:tr>
      <w:tr>
        <w:trPr/>
        <w:tc>
          <w:tcPr>
            <w:tcW w:w="745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bookmarkStart w:id="50" w:name="xdx_40B_eus-gaap--AccountsPayableCurrent"/>
            <w:bookmarkEnd w:id="50"/>
          </w:p>
        </w:tc>
      </w:tr>
      <w:tr>
        <w:trPr/>
        <w:tc>
          <w:tcPr>
            <w:tcW w:w="745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958" w:type="dxa"/>
            <w:tcBorders/>
            <w:shd w:fill="FFFFFF" w:val="clear"/>
            <w:vAlign w:val="center"/>
          </w:tcPr>
          <w:p>
            <w:pPr>
              <w:pStyle w:val="TableContents"/>
              <w:bidi w:val="0"/>
              <w:spacing w:before="0" w:after="283"/>
              <w:jc w:val="right"/>
              <w:rPr/>
            </w:pPr>
            <w:r>
              <w:rPr/>
              <w:t>583</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609</w:t>
            </w:r>
          </w:p>
        </w:tc>
        <w:tc>
          <w:tcPr>
            <w:tcW w:w="141" w:type="dxa"/>
            <w:tcBorders/>
            <w:shd w:fill="FFFFFF" w:val="clear"/>
            <w:vAlign w:val="center"/>
          </w:tcPr>
          <w:p>
            <w:pPr>
              <w:pStyle w:val="TableContents"/>
              <w:bidi w:val="0"/>
              <w:spacing w:before="0" w:after="283"/>
              <w:jc w:val="left"/>
              <w:rPr/>
            </w:pPr>
            <w:r>
              <w:rPr/>
              <w:t> </w:t>
            </w:r>
            <w:bookmarkStart w:id="51" w:name="xdx_40E_eus-gaap--AccruedLiabilitiesCurr"/>
            <w:bookmarkEnd w:id="51"/>
          </w:p>
        </w:tc>
      </w:tr>
      <w:tr>
        <w:trPr/>
        <w:tc>
          <w:tcPr>
            <w:tcW w:w="7451"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872</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1,403</w:t>
            </w:r>
          </w:p>
        </w:tc>
        <w:tc>
          <w:tcPr>
            <w:tcW w:w="141" w:type="dxa"/>
            <w:tcBorders/>
            <w:shd w:fill="CCEEFF" w:val="clear"/>
            <w:vAlign w:val="center"/>
          </w:tcPr>
          <w:p>
            <w:pPr>
              <w:pStyle w:val="TableContents"/>
              <w:bidi w:val="0"/>
              <w:spacing w:before="0" w:after="283"/>
              <w:jc w:val="left"/>
              <w:rPr/>
            </w:pPr>
            <w:r>
              <w:rPr/>
              <w:t> </w:t>
            </w:r>
            <w:bookmarkStart w:id="52" w:name="xdx_407_ecustom--CurrentLiabilitiesCusto"/>
            <w:bookmarkEnd w:id="52"/>
          </w:p>
        </w:tc>
      </w:tr>
      <w:tr>
        <w:trPr/>
        <w:tc>
          <w:tcPr>
            <w:tcW w:w="7451"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27</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27</w:t>
            </w:r>
          </w:p>
        </w:tc>
        <w:tc>
          <w:tcPr>
            <w:tcW w:w="141" w:type="dxa"/>
            <w:tcBorders/>
            <w:shd w:fill="FFFFFF" w:val="clear"/>
            <w:vAlign w:val="center"/>
          </w:tcPr>
          <w:p>
            <w:pPr>
              <w:pStyle w:val="TableContents"/>
              <w:bidi w:val="0"/>
              <w:spacing w:before="0" w:after="283"/>
              <w:jc w:val="left"/>
              <w:rPr/>
            </w:pPr>
            <w:r>
              <w:rPr/>
              <w:t> </w:t>
            </w:r>
            <w:bookmarkStart w:id="53" w:name="xdx_401_eus-gaap--ContractWithCustomerLi"/>
            <w:bookmarkEnd w:id="53"/>
          </w:p>
        </w:tc>
      </w:tr>
      <w:tr>
        <w:trPr/>
        <w:tc>
          <w:tcPr>
            <w:tcW w:w="7451" w:type="dxa"/>
            <w:tcBorders/>
            <w:shd w:fill="CCEEFF" w:val="clear"/>
            <w:vAlign w:val="center"/>
          </w:tcPr>
          <w:p>
            <w:pPr>
              <w:pStyle w:val="TableContents"/>
              <w:bidi w:val="0"/>
              <w:spacing w:before="0" w:after="283"/>
              <w:jc w:val="left"/>
              <w:rPr/>
            </w:pPr>
            <w:r>
              <w:rPr/>
              <w:t>Deferred revenue - short term</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302</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466</w:t>
            </w:r>
          </w:p>
        </w:tc>
        <w:tc>
          <w:tcPr>
            <w:tcW w:w="141" w:type="dxa"/>
            <w:tcBorders/>
            <w:shd w:fill="CCEEFF" w:val="clear"/>
            <w:vAlign w:val="center"/>
          </w:tcPr>
          <w:p>
            <w:pPr>
              <w:pStyle w:val="TableContents"/>
              <w:bidi w:val="0"/>
              <w:spacing w:before="0" w:after="283"/>
              <w:jc w:val="left"/>
              <w:rPr/>
            </w:pPr>
            <w:r>
              <w:rPr/>
              <w:t> </w:t>
            </w:r>
            <w:bookmarkStart w:id="54" w:name="xdx_406_eus-gaap--OperatingLeaseLiabilit"/>
            <w:bookmarkEnd w:id="54"/>
          </w:p>
        </w:tc>
      </w:tr>
      <w:tr>
        <w:trPr/>
        <w:tc>
          <w:tcPr>
            <w:tcW w:w="7451" w:type="dxa"/>
            <w:tcBorders/>
            <w:shd w:fill="FFFFFF" w:val="clear"/>
            <w:vAlign w:val="center"/>
          </w:tcPr>
          <w:p>
            <w:pPr>
              <w:pStyle w:val="TableContents"/>
              <w:bidi w:val="0"/>
              <w:spacing w:before="0" w:after="283"/>
              <w:jc w:val="left"/>
              <w:rPr/>
            </w:pPr>
            <w:r>
              <w:rPr/>
              <w:t>Operating lease liability - short term</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218</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567</w:t>
            </w:r>
          </w:p>
        </w:tc>
        <w:tc>
          <w:tcPr>
            <w:tcW w:w="141" w:type="dxa"/>
            <w:tcBorders/>
            <w:shd w:fill="FFFFFF" w:val="clear"/>
            <w:vAlign w:val="center"/>
          </w:tcPr>
          <w:p>
            <w:pPr>
              <w:pStyle w:val="TableContents"/>
              <w:bidi w:val="0"/>
              <w:spacing w:before="0" w:after="283"/>
              <w:jc w:val="left"/>
              <w:rPr/>
            </w:pPr>
            <w:r>
              <w:rPr/>
              <w:t> </w:t>
            </w:r>
            <w:bookmarkStart w:id="55" w:name="xdx_401_eus-gaap--WarrantsAndRightsOutst"/>
            <w:bookmarkEnd w:id="55"/>
          </w:p>
        </w:tc>
      </w:tr>
      <w:tr>
        <w:trPr/>
        <w:tc>
          <w:tcPr>
            <w:tcW w:w="7451"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10,131</w:t>
            </w:r>
          </w:p>
        </w:tc>
        <w:tc>
          <w:tcPr>
            <w:tcW w:w="141" w:type="dxa"/>
            <w:tcBorders/>
            <w:shd w:fill="CCEEFF" w:val="clear"/>
            <w:vAlign w:val="center"/>
          </w:tcPr>
          <w:p>
            <w:pPr>
              <w:pStyle w:val="TableContents"/>
              <w:bidi w:val="0"/>
              <w:spacing w:before="0" w:after="283"/>
              <w:jc w:val="left"/>
              <w:rPr/>
            </w:pPr>
            <w:r>
              <w:rPr/>
              <w:t> </w:t>
            </w:r>
            <w:bookmarkStart w:id="56" w:name="xdx_405_eus-gaap--LiabilitiesCurrent_i01"/>
            <w:bookmarkEnd w:id="56"/>
          </w:p>
        </w:tc>
      </w:tr>
      <w:tr>
        <w:trPr/>
        <w:tc>
          <w:tcPr>
            <w:tcW w:w="7451"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2,002</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13,203</w:t>
            </w:r>
          </w:p>
        </w:tc>
        <w:tc>
          <w:tcPr>
            <w:tcW w:w="141" w:type="dxa"/>
            <w:tcBorders/>
            <w:shd w:fill="FFFFFF" w:val="clear"/>
            <w:vAlign w:val="center"/>
          </w:tcPr>
          <w:p>
            <w:pPr>
              <w:pStyle w:val="TableContents"/>
              <w:bidi w:val="0"/>
              <w:spacing w:before="0" w:after="283"/>
              <w:jc w:val="left"/>
              <w:rPr/>
            </w:pPr>
            <w:r>
              <w:rPr/>
              <w:t> </w:t>
            </w:r>
          </w:p>
        </w:tc>
      </w:tr>
      <w:tr>
        <w:trPr/>
        <w:tc>
          <w:tcPr>
            <w:tcW w:w="74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bookmarkStart w:id="57" w:name="xdx_40A_eus-gaap--ContractWithCustomerLi"/>
            <w:bookmarkEnd w:id="57"/>
          </w:p>
        </w:tc>
      </w:tr>
      <w:tr>
        <w:trPr/>
        <w:tc>
          <w:tcPr>
            <w:tcW w:w="7451" w:type="dxa"/>
            <w:tcBorders/>
            <w:shd w:fill="FFFFFF" w:val="clear"/>
            <w:vAlign w:val="center"/>
          </w:tcPr>
          <w:p>
            <w:pPr>
              <w:pStyle w:val="TableContents"/>
              <w:bidi w:val="0"/>
              <w:spacing w:before="0" w:after="283"/>
              <w:jc w:val="left"/>
              <w:rPr/>
            </w:pPr>
            <w:r>
              <w:rPr/>
              <w:t>Deferred revenue – long-term</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23</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39</w:t>
            </w:r>
          </w:p>
        </w:tc>
        <w:tc>
          <w:tcPr>
            <w:tcW w:w="141" w:type="dxa"/>
            <w:tcBorders/>
            <w:shd w:fill="FFFFFF" w:val="clear"/>
            <w:vAlign w:val="center"/>
          </w:tcPr>
          <w:p>
            <w:pPr>
              <w:pStyle w:val="TableContents"/>
              <w:bidi w:val="0"/>
              <w:spacing w:before="0" w:after="283"/>
              <w:jc w:val="left"/>
              <w:rPr/>
            </w:pPr>
            <w:r>
              <w:rPr/>
              <w:t> </w:t>
            </w:r>
            <w:bookmarkStart w:id="58" w:name="xdx_408_eus-gaap--OperatingLeaseLiabilit"/>
            <w:bookmarkEnd w:id="58"/>
          </w:p>
        </w:tc>
      </w:tr>
      <w:tr>
        <w:trPr/>
        <w:tc>
          <w:tcPr>
            <w:tcW w:w="7451" w:type="dxa"/>
            <w:tcBorders/>
            <w:shd w:fill="CCEEFF" w:val="clear"/>
            <w:vAlign w:val="center"/>
          </w:tcPr>
          <w:p>
            <w:pPr>
              <w:pStyle w:val="TableContents"/>
              <w:bidi w:val="0"/>
              <w:spacing w:before="0" w:after="283"/>
              <w:jc w:val="left"/>
              <w:rPr/>
            </w:pPr>
            <w:r>
              <w:rPr/>
              <w:t>Operating lease liability – long-term</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1,826</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1,629</w:t>
            </w:r>
          </w:p>
        </w:tc>
        <w:tc>
          <w:tcPr>
            <w:tcW w:w="141" w:type="dxa"/>
            <w:tcBorders/>
            <w:shd w:fill="CCEEFF" w:val="clear"/>
            <w:vAlign w:val="center"/>
          </w:tcPr>
          <w:p>
            <w:pPr>
              <w:pStyle w:val="TableContents"/>
              <w:bidi w:val="0"/>
              <w:spacing w:before="0" w:after="283"/>
              <w:jc w:val="left"/>
              <w:rPr/>
            </w:pPr>
            <w:r>
              <w:rPr/>
              <w:t> </w:t>
            </w:r>
            <w:bookmarkStart w:id="59" w:name="xdx_401_eus-gaap--LiabilitiesNoncurrent_"/>
            <w:bookmarkEnd w:id="59"/>
          </w:p>
        </w:tc>
      </w:tr>
      <w:tr>
        <w:trPr/>
        <w:tc>
          <w:tcPr>
            <w:tcW w:w="7451"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Total long-term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pPr>
            <w:r>
              <w:rPr/>
              <w:t>1,849</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1,668</w:t>
            </w:r>
          </w:p>
        </w:tc>
        <w:tc>
          <w:tcPr>
            <w:tcW w:w="141" w:type="dxa"/>
            <w:tcBorders/>
            <w:shd w:fill="FFFFFF" w:val="clear"/>
            <w:vAlign w:val="center"/>
          </w:tcPr>
          <w:p>
            <w:pPr>
              <w:pStyle w:val="TableContents"/>
              <w:bidi w:val="0"/>
              <w:spacing w:before="0" w:after="283"/>
              <w:jc w:val="left"/>
              <w:rPr/>
            </w:pPr>
            <w:r>
              <w:rPr/>
              <w:t> </w:t>
            </w:r>
            <w:bookmarkStart w:id="60" w:name="xdx_404_eus-gaap--Liabilities_i01TI_maCz"/>
            <w:bookmarkEnd w:id="60"/>
          </w:p>
        </w:tc>
      </w:tr>
      <w:tr>
        <w:trPr/>
        <w:tc>
          <w:tcPr>
            <w:tcW w:w="745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3,851</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14,871</w:t>
            </w:r>
          </w:p>
        </w:tc>
        <w:tc>
          <w:tcPr>
            <w:tcW w:w="141" w:type="dxa"/>
            <w:tcBorders/>
            <w:shd w:fill="CCEEFF" w:val="clear"/>
            <w:vAlign w:val="center"/>
          </w:tcPr>
          <w:p>
            <w:pPr>
              <w:pStyle w:val="TableContents"/>
              <w:bidi w:val="0"/>
              <w:spacing w:before="0" w:after="283"/>
              <w:jc w:val="left"/>
              <w:rPr/>
            </w:pPr>
            <w:r>
              <w:rPr/>
              <w:t> </w:t>
            </w:r>
          </w:p>
        </w:tc>
      </w:tr>
      <w:tr>
        <w:trPr/>
        <w:tc>
          <w:tcPr>
            <w:tcW w:w="74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bookmarkStart w:id="61" w:name="xdx_40B_eus-gaap--CommitmentsAndContinge"/>
            <w:bookmarkEnd w:id="61"/>
          </w:p>
        </w:tc>
      </w:tr>
      <w:tr>
        <w:trPr/>
        <w:tc>
          <w:tcPr>
            <w:tcW w:w="7451" w:type="dxa"/>
            <w:tcBorders/>
            <w:shd w:fill="CCEEFF" w:val="clear"/>
            <w:vAlign w:val="center"/>
          </w:tcPr>
          <w:p>
            <w:pPr>
              <w:pStyle w:val="TableContents"/>
              <w:bidi w:val="0"/>
              <w:spacing w:before="0" w:after="283"/>
              <w:jc w:val="left"/>
              <w:rPr>
                <w:b/>
              </w:rPr>
            </w:pPr>
            <w:r>
              <w:rPr>
                <w:b/>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r>
      <w:tr>
        <w:trPr/>
        <w:tc>
          <w:tcPr>
            <w:tcW w:w="74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bookmarkStart w:id="62" w:name="xdx_40F_eus-gaap--StockholdersEquityAbst"/>
            <w:bookmarkEnd w:id="62"/>
          </w:p>
        </w:tc>
      </w:tr>
      <w:tr>
        <w:trPr/>
        <w:tc>
          <w:tcPr>
            <w:tcW w:w="7451"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bookmarkStart w:id="63" w:name="xdx_401_eus-gaap--PreferredStockValue_i0"/>
            <w:bookmarkEnd w:id="63"/>
          </w:p>
        </w:tc>
      </w:tr>
      <w:tr>
        <w:trPr/>
        <w:tc>
          <w:tcPr>
            <w:tcW w:w="7451" w:type="dxa"/>
            <w:tcBorders/>
            <w:shd w:fill="FFFFFF" w:val="clear"/>
            <w:vAlign w:val="center"/>
          </w:tcPr>
          <w:p>
            <w:pPr>
              <w:pStyle w:val="TableContents"/>
              <w:bidi w:val="0"/>
              <w:spacing w:before="0" w:after="283"/>
              <w:jc w:val="left"/>
              <w:rPr/>
            </w:pPr>
            <w:r>
              <w:rPr/>
              <w:t xml:space="preserve">Preferred stock - </w:t>
            </w:r>
            <w:bookmarkStart w:id="64" w:name="xdx_90C_eus-gaap--PreferredStockSharesAu"/>
            <w:bookmarkStart w:id="65" w:name="xdx_90E_eus-gaap--PreferredStockSharesAu"/>
            <w:bookmarkEnd w:id="64"/>
            <w:bookmarkEnd w:id="65"/>
            <w:r>
              <w:rPr/>
              <w:t>5,000,000 authorized; par value $</w:t>
            </w:r>
            <w:bookmarkStart w:id="66" w:name="xdx_905_eus-gaap--PreferredStockParOrSta"/>
            <w:bookmarkStart w:id="67" w:name="xdx_908_eus-gaap--PreferredStockParOrSta"/>
            <w:bookmarkEnd w:id="66"/>
            <w:bookmarkEnd w:id="67"/>
            <w:r>
              <w:rPr/>
              <w:t xml:space="preserve">0.0001 per share; </w:t>
            </w:r>
            <w:bookmarkStart w:id="68" w:name="xdx_90A_eus-gaap--PreferredStockSharesOu"/>
            <w:bookmarkStart w:id="69" w:name="xdx_902_eus-gaap--PreferredStockSharesIs"/>
            <w:bookmarkStart w:id="70" w:name="xdx_90D_eus-gaap--PreferredStockSharesOu"/>
            <w:bookmarkStart w:id="71" w:name="xdx_905_eus-gaap--PreferredStockSharesIs"/>
            <w:bookmarkEnd w:id="68"/>
            <w:bookmarkEnd w:id="69"/>
            <w:bookmarkEnd w:id="70"/>
            <w:bookmarkEnd w:id="71"/>
            <w:r>
              <w:rPr/>
              <w:t>0 shares issued and outstanding at June 30,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958"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bookmarkStart w:id="72" w:name="xdx_402_eus-gaap--CommonStockValue_i02I_"/>
            <w:bookmarkEnd w:id="72"/>
          </w:p>
        </w:tc>
      </w:tr>
      <w:tr>
        <w:trPr/>
        <w:tc>
          <w:tcPr>
            <w:tcW w:w="7451" w:type="dxa"/>
            <w:tcBorders/>
            <w:shd w:fill="CCEEFF" w:val="clear"/>
            <w:vAlign w:val="center"/>
          </w:tcPr>
          <w:p>
            <w:pPr>
              <w:pStyle w:val="TableContents"/>
              <w:bidi w:val="0"/>
              <w:spacing w:before="0" w:after="283"/>
              <w:jc w:val="left"/>
              <w:rPr/>
            </w:pPr>
            <w:r>
              <w:rPr/>
              <w:t xml:space="preserve">Common stock - </w:t>
            </w:r>
            <w:bookmarkStart w:id="73" w:name="xdx_901_eus-gaap--CommonStockSharesAutho"/>
            <w:bookmarkStart w:id="74" w:name="xdx_90B_eus-gaap--CommonStockSharesAutho"/>
            <w:bookmarkEnd w:id="73"/>
            <w:bookmarkEnd w:id="74"/>
            <w:r>
              <w:rPr/>
              <w:t>150,000,000 authorized; par value $</w:t>
            </w:r>
            <w:bookmarkStart w:id="75" w:name="xdx_90D_eus-gaap--CommonStockParOrStated"/>
            <w:bookmarkStart w:id="76" w:name="xdx_907_eus-gaap--CommonStockParOrStated"/>
            <w:bookmarkEnd w:id="75"/>
            <w:bookmarkEnd w:id="76"/>
            <w:r>
              <w:rPr/>
              <w:t xml:space="preserve">0.0001 per share; </w:t>
            </w:r>
            <w:bookmarkStart w:id="77" w:name="xdx_905_eus-gaap--CommonStockSharesOutst"/>
            <w:bookmarkStart w:id="78" w:name="xdx_90E_eus-gaap--CommonStockSharesIssue"/>
            <w:bookmarkEnd w:id="77"/>
            <w:bookmarkEnd w:id="78"/>
            <w:r>
              <w:rPr/>
              <w:t xml:space="preserve">50,728,535 and </w:t>
            </w:r>
            <w:bookmarkStart w:id="79" w:name="xdx_90B_eus-gaap--CommonStockSharesOutst"/>
            <w:bookmarkStart w:id="80" w:name="xdx_901_eus-gaap--CommonStockSharesIssue"/>
            <w:bookmarkEnd w:id="79"/>
            <w:bookmarkEnd w:id="80"/>
            <w:r>
              <w:rPr/>
              <w:t>47,101,631 shares issued and outstanding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5</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5</w:t>
            </w:r>
          </w:p>
        </w:tc>
        <w:tc>
          <w:tcPr>
            <w:tcW w:w="141" w:type="dxa"/>
            <w:tcBorders/>
            <w:shd w:fill="CCEEFF" w:val="clear"/>
            <w:vAlign w:val="center"/>
          </w:tcPr>
          <w:p>
            <w:pPr>
              <w:pStyle w:val="TableContents"/>
              <w:bidi w:val="0"/>
              <w:spacing w:before="0" w:after="283"/>
              <w:jc w:val="left"/>
              <w:rPr/>
            </w:pPr>
            <w:r>
              <w:rPr/>
              <w:t> </w:t>
            </w:r>
            <w:bookmarkStart w:id="81" w:name="xdx_40B_eus-gaap--PreferredStockValue_i0"/>
            <w:bookmarkEnd w:id="81"/>
          </w:p>
        </w:tc>
      </w:tr>
      <w:tr>
        <w:trPr/>
        <w:tc>
          <w:tcPr>
            <w:tcW w:w="7451" w:type="dxa"/>
            <w:tcBorders/>
            <w:shd w:fill="FFFFFF" w:val="clear"/>
            <w:vAlign w:val="center"/>
          </w:tcPr>
          <w:p>
            <w:pPr>
              <w:pStyle w:val="TableContents"/>
              <w:bidi w:val="0"/>
              <w:spacing w:before="0" w:after="283"/>
              <w:jc w:val="left"/>
              <w:rPr/>
            </w:pPr>
            <w:r>
              <w:rPr/>
              <w:t xml:space="preserve">Convertible Preferred Stock - </w:t>
            </w:r>
            <w:bookmarkStart w:id="82" w:name="xdx_905_eus-gaap--PreferredStockSharesAu"/>
            <w:bookmarkStart w:id="83" w:name="xdx_90A_eus-gaap--PreferredStockSharesAu"/>
            <w:bookmarkEnd w:id="82"/>
            <w:bookmarkEnd w:id="83"/>
            <w:r>
              <w:rPr/>
              <w:t>10,000 authorized, par value $</w:t>
            </w:r>
            <w:bookmarkStart w:id="84" w:name="xdx_901_eus-gaap--PreferredStockParOrSta"/>
            <w:bookmarkStart w:id="85" w:name="xdx_90E_eus-gaap--PreferredStockParOrSta"/>
            <w:bookmarkEnd w:id="84"/>
            <w:bookmarkEnd w:id="85"/>
            <w:r>
              <w:rPr/>
              <w:t xml:space="preserve">0.0001 per share; </w:t>
            </w:r>
            <w:bookmarkStart w:id="86" w:name="xdx_900_eus-gaap--PreferredStockSharesOu"/>
            <w:bookmarkStart w:id="87" w:name="xdx_90B_eus-gaap--PreferredStockSharesIs"/>
            <w:bookmarkStart w:id="88" w:name="xdx_90C_eus-gaap--PreferredStockSharesOu"/>
            <w:bookmarkStart w:id="89" w:name="xdx_90F_eus-gaap--PreferredStockSharesIs"/>
            <w:bookmarkEnd w:id="86"/>
            <w:bookmarkEnd w:id="87"/>
            <w:bookmarkEnd w:id="88"/>
            <w:bookmarkEnd w:id="89"/>
            <w:r>
              <w:rPr/>
              <w:t>8,207 shares issued and outstanding at June 30,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bookmarkStart w:id="90" w:name="xdx_404_eus-gaap--PreferredStockValue_i0"/>
            <w:bookmarkEnd w:id="90"/>
          </w:p>
        </w:tc>
      </w:tr>
      <w:tr>
        <w:trPr/>
        <w:tc>
          <w:tcPr>
            <w:tcW w:w="7451"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bookmarkStart w:id="91" w:name="xdx_40F_eus-gaap--AdditionalPaidInCapita"/>
            <w:bookmarkEnd w:id="91"/>
          </w:p>
        </w:tc>
      </w:tr>
      <w:tr>
        <w:trPr/>
        <w:tc>
          <w:tcPr>
            <w:tcW w:w="745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120,783</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105,326</w:t>
            </w:r>
          </w:p>
        </w:tc>
        <w:tc>
          <w:tcPr>
            <w:tcW w:w="141" w:type="dxa"/>
            <w:tcBorders/>
            <w:shd w:fill="CCEEFF" w:val="clear"/>
            <w:vAlign w:val="center"/>
          </w:tcPr>
          <w:p>
            <w:pPr>
              <w:pStyle w:val="TableContents"/>
              <w:bidi w:val="0"/>
              <w:spacing w:before="0" w:after="283"/>
              <w:jc w:val="left"/>
              <w:rPr/>
            </w:pPr>
            <w:r>
              <w:rPr/>
              <w:t> </w:t>
            </w:r>
            <w:bookmarkStart w:id="92" w:name="xdx_40B_eus-gaap--RetainedEarningsAccumu"/>
            <w:bookmarkEnd w:id="92"/>
          </w:p>
        </w:tc>
      </w:tr>
      <w:tr>
        <w:trPr/>
        <w:tc>
          <w:tcPr>
            <w:tcW w:w="745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(109,027</w:t>
            </w:r>
          </w:p>
        </w:tc>
        <w:tc>
          <w:tcPr>
            <w:tcW w:w="10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(105,081</w:t>
            </w:r>
          </w:p>
        </w:tc>
        <w:tc>
          <w:tcPr>
            <w:tcW w:w="141" w:type="dxa"/>
            <w:tcBorders/>
            <w:shd w:fill="FFFFFF" w:val="clear"/>
            <w:vAlign w:val="center"/>
          </w:tcPr>
          <w:p>
            <w:pPr>
              <w:pStyle w:val="TableContents"/>
              <w:bidi w:val="0"/>
              <w:spacing w:before="0" w:after="283"/>
              <w:jc w:val="left"/>
              <w:rPr/>
            </w:pPr>
            <w:r>
              <w:rPr/>
              <w:t>)</w:t>
            </w:r>
            <w:bookmarkStart w:id="93" w:name="xdx_40B_eus-gaap--StockholdersEquity_i02"/>
            <w:bookmarkEnd w:id="93"/>
          </w:p>
        </w:tc>
      </w:tr>
      <w:tr>
        <w:trPr/>
        <w:tc>
          <w:tcPr>
            <w:tcW w:w="7451"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pPr>
            <w:r>
              <w:rPr/>
              <w:t>11,761</w:t>
            </w:r>
          </w:p>
        </w:tc>
        <w:tc>
          <w:tcPr>
            <w:tcW w:w="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141" w:type="dxa"/>
            <w:tcBorders/>
            <w:shd w:fill="CCEEFF" w:val="clear"/>
            <w:vAlign w:val="center"/>
          </w:tcPr>
          <w:p>
            <w:pPr>
              <w:pStyle w:val="TableContents"/>
              <w:bidi w:val="0"/>
              <w:spacing w:before="0" w:after="283"/>
              <w:jc w:val="left"/>
              <w:rPr/>
            </w:pPr>
            <w:r>
              <w:rPr/>
              <w:t> </w:t>
            </w:r>
            <w:bookmarkStart w:id="94" w:name="xdx_40D_eus-gaap--LiabilitiesAndStockhol"/>
            <w:bookmarkEnd w:id="94"/>
          </w:p>
        </w:tc>
      </w:tr>
      <w:tr>
        <w:trPr/>
        <w:tc>
          <w:tcPr>
            <w:tcW w:w="7451"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right"/>
              <w:rPr/>
            </w:pPr>
            <w:r>
              <w:rPr/>
              <w:t>15,612</w:t>
            </w:r>
          </w:p>
        </w:tc>
        <w:tc>
          <w:tcPr>
            <w:tcW w:w="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15,121</w:t>
            </w:r>
          </w:p>
        </w:tc>
        <w:tc>
          <w:tcPr>
            <w:tcW w:w="141"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5" w:name="a_004"/>
      <w:bookmarkEnd w:id="95"/>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6" w:name="xdx_308_113_pn3n3_zc5nqiq5zHS9"/>
      <w:bookmarkStart w:id="97" w:name="xdx_308_113_pn3n3_zc5nqiq5zHS9"/>
      <w:bookmarkEnd w:id="97"/>
    </w:p>
    <w:tbl>
      <w:tblPr>
        <w:tblW w:w="10205" w:type="dxa"/>
        <w:jc w:val="left"/>
        <w:tblInd w:w="0" w:type="dxa"/>
        <w:tblLayout w:type="fixed"/>
        <w:tblCellMar>
          <w:top w:w="0" w:type="dxa"/>
          <w:left w:w="0" w:type="dxa"/>
          <w:bottom w:w="0" w:type="dxa"/>
          <w:right w:w="0" w:type="dxa"/>
        </w:tblCellMar>
      </w:tblPr>
      <w:tblGrid>
        <w:gridCol w:w="4404"/>
        <w:gridCol w:w="60"/>
        <w:gridCol w:w="148"/>
        <w:gridCol w:w="1166"/>
        <w:gridCol w:w="100"/>
        <w:gridCol w:w="63"/>
        <w:gridCol w:w="148"/>
        <w:gridCol w:w="1166"/>
        <w:gridCol w:w="95"/>
        <w:gridCol w:w="60"/>
        <w:gridCol w:w="142"/>
        <w:gridCol w:w="1120"/>
        <w:gridCol w:w="96"/>
        <w:gridCol w:w="60"/>
        <w:gridCol w:w="142"/>
        <w:gridCol w:w="1120"/>
        <w:gridCol w:w="115"/>
      </w:tblGrid>
      <w:tr>
        <w:trPr/>
        <w:tc>
          <w:tcPr>
            <w:tcW w:w="4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93_20250401__20250630_z6vyzjqT67il"/>
            <w:bookmarkEnd w:id="98"/>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9" w:name="xdx_498_20240401__20240630_zrgQnLSpp68c"/>
            <w:bookmarkEnd w:id="99"/>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9F_20250101__20250630_z67cebQrUiZi"/>
            <w:bookmarkEnd w:id="100"/>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98_20240101__20240630_ziLoVw4Wr4l7"/>
            <w:bookmarkEnd w:id="101"/>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r>
      <w:tr>
        <w:trPr/>
        <w:tc>
          <w:tcPr>
            <w:tcW w:w="4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4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bookmarkStart w:id="102" w:name="xdx_40D_eus-gaap--RevenuesAbstract_iB_zo"/>
            <w:bookmarkEnd w:id="102"/>
          </w:p>
        </w:tc>
      </w:tr>
      <w:tr>
        <w:trPr/>
        <w:tc>
          <w:tcPr>
            <w:tcW w:w="4404"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314" w:type="dxa"/>
            <w:gridSpan w:val="2"/>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2" w:type="dxa"/>
            <w:gridSpan w:val="2"/>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2" w:type="dxa"/>
            <w:gridSpan w:val="2"/>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3" w:name="xdx_406_eus-gaap--RevenueFromContractWit"/>
            <w:bookmarkEnd w:id="103"/>
          </w:p>
        </w:tc>
      </w:tr>
      <w:tr>
        <w:trPr/>
        <w:tc>
          <w:tcPr>
            <w:tcW w:w="4404"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6" w:type="dxa"/>
            <w:tcBorders/>
            <w:shd w:fill="FFFFFF" w:val="clear"/>
            <w:vAlign w:val="center"/>
          </w:tcPr>
          <w:p>
            <w:pPr>
              <w:pStyle w:val="TableContents"/>
              <w:bidi w:val="0"/>
              <w:spacing w:before="0" w:after="283"/>
              <w:jc w:val="right"/>
              <w:rPr/>
            </w:pPr>
            <w:r>
              <w:rPr/>
              <w:t>197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6" w:type="dxa"/>
            <w:tcBorders/>
            <w:shd w:fill="FFFFFF" w:val="clear"/>
            <w:vAlign w:val="center"/>
          </w:tcPr>
          <w:p>
            <w:pPr>
              <w:pStyle w:val="TableContents"/>
              <w:bidi w:val="0"/>
              <w:spacing w:before="0" w:after="283"/>
              <w:jc w:val="right"/>
              <w:rPr/>
            </w:pPr>
            <w:r>
              <w:rPr/>
              <w:t>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120" w:type="dxa"/>
            <w:tcBorders/>
            <w:shd w:fill="FFFFFF" w:val="clear"/>
            <w:vAlign w:val="center"/>
          </w:tcPr>
          <w:p>
            <w:pPr>
              <w:pStyle w:val="TableContents"/>
              <w:bidi w:val="0"/>
              <w:spacing w:before="0" w:after="283"/>
              <w:jc w:val="right"/>
              <w:rPr/>
            </w:pPr>
            <w:r>
              <w:rPr/>
              <w:t>550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2,578</w:t>
            </w:r>
          </w:p>
        </w:tc>
        <w:tc>
          <w:tcPr>
            <w:tcW w:w="115" w:type="dxa"/>
            <w:tcBorders/>
            <w:shd w:fill="FFFFFF" w:val="clear"/>
            <w:vAlign w:val="center"/>
          </w:tcPr>
          <w:p>
            <w:pPr>
              <w:pStyle w:val="TableContents"/>
              <w:bidi w:val="0"/>
              <w:spacing w:before="0" w:after="283"/>
              <w:jc w:val="left"/>
              <w:rPr/>
            </w:pPr>
            <w:r>
              <w:rPr/>
              <w:t> </w:t>
            </w:r>
            <w:bookmarkStart w:id="104" w:name="xdx_409_ecustom--ManagedServices_i01_maC"/>
            <w:bookmarkEnd w:id="104"/>
          </w:p>
        </w:tc>
      </w:tr>
      <w:tr>
        <w:trPr/>
        <w:tc>
          <w:tcPr>
            <w:tcW w:w="4404" w:type="dxa"/>
            <w:tcBorders/>
            <w:shd w:fill="CCEEFF" w:val="clear"/>
            <w:vAlign w:val="center"/>
          </w:tcPr>
          <w:p>
            <w:pPr>
              <w:pStyle w:val="TableContents"/>
              <w:bidi w:val="0"/>
              <w:spacing w:before="0" w:after="283"/>
              <w:jc w:val="left"/>
              <w:rPr/>
            </w:pPr>
            <w:r>
              <w:rPr/>
              <w:t>Managed services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764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1,000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05" w:name="xdx_404_ecustom--TechnologyEnabledServic"/>
            <w:bookmarkEnd w:id="105"/>
          </w:p>
        </w:tc>
      </w:tr>
      <w:tr>
        <w:trPr/>
        <w:tc>
          <w:tcPr>
            <w:tcW w:w="4404" w:type="dxa"/>
            <w:tcBorders/>
            <w:shd w:fill="FFFFFF" w:val="clear"/>
            <w:vAlign w:val="center"/>
          </w:tcPr>
          <w:p>
            <w:pPr>
              <w:pStyle w:val="TableContents"/>
              <w:bidi w:val="0"/>
              <w:spacing w:before="0" w:after="283"/>
              <w:jc w:val="left"/>
              <w:rPr/>
            </w:pPr>
            <w:r>
              <w:rPr/>
              <w:t>Technology enabled services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228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471</w:t>
            </w:r>
          </w:p>
        </w:tc>
        <w:tc>
          <w:tcPr>
            <w:tcW w:w="115" w:type="dxa"/>
            <w:tcBorders/>
            <w:shd w:fill="FFFFFF" w:val="clear"/>
            <w:vAlign w:val="center"/>
          </w:tcPr>
          <w:p>
            <w:pPr>
              <w:pStyle w:val="TableContents"/>
              <w:bidi w:val="0"/>
              <w:spacing w:before="0" w:after="283"/>
              <w:jc w:val="left"/>
              <w:rPr/>
            </w:pPr>
            <w:r>
              <w:rPr/>
              <w:t> </w:t>
            </w:r>
            <w:bookmarkStart w:id="106" w:name="xdx_40C_eus-gaap--Revenues_i01T_mtCzPqQ_"/>
            <w:bookmarkEnd w:id="106"/>
          </w:p>
        </w:tc>
      </w:tr>
      <w:tr>
        <w:trPr/>
        <w:tc>
          <w:tcPr>
            <w:tcW w:w="4404"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1,012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1,778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3,049</w:t>
            </w:r>
          </w:p>
        </w:tc>
        <w:tc>
          <w:tcPr>
            <w:tcW w:w="115" w:type="dxa"/>
            <w:tcBorders/>
            <w:shd w:fill="CCEEFF" w:val="clear"/>
            <w:vAlign w:val="center"/>
          </w:tcPr>
          <w:p>
            <w:pPr>
              <w:pStyle w:val="TableContents"/>
              <w:bidi w:val="0"/>
              <w:spacing w:before="0" w:after="283"/>
              <w:jc w:val="left"/>
              <w:rPr/>
            </w:pPr>
            <w:r>
              <w:rPr/>
              <w:t> </w:t>
            </w:r>
            <w:bookmarkStart w:id="107" w:name="xdx_40E_eus-gaap--CostOfRevenue_i01_msCz"/>
            <w:bookmarkEnd w:id="107"/>
          </w:p>
        </w:tc>
      </w:tr>
      <w:tr>
        <w:trPr/>
        <w:tc>
          <w:tcPr>
            <w:tcW w:w="4404"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525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695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1,229</w:t>
            </w:r>
          </w:p>
        </w:tc>
        <w:tc>
          <w:tcPr>
            <w:tcW w:w="115" w:type="dxa"/>
            <w:tcBorders/>
            <w:shd w:fill="FFFFFF" w:val="clear"/>
            <w:vAlign w:val="center"/>
          </w:tcPr>
          <w:p>
            <w:pPr>
              <w:pStyle w:val="TableContents"/>
              <w:bidi w:val="0"/>
              <w:spacing w:before="0" w:after="283"/>
              <w:jc w:val="left"/>
              <w:rPr/>
            </w:pPr>
            <w:r>
              <w:rPr/>
              <w:t> </w:t>
            </w:r>
            <w:bookmarkStart w:id="108" w:name="xdx_408_eus-gaap--GrossProfit_i01T_mtCzE"/>
            <w:bookmarkEnd w:id="108"/>
          </w:p>
        </w:tc>
      </w:tr>
      <w:tr>
        <w:trPr/>
        <w:tc>
          <w:tcPr>
            <w:tcW w:w="440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487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1,083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1,820</w:t>
            </w:r>
          </w:p>
        </w:tc>
        <w:tc>
          <w:tcPr>
            <w:tcW w:w="115" w:type="dxa"/>
            <w:tcBorders/>
            <w:shd w:fill="CCEEFF" w:val="clear"/>
            <w:vAlign w:val="center"/>
          </w:tcPr>
          <w:p>
            <w:pPr>
              <w:pStyle w:val="TableContents"/>
              <w:bidi w:val="0"/>
              <w:spacing w:before="0" w:after="283"/>
              <w:jc w:val="left"/>
              <w:rPr/>
            </w:pPr>
            <w:r>
              <w:rPr/>
              <w:t> </w:t>
            </w:r>
          </w:p>
        </w:tc>
      </w:tr>
      <w:tr>
        <w:trPr/>
        <w:tc>
          <w:tcPr>
            <w:tcW w:w="4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9" w:name="xdx_406_eus-gaap--OperatingExpensesAbstr"/>
            <w:bookmarkEnd w:id="109"/>
          </w:p>
        </w:tc>
      </w:tr>
      <w:tr>
        <w:trPr/>
        <w:tc>
          <w:tcPr>
            <w:tcW w:w="4404"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0" w:name="xdx_402_eus-gaap--SellingGeneralAndAdmin"/>
            <w:bookmarkEnd w:id="110"/>
          </w:p>
        </w:tc>
      </w:tr>
      <w:tr>
        <w:trPr/>
        <w:tc>
          <w:tcPr>
            <w:tcW w:w="4404"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3,181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7,266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7,695</w:t>
            </w:r>
          </w:p>
        </w:tc>
        <w:tc>
          <w:tcPr>
            <w:tcW w:w="115" w:type="dxa"/>
            <w:tcBorders/>
            <w:shd w:fill="FFFFFF" w:val="clear"/>
            <w:vAlign w:val="center"/>
          </w:tcPr>
          <w:p>
            <w:pPr>
              <w:pStyle w:val="TableContents"/>
              <w:bidi w:val="0"/>
              <w:spacing w:before="0" w:after="283"/>
              <w:jc w:val="left"/>
              <w:rPr/>
            </w:pPr>
            <w:r>
              <w:rPr/>
              <w:t> </w:t>
            </w:r>
            <w:bookmarkStart w:id="111" w:name="xdx_40C_eus-gaap--ResearchAndDevelopment"/>
            <w:bookmarkEnd w:id="111"/>
          </w:p>
        </w:tc>
      </w:tr>
      <w:tr>
        <w:trPr/>
        <w:tc>
          <w:tcPr>
            <w:tcW w:w="440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162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594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1,434</w:t>
            </w:r>
          </w:p>
        </w:tc>
        <w:tc>
          <w:tcPr>
            <w:tcW w:w="115" w:type="dxa"/>
            <w:tcBorders/>
            <w:shd w:fill="CCEEFF" w:val="clear"/>
            <w:vAlign w:val="center"/>
          </w:tcPr>
          <w:p>
            <w:pPr>
              <w:pStyle w:val="TableContents"/>
              <w:bidi w:val="0"/>
              <w:spacing w:before="0" w:after="283"/>
              <w:jc w:val="left"/>
              <w:rPr/>
            </w:pPr>
            <w:r>
              <w:rPr/>
              <w:t> </w:t>
            </w:r>
            <w:bookmarkStart w:id="112" w:name="xdx_403_eus-gaap--OperatingExpenses_i01T"/>
            <w:bookmarkEnd w:id="112"/>
          </w:p>
        </w:tc>
      </w:tr>
      <w:tr>
        <w:trPr/>
        <w:tc>
          <w:tcPr>
            <w:tcW w:w="440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3,343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4,154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7,860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9,129</w:t>
            </w:r>
          </w:p>
        </w:tc>
        <w:tc>
          <w:tcPr>
            <w:tcW w:w="115" w:type="dxa"/>
            <w:tcBorders/>
            <w:shd w:fill="FFFFFF" w:val="clear"/>
            <w:vAlign w:val="center"/>
          </w:tcPr>
          <w:p>
            <w:pPr>
              <w:pStyle w:val="TableContents"/>
              <w:bidi w:val="0"/>
              <w:spacing w:before="0" w:after="283"/>
              <w:jc w:val="left"/>
              <w:rPr/>
            </w:pPr>
            <w:r>
              <w:rPr/>
              <w:t> </w:t>
            </w:r>
            <w:bookmarkStart w:id="113" w:name="xdx_40A_eus-gaap--OperatingIncomeLoss_i0"/>
            <w:bookmarkEnd w:id="113"/>
          </w:p>
        </w:tc>
      </w:tr>
      <w:tr>
        <w:trPr/>
        <w:tc>
          <w:tcPr>
            <w:tcW w:w="4404"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(2,856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(3,170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(6,777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(7,309</w:t>
            </w:r>
          </w:p>
        </w:tc>
        <w:tc>
          <w:tcPr>
            <w:tcW w:w="115" w:type="dxa"/>
            <w:tcBorders/>
            <w:shd w:fill="CCEEFF" w:val="clear"/>
            <w:vAlign w:val="center"/>
          </w:tcPr>
          <w:p>
            <w:pPr>
              <w:pStyle w:val="TableContents"/>
              <w:bidi w:val="0"/>
              <w:spacing w:before="0" w:after="283"/>
              <w:jc w:val="left"/>
              <w:rPr/>
            </w:pPr>
            <w:r>
              <w:rPr/>
              <w:t>)</w:t>
            </w:r>
          </w:p>
        </w:tc>
      </w:tr>
      <w:tr>
        <w:trPr/>
        <w:tc>
          <w:tcPr>
            <w:tcW w:w="4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4" w:name="xdx_407_eus-gaap--NonoperatingIncomeExpe"/>
            <w:bookmarkEnd w:id="114"/>
          </w:p>
        </w:tc>
      </w:tr>
      <w:tr>
        <w:trPr/>
        <w:tc>
          <w:tcPr>
            <w:tcW w:w="4404"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5" w:name="xdx_400_eus-gaap--InvestmentIncomeIntere"/>
            <w:bookmarkEnd w:id="115"/>
          </w:p>
        </w:tc>
      </w:tr>
      <w:tr>
        <w:trPr/>
        <w:tc>
          <w:tcPr>
            <w:tcW w:w="440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133</w:t>
            </w:r>
          </w:p>
        </w:tc>
        <w:tc>
          <w:tcPr>
            <w:tcW w:w="115" w:type="dxa"/>
            <w:tcBorders/>
            <w:shd w:fill="FFFFFF" w:val="clear"/>
            <w:vAlign w:val="center"/>
          </w:tcPr>
          <w:p>
            <w:pPr>
              <w:pStyle w:val="TableContents"/>
              <w:bidi w:val="0"/>
              <w:spacing w:before="0" w:after="283"/>
              <w:jc w:val="left"/>
              <w:rPr/>
            </w:pPr>
            <w:r>
              <w:rPr/>
              <w:t> </w:t>
            </w:r>
            <w:bookmarkStart w:id="116" w:name="xdx_402_eus-gaap--FairValueAdjustmentOfW"/>
            <w:bookmarkEnd w:id="116"/>
          </w:p>
        </w:tc>
      </w:tr>
      <w:tr>
        <w:trPr/>
        <w:tc>
          <w:tcPr>
            <w:tcW w:w="4404" w:type="dxa"/>
            <w:tcBorders/>
            <w:shd w:fill="CCEEFF" w:val="clear"/>
            <w:vAlign w:val="center"/>
          </w:tcPr>
          <w:p>
            <w:pPr>
              <w:pStyle w:val="TableContents"/>
              <w:bidi w:val="0"/>
              <w:spacing w:before="0" w:after="283"/>
              <w:jc w:val="left"/>
              <w:rPr/>
            </w:pPr>
            <w:r>
              <w:rPr/>
              <w:t>Change in fair value of warranty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(871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3,158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6,917</w:t>
            </w:r>
          </w:p>
        </w:tc>
        <w:tc>
          <w:tcPr>
            <w:tcW w:w="115" w:type="dxa"/>
            <w:tcBorders/>
            <w:shd w:fill="CCEEFF" w:val="clear"/>
            <w:vAlign w:val="center"/>
          </w:tcPr>
          <w:p>
            <w:pPr>
              <w:pStyle w:val="TableContents"/>
              <w:bidi w:val="0"/>
              <w:spacing w:before="0" w:after="283"/>
              <w:jc w:val="left"/>
              <w:rPr/>
            </w:pPr>
            <w:r>
              <w:rPr/>
              <w:t> </w:t>
            </w:r>
            <w:bookmarkStart w:id="117" w:name="xdx_409_eus-gaap--OtherNonoperatingIncom"/>
            <w:bookmarkEnd w:id="117"/>
          </w:p>
        </w:tc>
      </w:tr>
      <w:tr>
        <w:trPr/>
        <w:tc>
          <w:tcPr>
            <w:tcW w:w="4404"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bookmarkStart w:id="118" w:name="xdx_407_eus-gaap--NonoperatingIncomeExpe"/>
            <w:bookmarkEnd w:id="118"/>
          </w:p>
        </w:tc>
      </w:tr>
      <w:tr>
        <w:trPr/>
        <w:tc>
          <w:tcPr>
            <w:tcW w:w="4404"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(871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2,785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3,159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7,041</w:t>
            </w:r>
          </w:p>
        </w:tc>
        <w:tc>
          <w:tcPr>
            <w:tcW w:w="115" w:type="dxa"/>
            <w:tcBorders/>
            <w:shd w:fill="CCEEFF" w:val="clear"/>
            <w:vAlign w:val="center"/>
          </w:tcPr>
          <w:p>
            <w:pPr>
              <w:pStyle w:val="TableContents"/>
              <w:bidi w:val="0"/>
              <w:spacing w:before="0" w:after="283"/>
              <w:jc w:val="left"/>
              <w:rPr/>
            </w:pPr>
            <w:r>
              <w:rPr/>
              <w:t> </w:t>
            </w:r>
            <w:bookmarkStart w:id="119" w:name="xdx_402_eus-gaap--NetIncomeLoss_iT_mtCza"/>
            <w:bookmarkEnd w:id="119"/>
          </w:p>
        </w:tc>
      </w:tr>
      <w:tr>
        <w:trPr/>
        <w:tc>
          <w:tcPr>
            <w:tcW w:w="440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(3,727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(3,618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(268</w:t>
            </w:r>
          </w:p>
        </w:tc>
        <w:tc>
          <w:tcPr>
            <w:tcW w:w="115" w:type="dxa"/>
            <w:tcBorders/>
            <w:shd w:fill="FFFFFF" w:val="clear"/>
            <w:vAlign w:val="center"/>
          </w:tcPr>
          <w:p>
            <w:pPr>
              <w:pStyle w:val="TableContents"/>
              <w:bidi w:val="0"/>
              <w:spacing w:before="0" w:after="283"/>
              <w:jc w:val="left"/>
              <w:rPr/>
            </w:pPr>
            <w:r>
              <w:rPr/>
              <w:t>)</w:t>
            </w:r>
          </w:p>
        </w:tc>
      </w:tr>
      <w:tr>
        <w:trPr/>
        <w:tc>
          <w:tcPr>
            <w:tcW w:w="4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0" w:name="xdx_40D_eus-gaap--PreferredStockDividend"/>
            <w:bookmarkEnd w:id="120"/>
          </w:p>
        </w:tc>
      </w:tr>
      <w:tr>
        <w:trPr/>
        <w:tc>
          <w:tcPr>
            <w:tcW w:w="4404" w:type="dxa"/>
            <w:tcBorders/>
            <w:shd w:fill="FFFFFF" w:val="clear"/>
            <w:vAlign w:val="center"/>
          </w:tcPr>
          <w:p>
            <w:pPr>
              <w:pStyle w:val="TableContents"/>
              <w:bidi w:val="0"/>
              <w:spacing w:before="0" w:after="283"/>
              <w:jc w:val="left"/>
              <w:rPr/>
            </w:pPr>
            <w:r>
              <w:rPr/>
              <w:t>Less: Convertible preferred stock dividends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(328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(700</w:t>
            </w:r>
          </w:p>
        </w:tc>
        <w:tc>
          <w:tcPr>
            <w:tcW w:w="115" w:type="dxa"/>
            <w:tcBorders/>
            <w:shd w:fill="FFFFFF" w:val="clear"/>
            <w:vAlign w:val="center"/>
          </w:tcPr>
          <w:p>
            <w:pPr>
              <w:pStyle w:val="TableContents"/>
              <w:bidi w:val="0"/>
              <w:spacing w:before="0" w:after="283"/>
              <w:jc w:val="left"/>
              <w:rPr/>
            </w:pPr>
            <w:r>
              <w:rPr/>
              <w:t>)</w:t>
            </w:r>
            <w:bookmarkStart w:id="121" w:name="xdx_403_eus-gaap--NetIncomeLossAvailable"/>
            <w:bookmarkEnd w:id="121"/>
          </w:p>
        </w:tc>
      </w:tr>
      <w:tr>
        <w:trPr/>
        <w:tc>
          <w:tcPr>
            <w:tcW w:w="4404"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(3,891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(3,946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(968</w:t>
            </w:r>
          </w:p>
        </w:tc>
        <w:tc>
          <w:tcPr>
            <w:tcW w:w="115" w:type="dxa"/>
            <w:tcBorders/>
            <w:shd w:fill="CCEEFF" w:val="clear"/>
            <w:vAlign w:val="center"/>
          </w:tcPr>
          <w:p>
            <w:pPr>
              <w:pStyle w:val="TableContents"/>
              <w:bidi w:val="0"/>
              <w:spacing w:before="0" w:after="283"/>
              <w:jc w:val="left"/>
              <w:rPr/>
            </w:pPr>
            <w:r>
              <w:rPr/>
              <w:t>)</w:t>
            </w:r>
          </w:p>
        </w:tc>
      </w:tr>
      <w:tr>
        <w:trPr/>
        <w:tc>
          <w:tcPr>
            <w:tcW w:w="4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283"/>
              <w:jc w:val="left"/>
              <w:rPr/>
            </w:pPr>
            <w:r>
              <w:rPr/>
              <w:t>Net loss per basic and diluted common share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2" w:name="xdx_907_eus-gaap--EarningsPerShareDilute"/>
            <w:bookmarkStart w:id="123" w:name="xdx_904_eus-gaap--EarningsPerShareBasic_"/>
            <w:bookmarkEnd w:id="122"/>
            <w:bookmarkEnd w:id="123"/>
            <w:r>
              <w:rPr/>
              <w:t>(0.07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4" w:name="xdx_908_eus-gaap--EarningsPerShareDilute"/>
            <w:bookmarkStart w:id="125" w:name="xdx_901_eus-gaap--EarningsPerShareBasic_"/>
            <w:bookmarkEnd w:id="124"/>
            <w:bookmarkEnd w:id="125"/>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6" w:name="xdx_902_eus-gaap--EarningsPerShareDilute"/>
            <w:bookmarkStart w:id="127" w:name="xdx_90E_eus-gaap--EarningsPerShareBasic_"/>
            <w:bookmarkEnd w:id="126"/>
            <w:bookmarkEnd w:id="127"/>
            <w:r>
              <w:rPr/>
              <w:t>(0.07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8" w:name="xdx_908_eus-gaap--EarningsPerShareDilute"/>
            <w:bookmarkStart w:id="129" w:name="xdx_90A_eus-gaap--EarningsPerShareBasic_"/>
            <w:bookmarkEnd w:id="128"/>
            <w:bookmarkEnd w:id="129"/>
            <w:r>
              <w:rPr/>
              <w:t>(0.02</w:t>
            </w:r>
          </w:p>
        </w:tc>
        <w:tc>
          <w:tcPr>
            <w:tcW w:w="115" w:type="dxa"/>
            <w:tcBorders/>
            <w:shd w:fill="CCEEFF" w:val="clear"/>
            <w:vAlign w:val="center"/>
          </w:tcPr>
          <w:p>
            <w:pPr>
              <w:pStyle w:val="TableContents"/>
              <w:bidi w:val="0"/>
              <w:spacing w:before="0" w:after="283"/>
              <w:jc w:val="left"/>
              <w:rPr/>
            </w:pPr>
            <w:r>
              <w:rPr/>
              <w:t>)</w:t>
            </w:r>
          </w:p>
        </w:tc>
      </w:tr>
      <w:tr>
        <w:trPr/>
        <w:tc>
          <w:tcPr>
            <w:tcW w:w="4404" w:type="dxa"/>
            <w:tcBorders/>
            <w:shd w:fill="FFFFFF" w:val="clear"/>
            <w:vAlign w:val="center"/>
          </w:tcPr>
          <w:p>
            <w:pPr>
              <w:pStyle w:val="TableContents"/>
              <w:bidi w:val="0"/>
              <w:spacing w:before="0" w:after="283"/>
              <w:jc w:val="left"/>
              <w:rPr/>
            </w:pPr>
            <w:r>
              <w:rPr/>
              <w:t>Weighted average common shares used to compute net loss per basic and diluted common share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0" w:name="xdx_90B_eus-gaap--WeightedAverageNumberO"/>
            <w:bookmarkStart w:id="131" w:name="xdx_906_eus-gaap--WeightedAverageNumberO"/>
            <w:bookmarkEnd w:id="130"/>
            <w:bookmarkEnd w:id="131"/>
            <w:r>
              <w:rPr/>
              <w:t>50,609,509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2" w:name="xdx_908_eus-gaap--WeightedAverageNumberO"/>
            <w:bookmarkStart w:id="133" w:name="xdx_90B_eus-gaap--WeightedAverageNumberO"/>
            <w:bookmarkEnd w:id="132"/>
            <w:bookmarkEnd w:id="133"/>
            <w:r>
              <w:rPr/>
              <w:t>45,324,917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4" w:name="xdx_905_eus-gaap--WeightedAverageNumberO"/>
            <w:bookmarkStart w:id="135" w:name="xdx_907_eus-gaap--WeightedAverageNumberO"/>
            <w:bookmarkEnd w:id="134"/>
            <w:bookmarkEnd w:id="135"/>
            <w:r>
              <w:rPr/>
              <w:t>49,439,838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6" w:name="xdx_908_eus-gaap--WeightedAverageNumberO"/>
            <w:bookmarkStart w:id="137" w:name="xdx_901_eus-gaap--WeightedAverageNumberO"/>
            <w:bookmarkEnd w:id="136"/>
            <w:bookmarkEnd w:id="137"/>
            <w:r>
              <w:rPr/>
              <w:t>44,470,183</w:t>
            </w:r>
          </w:p>
        </w:tc>
        <w:tc>
          <w:tcPr>
            <w:tcW w:w="115" w:type="dxa"/>
            <w:tcBorders/>
            <w:shd w:fill="FFFFFF" w:val="clear"/>
            <w:vAlign w:val="center"/>
          </w:tcPr>
          <w:p>
            <w:pPr>
              <w:pStyle w:val="TableContents"/>
              <w:bidi w:val="0"/>
              <w:spacing w:before="0" w:after="283"/>
              <w:jc w:val="left"/>
              <w:rPr/>
            </w:pPr>
            <w:r>
              <w:rPr/>
              <w:t> </w:t>
            </w:r>
          </w:p>
        </w:tc>
      </w:tr>
      <w:tr>
        <w:trPr/>
        <w:tc>
          <w:tcPr>
            <w:tcW w:w="4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8" w:name="xdx_407_eus-gaap--ComprehensiveIncomeNet"/>
            <w:bookmarkEnd w:id="138"/>
          </w:p>
        </w:tc>
      </w:tr>
      <w:tr>
        <w:trPr/>
        <w:tc>
          <w:tcPr>
            <w:tcW w:w="4404"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9" w:name="xdx_407_eus-gaap--NetIncomeLoss_maCINOTz"/>
            <w:bookmarkEnd w:id="139"/>
          </w:p>
        </w:tc>
      </w:tr>
      <w:tr>
        <w:trPr/>
        <w:tc>
          <w:tcPr>
            <w:tcW w:w="440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(3,727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(3,618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115" w:type="dxa"/>
            <w:tcBorders/>
            <w:shd w:fill="CCEEFF" w:val="clear"/>
            <w:vAlign w:val="center"/>
          </w:tcPr>
          <w:p>
            <w:pPr>
              <w:pStyle w:val="TableContents"/>
              <w:bidi w:val="0"/>
              <w:spacing w:before="0" w:after="283"/>
              <w:jc w:val="left"/>
              <w:rPr/>
            </w:pPr>
            <w:r>
              <w:rPr/>
              <w:t>)</w:t>
            </w:r>
            <w:bookmarkStart w:id="140" w:name="xdx_40B_eus-gaap--ComprehensiveIncomeNet"/>
            <w:bookmarkEnd w:id="140"/>
          </w:p>
        </w:tc>
      </w:tr>
      <w:tr>
        <w:trPr/>
        <w:tc>
          <w:tcPr>
            <w:tcW w:w="4404"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(3,727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(3,618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(268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1" w:name="a_005"/>
      <w:bookmarkEnd w:id="141"/>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Months Ended June 30, 2025</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2" w:name="xdx_302_114_pn3n3_zcztEPDg7Iga"/>
      <w:bookmarkStart w:id="143" w:name="xdx_302_114_pn3n3_zcztEPDg7Iga"/>
      <w:bookmarkEnd w:id="143"/>
    </w:p>
    <w:tbl>
      <w:tblPr>
        <w:tblW w:w="10205" w:type="dxa"/>
        <w:jc w:val="left"/>
        <w:tblInd w:w="0" w:type="dxa"/>
        <w:tblLayout w:type="fixed"/>
        <w:tblCellMar>
          <w:top w:w="0" w:type="dxa"/>
          <w:left w:w="0" w:type="dxa"/>
          <w:bottom w:w="0" w:type="dxa"/>
          <w:right w:w="0" w:type="dxa"/>
        </w:tblCellMar>
      </w:tblPr>
      <w:tblGrid>
        <w:gridCol w:w="1788"/>
        <w:gridCol w:w="60"/>
        <w:gridCol w:w="60"/>
        <w:gridCol w:w="1100"/>
        <w:gridCol w:w="60"/>
        <w:gridCol w:w="60"/>
        <w:gridCol w:w="430"/>
        <w:gridCol w:w="430"/>
        <w:gridCol w:w="60"/>
        <w:gridCol w:w="60"/>
        <w:gridCol w:w="68"/>
        <w:gridCol w:w="642"/>
        <w:gridCol w:w="60"/>
        <w:gridCol w:w="60"/>
        <w:gridCol w:w="512"/>
        <w:gridCol w:w="348"/>
        <w:gridCol w:w="60"/>
        <w:gridCol w:w="60"/>
        <w:gridCol w:w="170"/>
        <w:gridCol w:w="979"/>
        <w:gridCol w:w="60"/>
        <w:gridCol w:w="60"/>
        <w:gridCol w:w="188"/>
        <w:gridCol w:w="1182"/>
        <w:gridCol w:w="95"/>
        <w:gridCol w:w="60"/>
        <w:gridCol w:w="234"/>
        <w:gridCol w:w="1146"/>
        <w:gridCol w:w="113"/>
      </w:tblGrid>
      <w:tr>
        <w:trPr/>
        <w:tc>
          <w:tcPr>
            <w:tcW w:w="17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4" w:name="xdx_4B2_us-gaap--StatementEquityComponen"/>
            <w:bookmarkEnd w:id="14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5" w:name="xdx_4B4_us-gaap--StatementEquityComponen"/>
            <w:bookmarkEnd w:id="14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6" w:name="xdx_4B8_us-gaap--StatementEquityComponen"/>
            <w:bookmarkEnd w:id="146"/>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7" w:name="xdx_4BC_us-gaap--StatementEquityComponen"/>
            <w:bookmarkEnd w:id="14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8" w:name="xdx_4B5_zGGRD54MLhW"/>
            <w:bookmarkEnd w:id="148"/>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center"/>
              <w:rPr/>
            </w:pPr>
            <w:r>
              <w:rPr/>
              <w:t> </w:t>
            </w:r>
          </w:p>
        </w:tc>
      </w:tr>
      <w:tr>
        <w:trPr/>
        <w:tc>
          <w:tcPr>
            <w:tcW w:w="17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Convertible </w:t>
              <w:b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9"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0" w:type="dxa"/>
            <w:gridSpan w:val="2"/>
            <w:tcBorders/>
            <w:vAlign w:val="center"/>
          </w:tcPr>
          <w:p>
            <w:pPr>
              <w:pStyle w:val="TableContents"/>
              <w:bidi w:val="0"/>
              <w:spacing w:before="0" w:after="283"/>
              <w:jc w:val="center"/>
              <w:rPr>
                <w:b/>
              </w:rPr>
            </w:pPr>
            <w:r>
              <w:rPr>
                <w:b/>
              </w:rPr>
              <w:t>Total Stockholders’</w:t>
            </w:r>
          </w:p>
        </w:tc>
        <w:tc>
          <w:tcPr>
            <w:tcW w:w="113" w:type="dxa"/>
            <w:tcBorders/>
            <w:vAlign w:val="center"/>
          </w:tcPr>
          <w:p>
            <w:pPr>
              <w:pStyle w:val="TableContents"/>
              <w:bidi w:val="0"/>
              <w:spacing w:before="0" w:after="283"/>
              <w:jc w:val="center"/>
              <w:rPr/>
            </w:pPr>
            <w:r>
              <w:rPr/>
              <w:t> </w:t>
            </w:r>
          </w:p>
        </w:tc>
      </w:tr>
      <w:tr>
        <w:trPr/>
        <w:tc>
          <w:tcPr>
            <w:tcW w:w="17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center"/>
              <w:rPr/>
            </w:pPr>
            <w:r>
              <w:rPr/>
              <w:t> </w:t>
            </w:r>
            <w:bookmarkStart w:id="149" w:name="xdx_43C_c20250401__20250630_eus-gaap--St"/>
            <w:bookmarkEnd w:id="149"/>
          </w:p>
        </w:tc>
      </w:tr>
      <w:tr>
        <w:trPr/>
        <w:tc>
          <w:tcPr>
            <w:tcW w:w="1788" w:type="dxa"/>
            <w:tcBorders/>
            <w:shd w:fill="CCEEFF" w:val="clear"/>
            <w:vAlign w:val="center"/>
          </w:tcPr>
          <w:p>
            <w:pPr>
              <w:pStyle w:val="TableContents"/>
              <w:bidi w:val="0"/>
              <w:spacing w:before="0" w:after="283"/>
              <w:jc w:val="left"/>
              <w:rPr>
                <w:b/>
              </w:rPr>
            </w:pPr>
            <w:r>
              <w:rPr>
                <w:b/>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2_eus-gaap--SharesOutstanding_iS_p"/>
            <w:bookmarkEnd w:id="150"/>
          </w:p>
        </w:tc>
        <w:tc>
          <w:tcPr>
            <w:tcW w:w="1100" w:type="dxa"/>
            <w:tcBorders/>
            <w:shd w:fill="CCEEFF" w:val="clear"/>
            <w:vAlign w:val="center"/>
          </w:tcPr>
          <w:p>
            <w:pPr>
              <w:pStyle w:val="TableContents"/>
              <w:bidi w:val="0"/>
              <w:spacing w:before="0" w:after="283"/>
              <w:jc w:val="right"/>
              <w:rPr/>
            </w:pPr>
            <w:r>
              <w:rPr/>
              <w:t>50,494,701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51" w:name="xdx_986_eus-gaap--SharesOutstanding_iS_p"/>
            <w:bookmarkEnd w:id="151"/>
          </w:p>
        </w:tc>
        <w:tc>
          <w:tcPr>
            <w:tcW w:w="642" w:type="dxa"/>
            <w:tcBorders/>
            <w:shd w:fill="CCEEFF" w:val="clear"/>
            <w:vAlign w:val="center"/>
          </w:tcPr>
          <w:p>
            <w:pPr>
              <w:pStyle w:val="TableContents"/>
              <w:bidi w:val="0"/>
              <w:spacing w:before="0" w:after="283"/>
              <w:jc w:val="right"/>
              <w:rPr/>
            </w:pPr>
            <w:r>
              <w:rPr/>
              <w:t>8,207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107,698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(105,136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2,567</w:t>
            </w:r>
          </w:p>
        </w:tc>
        <w:tc>
          <w:tcPr>
            <w:tcW w:w="113" w:type="dxa"/>
            <w:tcBorders/>
            <w:shd w:fill="CCEEFF" w:val="cle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2" w:name="xdx_403_eus-gaap--AdjustmentsToAdditiona"/>
            <w:bookmarkEnd w:id="152"/>
          </w:p>
        </w:tc>
      </w:tr>
      <w:tr>
        <w:trPr/>
        <w:tc>
          <w:tcPr>
            <w:tcW w:w="1788"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770</w:t>
            </w:r>
          </w:p>
        </w:tc>
        <w:tc>
          <w:tcPr>
            <w:tcW w:w="113" w:type="dxa"/>
            <w:tcBorders/>
            <w:shd w:fill="CCEEFF" w:val="clear"/>
            <w:vAlign w:val="center"/>
          </w:tcPr>
          <w:p>
            <w:pPr>
              <w:pStyle w:val="TableContents"/>
              <w:bidi w:val="0"/>
              <w:spacing w:before="0" w:after="283"/>
              <w:jc w:val="left"/>
              <w:rPr/>
            </w:pPr>
            <w:r>
              <w:rPr/>
              <w:t> </w:t>
            </w:r>
            <w:bookmarkStart w:id="153" w:name="xdx_404_ecustom--StockIssuedDuringPeriod"/>
            <w:bookmarkEnd w:id="153"/>
          </w:p>
        </w:tc>
      </w:tr>
      <w:tr>
        <w:trPr/>
        <w:tc>
          <w:tcPr>
            <w:tcW w:w="1788" w:type="dxa"/>
            <w:tcBorders/>
            <w:shd w:fill="FFFFFF" w:val="clear"/>
            <w:vAlign w:val="center"/>
          </w:tcPr>
          <w:p>
            <w:pPr>
              <w:pStyle w:val="TableContents"/>
              <w:bidi w:val="0"/>
              <w:spacing w:before="0" w:after="283"/>
              <w:jc w:val="left"/>
              <w:rPr/>
            </w:pPr>
            <w:r>
              <w:rPr/>
              <w:t>Dividends on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4" w:name="xdx_987_ecustom--StockIssuedDuringPeriod"/>
            <w:bookmarkEnd w:id="154"/>
          </w:p>
        </w:tc>
        <w:tc>
          <w:tcPr>
            <w:tcW w:w="1100" w:type="dxa"/>
            <w:tcBorders/>
            <w:shd w:fill="FFFFFF" w:val="clear"/>
            <w:vAlign w:val="center"/>
          </w:tcPr>
          <w:p>
            <w:pPr>
              <w:pStyle w:val="TableContents"/>
              <w:bidi w:val="0"/>
              <w:spacing w:before="0" w:after="283"/>
              <w:jc w:val="right"/>
              <w:rPr/>
            </w:pPr>
            <w:r>
              <w:rPr/>
              <w:t>139,431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55" w:name="xdx_408_ecustom--StockIssuedDuringPeriod"/>
            <w:bookmarkEnd w:id="155"/>
          </w:p>
        </w:tc>
      </w:tr>
      <w:tr>
        <w:trPr/>
        <w:tc>
          <w:tcPr>
            <w:tcW w:w="1788"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8_ecustom--StockIssuedDuringPeriod"/>
            <w:bookmarkEnd w:id="156"/>
          </w:p>
        </w:tc>
        <w:tc>
          <w:tcPr>
            <w:tcW w:w="1100" w:type="dxa"/>
            <w:tcBorders/>
            <w:shd w:fill="CCEEFF" w:val="clear"/>
            <w:vAlign w:val="center"/>
          </w:tcPr>
          <w:p>
            <w:pPr>
              <w:pStyle w:val="TableContents"/>
              <w:bidi w:val="0"/>
              <w:spacing w:before="0" w:after="283"/>
              <w:jc w:val="right"/>
              <w:rPr/>
            </w:pPr>
            <w:r>
              <w:rPr/>
              <w:t>94,403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57" w:name="xdx_408_eus-gaap--StockIssuedDuringPerio"/>
            <w:bookmarkEnd w:id="157"/>
          </w:p>
        </w:tc>
      </w:tr>
      <w:tr>
        <w:trPr/>
        <w:tc>
          <w:tcPr>
            <w:tcW w:w="1788" w:type="dxa"/>
            <w:tcBorders/>
            <w:shd w:fill="FFFFFF" w:val="clear"/>
            <w:vAlign w:val="center"/>
          </w:tcPr>
          <w:p>
            <w:pPr>
              <w:pStyle w:val="TableContents"/>
              <w:bidi w:val="0"/>
              <w:spacing w:before="0" w:after="283"/>
              <w:jc w:val="left"/>
              <w:rPr/>
            </w:pPr>
            <w:r>
              <w:rPr/>
              <w:t>Common Stock issued with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8" w:name="xdx_98E_eus-gaap--StockIssuedDuringPerio"/>
            <w:bookmarkEnd w:id="158"/>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59" w:name="xdx_404_eus-gaap--AdjustmentsToAdditiona"/>
            <w:bookmarkEnd w:id="159"/>
          </w:p>
        </w:tc>
      </w:tr>
      <w:tr>
        <w:trPr/>
        <w:tc>
          <w:tcPr>
            <w:tcW w:w="1788" w:type="dxa"/>
            <w:tcBorders/>
            <w:shd w:fill="CCEEFF" w:val="clear"/>
            <w:vAlign w:val="center"/>
          </w:tcPr>
          <w:p>
            <w:pPr>
              <w:pStyle w:val="TableContents"/>
              <w:bidi w:val="0"/>
              <w:spacing w:before="0" w:after="283"/>
              <w:jc w:val="left"/>
              <w:rPr/>
            </w:pPr>
            <w:r>
              <w:rPr/>
              <w:t>Reclassification of warrant liability due to warrant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12,151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12,151</w:t>
            </w:r>
          </w:p>
        </w:tc>
        <w:tc>
          <w:tcPr>
            <w:tcW w:w="113" w:type="dxa"/>
            <w:tcBorders/>
            <w:shd w:fill="CCEEFF" w:val="clear"/>
            <w:vAlign w:val="center"/>
          </w:tcPr>
          <w:p>
            <w:pPr>
              <w:pStyle w:val="TableContents"/>
              <w:bidi w:val="0"/>
              <w:spacing w:before="0" w:after="283"/>
              <w:jc w:val="left"/>
              <w:rPr/>
            </w:pPr>
            <w:r>
              <w:rPr/>
              <w:t> </w:t>
            </w:r>
            <w:bookmarkStart w:id="160" w:name="xdx_404_eus-gaap--NetIncomeLoss_z7zoEB11"/>
            <w:bookmarkEnd w:id="160"/>
          </w:p>
        </w:tc>
      </w:tr>
      <w:tr>
        <w:trPr/>
        <w:tc>
          <w:tcPr>
            <w:tcW w:w="1788"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(3,727</w:t>
            </w:r>
          </w:p>
        </w:tc>
        <w:tc>
          <w:tcPr>
            <w:tcW w:w="113" w:type="dxa"/>
            <w:tcBorders/>
            <w:shd w:fill="FFFFFF" w:val="clear"/>
            <w:vAlign w:val="center"/>
          </w:tcPr>
          <w:p>
            <w:pPr>
              <w:pStyle w:val="TableContents"/>
              <w:bidi w:val="0"/>
              <w:spacing w:before="0" w:after="283"/>
              <w:jc w:val="left"/>
              <w:rPr/>
            </w:pPr>
            <w:r>
              <w:rPr/>
              <w:t>)</w:t>
            </w:r>
            <w:bookmarkStart w:id="161" w:name="xdx_43E_c20250401__20250630_eus-gaap--St"/>
            <w:bookmarkEnd w:id="161"/>
          </w:p>
        </w:tc>
      </w:tr>
      <w:tr>
        <w:trPr/>
        <w:tc>
          <w:tcPr>
            <w:tcW w:w="1788"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D_eus-gaap--SharesOutstanding_iE_p"/>
            <w:bookmarkEnd w:id="162"/>
          </w:p>
        </w:tc>
        <w:tc>
          <w:tcPr>
            <w:tcW w:w="1100" w:type="dxa"/>
            <w:tcBorders/>
            <w:shd w:fill="CCEEFF" w:val="clear"/>
            <w:vAlign w:val="center"/>
          </w:tcPr>
          <w:p>
            <w:pPr>
              <w:pStyle w:val="TableContents"/>
              <w:bidi w:val="0"/>
              <w:spacing w:before="0" w:after="283"/>
              <w:jc w:val="right"/>
              <w:rPr>
                <w:b/>
              </w:rPr>
            </w:pPr>
            <w:r>
              <w:rPr>
                <w:b/>
              </w:rPr>
              <w:t>50,728,535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3" w:name="xdx_983_eus-gaap--SharesOutstanding_iE_p"/>
            <w:bookmarkEnd w:id="163"/>
          </w:p>
        </w:tc>
        <w:tc>
          <w:tcPr>
            <w:tcW w:w="642" w:type="dxa"/>
            <w:tcBorders/>
            <w:shd w:fill="CCEEFF" w:val="clear"/>
            <w:vAlign w:val="center"/>
          </w:tcPr>
          <w:p>
            <w:pPr>
              <w:pStyle w:val="TableContents"/>
              <w:bidi w:val="0"/>
              <w:spacing w:before="0" w:after="283"/>
              <w:jc w:val="right"/>
              <w:rPr>
                <w:b/>
              </w:rPr>
            </w:pPr>
            <w:r>
              <w:rPr>
                <w:b/>
              </w:rPr>
              <w:t>8,207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b/>
              </w:rPr>
            </w:pPr>
            <w:r>
              <w:rPr>
                <w:b/>
              </w:rPr>
              <w:t>$</w:t>
            </w:r>
          </w:p>
        </w:tc>
        <w:tc>
          <w:tcPr>
            <w:tcW w:w="348"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79" w:type="dxa"/>
            <w:tcBorders/>
            <w:shd w:fill="CCEEFF" w:val="clear"/>
            <w:vAlign w:val="center"/>
          </w:tcPr>
          <w:p>
            <w:pPr>
              <w:pStyle w:val="TableContents"/>
              <w:bidi w:val="0"/>
              <w:spacing w:before="0" w:after="283"/>
              <w:jc w:val="right"/>
              <w:rPr>
                <w:b/>
              </w:rPr>
            </w:pPr>
            <w:r>
              <w:rPr>
                <w:b/>
              </w:rPr>
              <w:t>120,783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(109,027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b/>
              </w:rPr>
            </w:pPr>
            <w:r>
              <w:rPr>
                <w:b/>
              </w:rPr>
              <w:t>$</w:t>
            </w:r>
          </w:p>
        </w:tc>
        <w:tc>
          <w:tcPr>
            <w:tcW w:w="1146" w:type="dxa"/>
            <w:tcBorders/>
            <w:shd w:fill="CCEEFF" w:val="clear"/>
            <w:vAlign w:val="center"/>
          </w:tcPr>
          <w:p>
            <w:pPr>
              <w:pStyle w:val="TableContents"/>
              <w:bidi w:val="0"/>
              <w:spacing w:before="0" w:after="283"/>
              <w:jc w:val="right"/>
              <w:rPr>
                <w:b/>
              </w:rPr>
            </w:pPr>
            <w:r>
              <w:rPr>
                <w:b/>
              </w:rPr>
              <w:t>11,761</w:t>
            </w:r>
          </w:p>
        </w:tc>
        <w:tc>
          <w:tcPr>
            <w:tcW w:w="113" w:type="dxa"/>
            <w:tcBorders/>
            <w:shd w:fill="CCEEFF" w:val="cle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788" w:type="dxa"/>
            <w:tcBorders/>
            <w:shd w:fill="CCEEFF" w:val="clear"/>
            <w:vAlign w:val="center"/>
          </w:tcPr>
          <w:p>
            <w:pPr>
              <w:pStyle w:val="TableContents"/>
              <w:bidi w:val="0"/>
              <w:spacing w:before="0" w:after="283"/>
              <w:jc w:val="left"/>
              <w:rPr>
                <w:b/>
                <w:u w:val="single"/>
              </w:rPr>
            </w:pPr>
            <w:r>
              <w:rPr>
                <w:b/>
                <w:u w:val="single"/>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4" w:name="xdx_43A_c20250101__20250630_eus-gaap--St"/>
            <w:bookmarkEnd w:id="164"/>
          </w:p>
        </w:tc>
      </w:tr>
      <w:tr>
        <w:trPr/>
        <w:tc>
          <w:tcPr>
            <w:tcW w:w="1788"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3_eus-gaap--SharesOutstanding_iS_p"/>
            <w:bookmarkEnd w:id="165"/>
          </w:p>
        </w:tc>
        <w:tc>
          <w:tcPr>
            <w:tcW w:w="1100" w:type="dxa"/>
            <w:tcBorders/>
            <w:shd w:fill="CCEEFF" w:val="clear"/>
            <w:vAlign w:val="center"/>
          </w:tcPr>
          <w:p>
            <w:pPr>
              <w:pStyle w:val="TableContents"/>
              <w:bidi w:val="0"/>
              <w:spacing w:before="0" w:after="283"/>
              <w:jc w:val="right"/>
              <w:rPr/>
            </w:pPr>
            <w:r>
              <w:rPr/>
              <w:t>47,101,631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66" w:name="xdx_988_eus-gaap--SharesOutstanding_iS_p"/>
            <w:bookmarkEnd w:id="166"/>
          </w:p>
        </w:tc>
        <w:tc>
          <w:tcPr>
            <w:tcW w:w="642" w:type="dxa"/>
            <w:tcBorders/>
            <w:shd w:fill="CCEEFF" w:val="clear"/>
            <w:vAlign w:val="center"/>
          </w:tcPr>
          <w:p>
            <w:pPr>
              <w:pStyle w:val="TableContents"/>
              <w:bidi w:val="0"/>
              <w:spacing w:before="0" w:after="283"/>
              <w:jc w:val="right"/>
              <w:rPr/>
            </w:pPr>
            <w:r>
              <w:rPr/>
              <w:t>8,207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105,326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(105,081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250</w:t>
            </w:r>
          </w:p>
        </w:tc>
        <w:tc>
          <w:tcPr>
            <w:tcW w:w="113" w:type="dxa"/>
            <w:tcBorders/>
            <w:shd w:fill="CCEEFF" w:val="clear"/>
            <w:vAlign w:val="center"/>
          </w:tcPr>
          <w:p>
            <w:pPr>
              <w:pStyle w:val="TableContents"/>
              <w:bidi w:val="0"/>
              <w:spacing w:before="0" w:after="283"/>
              <w:jc w:val="left"/>
              <w:rPr/>
            </w:pPr>
            <w:r>
              <w:rPr/>
              <w:t> </w:t>
            </w:r>
            <w:bookmarkStart w:id="167" w:name="xdx_403_eus-gaap--AdjustmentsToAdditiona"/>
            <w:bookmarkEnd w:id="167"/>
          </w:p>
        </w:tc>
      </w:tr>
      <w:tr>
        <w:trPr/>
        <w:tc>
          <w:tcPr>
            <w:tcW w:w="1788"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2,435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2,435</w:t>
            </w:r>
          </w:p>
        </w:tc>
        <w:tc>
          <w:tcPr>
            <w:tcW w:w="113" w:type="dxa"/>
            <w:tcBorders/>
            <w:shd w:fill="FFFFFF" w:val="clear"/>
            <w:vAlign w:val="center"/>
          </w:tcPr>
          <w:p>
            <w:pPr>
              <w:pStyle w:val="TableContents"/>
              <w:bidi w:val="0"/>
              <w:spacing w:before="0" w:after="283"/>
              <w:jc w:val="left"/>
              <w:rPr/>
            </w:pPr>
            <w:r>
              <w:rPr/>
              <w:t> </w:t>
            </w:r>
            <w:bookmarkStart w:id="168" w:name="xdx_404_ecustom--StockIssuedDuringPeriod"/>
            <w:bookmarkEnd w:id="168"/>
          </w:p>
        </w:tc>
      </w:tr>
      <w:tr>
        <w:trPr/>
        <w:tc>
          <w:tcPr>
            <w:tcW w:w="1788" w:type="dxa"/>
            <w:tcBorders/>
            <w:shd w:fill="CCEEFF" w:val="clear"/>
            <w:vAlign w:val="center"/>
          </w:tcPr>
          <w:p>
            <w:pPr>
              <w:pStyle w:val="TableContents"/>
              <w:bidi w:val="0"/>
              <w:spacing w:before="0" w:after="283"/>
              <w:jc w:val="left"/>
              <w:rPr/>
            </w:pPr>
            <w:r>
              <w:rPr/>
              <w:t>Dividends on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D_ecustom--StockIssuedDuringPeriod"/>
            <w:bookmarkEnd w:id="169"/>
          </w:p>
        </w:tc>
        <w:tc>
          <w:tcPr>
            <w:tcW w:w="1100" w:type="dxa"/>
            <w:tcBorders/>
            <w:shd w:fill="CCEEFF" w:val="clear"/>
            <w:vAlign w:val="center"/>
          </w:tcPr>
          <w:p>
            <w:pPr>
              <w:pStyle w:val="TableContents"/>
              <w:bidi w:val="0"/>
              <w:spacing w:before="0" w:after="283"/>
              <w:jc w:val="right"/>
              <w:rPr/>
            </w:pPr>
            <w:r>
              <w:rPr/>
              <w:t>252,636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0" w:name="xdx_408_ecustom--StockIssuedDuringPeriod"/>
            <w:bookmarkEnd w:id="170"/>
          </w:p>
        </w:tc>
      </w:tr>
      <w:tr>
        <w:trPr/>
        <w:tc>
          <w:tcPr>
            <w:tcW w:w="1788"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2_ecustom--StockIssuedDuringPeriod"/>
            <w:bookmarkEnd w:id="171"/>
          </w:p>
        </w:tc>
        <w:tc>
          <w:tcPr>
            <w:tcW w:w="1100" w:type="dxa"/>
            <w:tcBorders/>
            <w:shd w:fill="FFFFFF" w:val="clear"/>
            <w:vAlign w:val="center"/>
          </w:tcPr>
          <w:p>
            <w:pPr>
              <w:pStyle w:val="TableContents"/>
              <w:bidi w:val="0"/>
              <w:spacing w:before="0" w:after="283"/>
              <w:jc w:val="right"/>
              <w:rPr/>
            </w:pPr>
            <w:r>
              <w:rPr/>
              <w:t>157,602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2" w:name="xdx_408_eus-gaap--StockIssuedDuringPerio"/>
            <w:bookmarkEnd w:id="172"/>
          </w:p>
        </w:tc>
      </w:tr>
      <w:tr>
        <w:trPr/>
        <w:tc>
          <w:tcPr>
            <w:tcW w:w="1788" w:type="dxa"/>
            <w:tcBorders/>
            <w:shd w:fill="CCEEFF" w:val="clear"/>
            <w:vAlign w:val="center"/>
          </w:tcPr>
          <w:p>
            <w:pPr>
              <w:pStyle w:val="TableContents"/>
              <w:bidi w:val="0"/>
              <w:spacing w:before="0" w:after="283"/>
              <w:jc w:val="left"/>
              <w:rPr/>
            </w:pPr>
            <w:r>
              <w:rPr/>
              <w:t>Common Stock issued with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 w:name="xdx_980_eus-gaap--StockIssuedDuringPerio"/>
            <w:bookmarkEnd w:id="173"/>
          </w:p>
        </w:tc>
        <w:tc>
          <w:tcPr>
            <w:tcW w:w="1100" w:type="dxa"/>
            <w:tcBorders/>
            <w:shd w:fill="CCEEFF" w:val="clear"/>
            <w:vAlign w:val="center"/>
          </w:tcPr>
          <w:p>
            <w:pPr>
              <w:pStyle w:val="TableContents"/>
              <w:bidi w:val="0"/>
              <w:spacing w:before="0" w:after="283"/>
              <w:jc w:val="right"/>
              <w:rPr/>
            </w:pPr>
            <w:r>
              <w:rPr/>
              <w:t>3,216,666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543</w:t>
            </w:r>
          </w:p>
        </w:tc>
        <w:tc>
          <w:tcPr>
            <w:tcW w:w="113" w:type="dxa"/>
            <w:tcBorders/>
            <w:shd w:fill="CCEEFF" w:val="clear"/>
            <w:vAlign w:val="center"/>
          </w:tcPr>
          <w:p>
            <w:pPr>
              <w:pStyle w:val="TableContents"/>
              <w:bidi w:val="0"/>
              <w:spacing w:before="0" w:after="283"/>
              <w:jc w:val="left"/>
              <w:rPr/>
            </w:pPr>
            <w:r>
              <w:rPr/>
              <w:t> </w:t>
            </w:r>
            <w:bookmarkStart w:id="174" w:name="xdx_404_eus-gaap--AdjustmentsToAdditiona"/>
            <w:bookmarkEnd w:id="174"/>
          </w:p>
        </w:tc>
      </w:tr>
      <w:tr>
        <w:trPr/>
        <w:tc>
          <w:tcPr>
            <w:tcW w:w="1788" w:type="dxa"/>
            <w:tcBorders/>
            <w:shd w:fill="FFFFFF" w:val="clear"/>
            <w:vAlign w:val="center"/>
          </w:tcPr>
          <w:p>
            <w:pPr>
              <w:pStyle w:val="TableContents"/>
              <w:bidi w:val="0"/>
              <w:spacing w:before="0" w:after="283"/>
              <w:jc w:val="left"/>
              <w:rPr/>
            </w:pPr>
            <w:r>
              <w:rPr/>
              <w:t>Reclassification of warrant liability due to warrant amendment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12,151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12,151</w:t>
            </w:r>
          </w:p>
        </w:tc>
        <w:tc>
          <w:tcPr>
            <w:tcW w:w="113" w:type="dxa"/>
            <w:tcBorders/>
            <w:shd w:fill="FFFFFF" w:val="clear"/>
            <w:vAlign w:val="center"/>
          </w:tcPr>
          <w:p>
            <w:pPr>
              <w:pStyle w:val="TableContents"/>
              <w:bidi w:val="0"/>
              <w:spacing w:before="0" w:after="283"/>
              <w:jc w:val="left"/>
              <w:rPr/>
            </w:pPr>
            <w:r>
              <w:rPr/>
              <w:t> </w:t>
            </w:r>
            <w:bookmarkStart w:id="175" w:name="xdx_404_eus-gaap--NetIncomeLoss_zsv2XiDj"/>
            <w:bookmarkEnd w:id="175"/>
          </w:p>
        </w:tc>
      </w:tr>
      <w:tr>
        <w:trPr/>
        <w:tc>
          <w:tcPr>
            <w:tcW w:w="1788"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(3,618</w:t>
            </w:r>
          </w:p>
        </w:tc>
        <w:tc>
          <w:tcPr>
            <w:tcW w:w="113" w:type="dxa"/>
            <w:tcBorders/>
            <w:shd w:fill="CCEEFF" w:val="clear"/>
            <w:vAlign w:val="center"/>
          </w:tcPr>
          <w:p>
            <w:pPr>
              <w:pStyle w:val="TableContents"/>
              <w:bidi w:val="0"/>
              <w:spacing w:before="0" w:after="283"/>
              <w:jc w:val="left"/>
              <w:rPr/>
            </w:pPr>
            <w:r>
              <w:rPr/>
              <w:t>)</w:t>
            </w:r>
            <w:bookmarkStart w:id="176" w:name="xdx_437_c20250101__20250630_eus-gaap--St"/>
            <w:bookmarkEnd w:id="176"/>
          </w:p>
        </w:tc>
      </w:tr>
      <w:tr>
        <w:trPr/>
        <w:tc>
          <w:tcPr>
            <w:tcW w:w="1788"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7_eus-gaap--SharesOutstanding_iE_p"/>
            <w:bookmarkEnd w:id="177"/>
          </w:p>
        </w:tc>
        <w:tc>
          <w:tcPr>
            <w:tcW w:w="1100" w:type="dxa"/>
            <w:tcBorders/>
            <w:shd w:fill="FFFFFF" w:val="clear"/>
            <w:vAlign w:val="center"/>
          </w:tcPr>
          <w:p>
            <w:pPr>
              <w:pStyle w:val="TableContents"/>
              <w:bidi w:val="0"/>
              <w:spacing w:before="0" w:after="283"/>
              <w:jc w:val="right"/>
              <w:rPr>
                <w:b/>
              </w:rPr>
            </w:pPr>
            <w:r>
              <w:rPr>
                <w:b/>
              </w:rPr>
              <w:t>50,728,535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b/>
              </w:rPr>
            </w:pPr>
            <w:r>
              <w:rPr>
                <w:b/>
              </w:rPr>
              <w:t>$</w:t>
            </w:r>
          </w:p>
        </w:tc>
        <w:tc>
          <w:tcPr>
            <w:tcW w:w="430"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178" w:name="xdx_983_eus-gaap--SharesOutstanding_iE_p"/>
            <w:bookmarkEnd w:id="178"/>
          </w:p>
        </w:tc>
        <w:tc>
          <w:tcPr>
            <w:tcW w:w="642" w:type="dxa"/>
            <w:tcBorders/>
            <w:shd w:fill="FFFFFF" w:val="clear"/>
            <w:vAlign w:val="center"/>
          </w:tcPr>
          <w:p>
            <w:pPr>
              <w:pStyle w:val="TableContents"/>
              <w:bidi w:val="0"/>
              <w:spacing w:before="0" w:after="283"/>
              <w:jc w:val="right"/>
              <w:rPr>
                <w:b/>
              </w:rPr>
            </w:pPr>
            <w:r>
              <w:rPr>
                <w:b/>
              </w:rPr>
              <w:t>8,207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b/>
              </w:rPr>
            </w:pPr>
            <w:r>
              <w:rPr>
                <w:b/>
              </w:rPr>
              <w:t>$</w:t>
            </w:r>
          </w:p>
        </w:tc>
        <w:tc>
          <w:tcPr>
            <w:tcW w:w="34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b/>
              </w:rPr>
            </w:pPr>
            <w:r>
              <w:rPr>
                <w:b/>
              </w:rPr>
              <w:t>$</w:t>
            </w:r>
          </w:p>
        </w:tc>
        <w:tc>
          <w:tcPr>
            <w:tcW w:w="979" w:type="dxa"/>
            <w:tcBorders/>
            <w:shd w:fill="FFFFFF" w:val="clear"/>
            <w:vAlign w:val="center"/>
          </w:tcPr>
          <w:p>
            <w:pPr>
              <w:pStyle w:val="TableContents"/>
              <w:bidi w:val="0"/>
              <w:spacing w:before="0" w:after="283"/>
              <w:jc w:val="right"/>
              <w:rPr>
                <w:b/>
              </w:rPr>
            </w:pPr>
            <w:r>
              <w:rPr>
                <w:b/>
              </w:rPr>
              <w:t>120,783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(109,027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b/>
              </w:rPr>
            </w:pPr>
            <w:r>
              <w:rPr>
                <w:b/>
              </w:rPr>
              <w:t>$</w:t>
            </w:r>
          </w:p>
        </w:tc>
        <w:tc>
          <w:tcPr>
            <w:tcW w:w="1146" w:type="dxa"/>
            <w:tcBorders/>
            <w:shd w:fill="FFFFFF" w:val="clear"/>
            <w:vAlign w:val="center"/>
          </w:tcPr>
          <w:p>
            <w:pPr>
              <w:pStyle w:val="TableContents"/>
              <w:bidi w:val="0"/>
              <w:spacing w:before="0" w:after="283"/>
              <w:jc w:val="right"/>
              <w:rPr>
                <w:b/>
              </w:rPr>
            </w:pPr>
            <w:r>
              <w:rPr>
                <w:b/>
              </w:rPr>
              <w:t>11,761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months Ended June 30, 2024</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5"/>
        <w:gridCol w:w="60"/>
        <w:gridCol w:w="60"/>
        <w:gridCol w:w="1102"/>
        <w:gridCol w:w="60"/>
        <w:gridCol w:w="60"/>
        <w:gridCol w:w="430"/>
        <w:gridCol w:w="430"/>
        <w:gridCol w:w="60"/>
        <w:gridCol w:w="60"/>
        <w:gridCol w:w="74"/>
        <w:gridCol w:w="650"/>
        <w:gridCol w:w="97"/>
        <w:gridCol w:w="61"/>
        <w:gridCol w:w="512"/>
        <w:gridCol w:w="348"/>
        <w:gridCol w:w="60"/>
        <w:gridCol w:w="60"/>
        <w:gridCol w:w="174"/>
        <w:gridCol w:w="1003"/>
        <w:gridCol w:w="60"/>
        <w:gridCol w:w="60"/>
        <w:gridCol w:w="214"/>
        <w:gridCol w:w="1156"/>
        <w:gridCol w:w="95"/>
        <w:gridCol w:w="60"/>
        <w:gridCol w:w="156"/>
        <w:gridCol w:w="963"/>
        <w:gridCol w:w="115"/>
      </w:tblGrid>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2"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5"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5" w:type="dxa"/>
            <w:tcBorders/>
            <w:vAlign w:val="center"/>
          </w:tcPr>
          <w:p>
            <w:pPr>
              <w:pStyle w:val="TableContents"/>
              <w:bidi w:val="0"/>
              <w:spacing w:before="0" w:after="283"/>
              <w:jc w:val="left"/>
              <w:rPr/>
            </w:pPr>
            <w:r>
              <w:rPr/>
              <w:t> </w:t>
            </w:r>
            <w:bookmarkStart w:id="179" w:name="xdx_43E_c20240401__20240630_eus-gaap--St"/>
            <w:bookmarkEnd w:id="179"/>
          </w:p>
        </w:tc>
      </w:tr>
      <w:tr>
        <w:trPr/>
        <w:tc>
          <w:tcPr>
            <w:tcW w:w="1965"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0" w:name="xdx_98B_eus-gaap--SharesOutstanding_iS_p"/>
            <w:bookmarkEnd w:id="180"/>
          </w:p>
        </w:tc>
        <w:tc>
          <w:tcPr>
            <w:tcW w:w="1102" w:type="dxa"/>
            <w:tcBorders/>
            <w:shd w:fill="CCEEFF" w:val="clear"/>
            <w:vAlign w:val="center"/>
          </w:tcPr>
          <w:p>
            <w:pPr>
              <w:pStyle w:val="TableContents"/>
              <w:bidi w:val="0"/>
              <w:spacing w:before="0" w:after="283"/>
              <w:jc w:val="right"/>
              <w:rPr/>
            </w:pPr>
            <w:r>
              <w:rPr/>
              <w:t>44,373,107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181" w:name="xdx_987_eus-gaap--SharesOutstanding_iS_p"/>
            <w:bookmarkEnd w:id="181"/>
          </w:p>
        </w:tc>
        <w:tc>
          <w:tcPr>
            <w:tcW w:w="650" w:type="dxa"/>
            <w:tcBorders/>
            <w:shd w:fill="CCEEFF" w:val="clear"/>
            <w:vAlign w:val="center"/>
          </w:tcPr>
          <w:p>
            <w:pPr>
              <w:pStyle w:val="TableContents"/>
              <w:bidi w:val="0"/>
              <w:spacing w:before="0" w:after="283"/>
              <w:jc w:val="right"/>
              <w:rPr/>
            </w:pPr>
            <w:r>
              <w:rPr/>
              <w:t>9,798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102,539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(98,060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     </w:t>
            </w:r>
            <w:r>
              <w:rPr/>
              <w:t>4,483</w:t>
            </w:r>
          </w:p>
        </w:tc>
        <w:tc>
          <w:tcPr>
            <w:tcW w:w="115"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82" w:name="xdx_408_eus-gaap--AdjustmentsToAdditiona"/>
            <w:bookmarkEnd w:id="182"/>
          </w:p>
        </w:tc>
      </w:tr>
      <w:tr>
        <w:trPr/>
        <w:tc>
          <w:tcPr>
            <w:tcW w:w="1965"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243</w:t>
            </w:r>
          </w:p>
        </w:tc>
        <w:tc>
          <w:tcPr>
            <w:tcW w:w="115" w:type="dxa"/>
            <w:tcBorders/>
            <w:shd w:fill="CCEEFF" w:val="clear"/>
            <w:vAlign w:val="center"/>
          </w:tcPr>
          <w:p>
            <w:pPr>
              <w:pStyle w:val="TableContents"/>
              <w:bidi w:val="0"/>
              <w:spacing w:before="0" w:after="283"/>
              <w:jc w:val="left"/>
              <w:rPr/>
            </w:pPr>
            <w:r>
              <w:rPr/>
              <w:t> </w:t>
            </w:r>
            <w:bookmarkStart w:id="183" w:name="xdx_405_ecustom--StockIssuedDuringPeriod"/>
            <w:bookmarkEnd w:id="183"/>
          </w:p>
        </w:tc>
      </w:tr>
      <w:tr>
        <w:trPr/>
        <w:tc>
          <w:tcPr>
            <w:tcW w:w="1965" w:type="dxa"/>
            <w:tcBorders/>
            <w:shd w:fill="FFFFFF" w:val="clear"/>
            <w:vAlign w:val="center"/>
          </w:tcPr>
          <w:p>
            <w:pPr>
              <w:pStyle w:val="TableContents"/>
              <w:bidi w:val="0"/>
              <w:spacing w:before="0" w:after="283"/>
              <w:jc w:val="left"/>
              <w:rPr/>
            </w:pPr>
            <w:r>
              <w:rPr/>
              <w:t>Dividends on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(500</w:t>
            </w:r>
          </w:p>
        </w:tc>
        <w:tc>
          <w:tcPr>
            <w:tcW w:w="115" w:type="dxa"/>
            <w:tcBorders/>
            <w:shd w:fill="FFFFFF" w:val="clear"/>
            <w:vAlign w:val="center"/>
          </w:tcPr>
          <w:p>
            <w:pPr>
              <w:pStyle w:val="TableContents"/>
              <w:bidi w:val="0"/>
              <w:spacing w:before="0" w:after="283"/>
              <w:jc w:val="left"/>
              <w:rPr/>
            </w:pPr>
            <w:r>
              <w:rPr/>
              <w:t>)</w:t>
            </w:r>
            <w:bookmarkStart w:id="184" w:name="xdx_40A_eus-gaap--StockIssuedDuringPerio"/>
            <w:bookmarkEnd w:id="184"/>
          </w:p>
        </w:tc>
      </w:tr>
      <w:tr>
        <w:trPr/>
        <w:tc>
          <w:tcPr>
            <w:tcW w:w="1965" w:type="dxa"/>
            <w:tcBorders/>
            <w:shd w:fill="CCEEFF" w:val="clear"/>
            <w:vAlign w:val="center"/>
          </w:tcPr>
          <w:p>
            <w:pPr>
              <w:pStyle w:val="TableContents"/>
              <w:bidi w:val="0"/>
              <w:spacing w:before="0" w:after="283"/>
              <w:jc w:val="left"/>
              <w:rPr/>
            </w:pPr>
            <w:r>
              <w:rPr/>
              <w:t>Common Stock issued upon convertible preferred stock exercising conversion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B_eus-gaap--StockIssuedDuringPerio"/>
            <w:bookmarkEnd w:id="185"/>
          </w:p>
        </w:tc>
        <w:tc>
          <w:tcPr>
            <w:tcW w:w="1102" w:type="dxa"/>
            <w:tcBorders/>
            <w:shd w:fill="CCEEFF" w:val="clear"/>
            <w:vAlign w:val="center"/>
          </w:tcPr>
          <w:p>
            <w:pPr>
              <w:pStyle w:val="TableContents"/>
              <w:bidi w:val="0"/>
              <w:spacing w:before="0" w:after="283"/>
              <w:jc w:val="right"/>
              <w:rPr/>
            </w:pPr>
            <w:r>
              <w:rPr/>
              <w:t>1,316,699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186" w:name="xdx_985_eus-gaap--StockIssuedDuringPerio"/>
            <w:bookmarkEnd w:id="186"/>
          </w:p>
        </w:tc>
        <w:tc>
          <w:tcPr>
            <w:tcW w:w="650" w:type="dxa"/>
            <w:tcBorders/>
            <w:shd w:fill="CCEEFF" w:val="clear"/>
            <w:vAlign w:val="center"/>
          </w:tcPr>
          <w:p>
            <w:pPr>
              <w:pStyle w:val="TableContents"/>
              <w:bidi w:val="0"/>
              <w:spacing w:before="0" w:after="283"/>
              <w:jc w:val="right"/>
              <w:rPr/>
            </w:pPr>
            <w:r>
              <w:rPr/>
              <w:t>(1,591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87" w:name="xdx_401_ecustom--StockIssuedDuringPeriod"/>
            <w:bookmarkEnd w:id="187"/>
          </w:p>
        </w:tc>
      </w:tr>
      <w:tr>
        <w:trPr/>
        <w:tc>
          <w:tcPr>
            <w:tcW w:w="1965"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8" w:name="xdx_982_ecustom--StockIssuedDuringPeriod"/>
            <w:bookmarkEnd w:id="188"/>
          </w:p>
        </w:tc>
        <w:tc>
          <w:tcPr>
            <w:tcW w:w="1102" w:type="dxa"/>
            <w:tcBorders/>
            <w:shd w:fill="FFFFFF" w:val="clear"/>
            <w:vAlign w:val="center"/>
          </w:tcPr>
          <w:p>
            <w:pPr>
              <w:pStyle w:val="TableContents"/>
              <w:bidi w:val="0"/>
              <w:spacing w:before="0" w:after="283"/>
              <w:jc w:val="right"/>
              <w:rPr/>
            </w:pPr>
            <w:r>
              <w:rPr/>
              <w:t>103,306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89" w:name="xdx_404_eus-gaap--NetIncomeLoss_zXh4Wfrp"/>
            <w:bookmarkEnd w:id="189"/>
          </w:p>
        </w:tc>
      </w:tr>
      <w:tr>
        <w:trPr/>
        <w:tc>
          <w:tcPr>
            <w:tcW w:w="1965"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115" w:type="dxa"/>
            <w:tcBorders/>
            <w:shd w:fill="CCEEFF" w:val="clear"/>
            <w:vAlign w:val="center"/>
          </w:tcPr>
          <w:p>
            <w:pPr>
              <w:pStyle w:val="TableContents"/>
              <w:bidi w:val="0"/>
              <w:spacing w:before="0" w:after="283"/>
              <w:jc w:val="left"/>
              <w:rPr/>
            </w:pPr>
            <w:r>
              <w:rPr/>
              <w:t>)</w:t>
            </w:r>
            <w:bookmarkStart w:id="190" w:name="xdx_439_c20240401__20240630_eus-gaap--St"/>
            <w:bookmarkEnd w:id="190"/>
          </w:p>
        </w:tc>
      </w:tr>
      <w:tr>
        <w:trPr/>
        <w:tc>
          <w:tcPr>
            <w:tcW w:w="1965"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1" w:name="xdx_989_eus-gaap--SharesOutstanding_iE_p"/>
            <w:bookmarkEnd w:id="191"/>
          </w:p>
        </w:tc>
        <w:tc>
          <w:tcPr>
            <w:tcW w:w="1102" w:type="dxa"/>
            <w:tcBorders/>
            <w:shd w:fill="FFFFFF" w:val="clear"/>
            <w:vAlign w:val="center"/>
          </w:tcPr>
          <w:p>
            <w:pPr>
              <w:pStyle w:val="TableContents"/>
              <w:bidi w:val="0"/>
              <w:spacing w:before="0" w:after="283"/>
              <w:jc w:val="right"/>
              <w:rPr>
                <w:b/>
              </w:rPr>
            </w:pPr>
            <w:r>
              <w:rPr>
                <w:b/>
              </w:rPr>
              <w:t>45,793,112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b/>
              </w:rPr>
            </w:pPr>
            <w:r>
              <w:rPr>
                <w:b/>
              </w:rPr>
              <w:t>$</w:t>
            </w:r>
          </w:p>
        </w:tc>
        <w:tc>
          <w:tcPr>
            <w:tcW w:w="430" w:type="dxa"/>
            <w:tcBorders/>
            <w:shd w:fill="FFFFFF" w:val="cle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92" w:name="xdx_98A_eus-gaap--SharesOutstanding_iE_p"/>
            <w:bookmarkEnd w:id="192"/>
          </w:p>
        </w:tc>
        <w:tc>
          <w:tcPr>
            <w:tcW w:w="650" w:type="dxa"/>
            <w:tcBorders/>
            <w:shd w:fill="FFFFFF" w:val="clear"/>
            <w:vAlign w:val="center"/>
          </w:tcPr>
          <w:p>
            <w:pPr>
              <w:pStyle w:val="TableContents"/>
              <w:bidi w:val="0"/>
              <w:spacing w:before="0" w:after="283"/>
              <w:jc w:val="right"/>
              <w:rPr>
                <w:b/>
              </w:rPr>
            </w:pPr>
            <w:r>
              <w:rPr>
                <w:b/>
              </w:rPr>
              <w:t>8,207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b/>
              </w:rPr>
            </w:pPr>
            <w:r>
              <w:rPr>
                <w:b/>
              </w:rPr>
              <w:t>$</w:t>
            </w:r>
          </w:p>
        </w:tc>
        <w:tc>
          <w:tcPr>
            <w:tcW w:w="34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b/>
              </w:rPr>
            </w:pPr>
            <w:r>
              <w:rPr>
                <w:b/>
              </w:rPr>
              <w:t>$</w:t>
            </w:r>
          </w:p>
        </w:tc>
        <w:tc>
          <w:tcPr>
            <w:tcW w:w="1003" w:type="dxa"/>
            <w:tcBorders/>
            <w:shd w:fill="FFFFFF" w:val="clear"/>
            <w:vAlign w:val="center"/>
          </w:tcPr>
          <w:p>
            <w:pPr>
              <w:pStyle w:val="TableContents"/>
              <w:bidi w:val="0"/>
              <w:spacing w:before="0" w:after="283"/>
              <w:jc w:val="right"/>
              <w:rPr>
                <w:b/>
              </w:rPr>
            </w:pPr>
            <w:r>
              <w:rPr>
                <w:b/>
              </w:rPr>
              <w:t>102,793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b/>
              </w:rPr>
            </w:pPr>
            <w:r>
              <w:rPr>
                <w:b/>
              </w:rPr>
              <w:t>$</w:t>
            </w:r>
          </w:p>
        </w:tc>
        <w:tc>
          <w:tcPr>
            <w:tcW w:w="1156" w:type="dxa"/>
            <w:tcBorders/>
            <w:shd w:fill="FFFFFF" w:val="clear"/>
            <w:vAlign w:val="center"/>
          </w:tcPr>
          <w:p>
            <w:pPr>
              <w:pStyle w:val="TableContents"/>
              <w:bidi w:val="0"/>
              <w:spacing w:before="0" w:after="283"/>
              <w:jc w:val="right"/>
              <w:rPr>
                <w:b/>
              </w:rPr>
            </w:pPr>
            <w:r>
              <w:rPr>
                <w:b/>
              </w:rPr>
              <w:t>(98,956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963" w:type="dxa"/>
            <w:tcBorders/>
            <w:shd w:fill="FFFFFF" w:val="clear"/>
            <w:vAlign w:val="center"/>
          </w:tcPr>
          <w:p>
            <w:pPr>
              <w:pStyle w:val="TableContents"/>
              <w:bidi w:val="0"/>
              <w:spacing w:before="0" w:after="283"/>
              <w:jc w:val="right"/>
              <w:rPr>
                <w:b/>
              </w:rPr>
            </w:pPr>
            <w:r>
              <w:rPr>
                <w:b/>
              </w:rPr>
              <w:t>3,841</w:t>
            </w:r>
          </w:p>
        </w:tc>
        <w:tc>
          <w:tcPr>
            <w:tcW w:w="115"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Six months Ended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93" w:name="xdx_434_c20240101__20240630_eus-gaap--St"/>
            <w:bookmarkEnd w:id="193"/>
          </w:p>
        </w:tc>
      </w:tr>
      <w:tr>
        <w:trPr/>
        <w:tc>
          <w:tcPr>
            <w:tcW w:w="1965" w:type="dxa"/>
            <w:tcBorders/>
            <w:shd w:fill="FFFFFF" w:val="clear"/>
            <w:vAlign w:val="center"/>
          </w:tcPr>
          <w:p>
            <w:pPr>
              <w:pStyle w:val="TableContents"/>
              <w:bidi w:val="0"/>
              <w:spacing w:before="0" w:after="283"/>
              <w:jc w:val="left"/>
              <w:rPr>
                <w:b/>
              </w:rPr>
            </w:pPr>
            <w:r>
              <w:rPr>
                <w:b/>
              </w:rPr>
              <w:t>Balance at 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4" w:name="xdx_984_eus-gaap--SharesOutstanding_iS_p"/>
            <w:bookmarkEnd w:id="194"/>
          </w:p>
        </w:tc>
        <w:tc>
          <w:tcPr>
            <w:tcW w:w="1102" w:type="dxa"/>
            <w:tcBorders/>
            <w:shd w:fill="FFFFFF" w:val="clear"/>
            <w:vAlign w:val="center"/>
          </w:tcPr>
          <w:p>
            <w:pPr>
              <w:pStyle w:val="TableContents"/>
              <w:bidi w:val="0"/>
              <w:spacing w:before="0" w:after="283"/>
              <w:jc w:val="right"/>
              <w:rPr/>
            </w:pPr>
            <w:r>
              <w:rPr/>
              <w:t>43,855,503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w:t>
            </w:r>
          </w:p>
        </w:tc>
        <w:tc>
          <w:tcPr>
            <w:tcW w:w="43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195" w:name="xdx_98F_eus-gaap--SharesOutstanding_iS_p"/>
            <w:bookmarkEnd w:id="195"/>
          </w:p>
        </w:tc>
        <w:tc>
          <w:tcPr>
            <w:tcW w:w="650" w:type="dxa"/>
            <w:tcBorders/>
            <w:shd w:fill="FFFFFF" w:val="clear"/>
            <w:vAlign w:val="center"/>
          </w:tcPr>
          <w:p>
            <w:pPr>
              <w:pStyle w:val="TableContents"/>
              <w:bidi w:val="0"/>
              <w:spacing w:before="0" w:after="283"/>
              <w:jc w:val="right"/>
              <w:rPr/>
            </w:pPr>
            <w:r>
              <w:rPr/>
              <w:t>9,898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1003" w:type="dxa"/>
            <w:tcBorders/>
            <w:shd w:fill="FFFFFF" w:val="clear"/>
            <w:vAlign w:val="center"/>
          </w:tcPr>
          <w:p>
            <w:pPr>
              <w:pStyle w:val="TableContents"/>
              <w:bidi w:val="0"/>
              <w:spacing w:before="0" w:after="283"/>
              <w:jc w:val="right"/>
              <w:rPr/>
            </w:pPr>
            <w:r>
              <w:rPr/>
              <w:t>101,147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(97,988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963" w:type="dxa"/>
            <w:tcBorders/>
            <w:shd w:fill="FFFFFF" w:val="clear"/>
            <w:vAlign w:val="center"/>
          </w:tcPr>
          <w:p>
            <w:pPr>
              <w:pStyle w:val="TableContents"/>
              <w:bidi w:val="0"/>
              <w:spacing w:before="0" w:after="283"/>
              <w:jc w:val="right"/>
              <w:rPr/>
            </w:pPr>
            <w:r>
              <w:rPr/>
              <w:t>3,163</w:t>
            </w:r>
          </w:p>
        </w:tc>
        <w:tc>
          <w:tcPr>
            <w:tcW w:w="115" w:type="dxa"/>
            <w:tcBorders/>
            <w:shd w:fill="FFFFFF" w:val="clear"/>
            <w:vAlign w:val="center"/>
          </w:tcPr>
          <w:p>
            <w:pPr>
              <w:pStyle w:val="TableContents"/>
              <w:bidi w:val="0"/>
              <w:spacing w:before="0" w:after="283"/>
              <w:jc w:val="left"/>
              <w:rPr/>
            </w:pPr>
            <w:r>
              <w:rPr/>
              <w:t> </w:t>
            </w:r>
            <w:bookmarkStart w:id="196" w:name="xdx_43A_c20240101__20240630_eus-gaap--St"/>
            <w:bookmarkEnd w:id="196"/>
          </w:p>
        </w:tc>
      </w:tr>
      <w:tr>
        <w:trPr/>
        <w:tc>
          <w:tcPr>
            <w:tcW w:w="1965"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7" w:name="xdx_984_eus-gaap--SharesOutstanding_iS_p"/>
            <w:bookmarkEnd w:id="197"/>
          </w:p>
        </w:tc>
        <w:tc>
          <w:tcPr>
            <w:tcW w:w="1102" w:type="dxa"/>
            <w:tcBorders/>
            <w:shd w:fill="CCEEFF" w:val="clear"/>
            <w:vAlign w:val="center"/>
          </w:tcPr>
          <w:p>
            <w:pPr>
              <w:pStyle w:val="TableContents"/>
              <w:bidi w:val="0"/>
              <w:spacing w:before="0" w:after="283"/>
              <w:jc w:val="right"/>
              <w:rPr/>
            </w:pPr>
            <w:r>
              <w:rPr/>
              <w:t>43,855,503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198" w:name="xdx_98D_eus-gaap--SharesOutstanding_iS_p"/>
            <w:bookmarkEnd w:id="198"/>
          </w:p>
        </w:tc>
        <w:tc>
          <w:tcPr>
            <w:tcW w:w="650" w:type="dxa"/>
            <w:tcBorders/>
            <w:shd w:fill="CCEEFF" w:val="clear"/>
            <w:vAlign w:val="center"/>
          </w:tcPr>
          <w:p>
            <w:pPr>
              <w:pStyle w:val="TableContents"/>
              <w:bidi w:val="0"/>
              <w:spacing w:before="0" w:after="283"/>
              <w:jc w:val="right"/>
              <w:rPr/>
            </w:pPr>
            <w:r>
              <w:rPr/>
              <w:t>9,898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101,147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(97,988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3,163</w:t>
            </w:r>
          </w:p>
        </w:tc>
        <w:tc>
          <w:tcPr>
            <w:tcW w:w="115" w:type="dxa"/>
            <w:tcBorders/>
            <w:shd w:fill="CCEEFF" w:val="clear"/>
            <w:vAlign w:val="center"/>
          </w:tcPr>
          <w:p>
            <w:pPr>
              <w:pStyle w:val="TableContents"/>
              <w:bidi w:val="0"/>
              <w:spacing w:before="0" w:after="283"/>
              <w:jc w:val="left"/>
              <w:rPr/>
            </w:pPr>
            <w:r>
              <w:rPr/>
              <w:t> </w:t>
            </w:r>
            <w:bookmarkStart w:id="199" w:name="xdx_403_eus-gaap--StockIssuedDuringPerio"/>
            <w:bookmarkEnd w:id="199"/>
          </w:p>
        </w:tc>
      </w:tr>
      <w:tr>
        <w:trPr/>
        <w:tc>
          <w:tcPr>
            <w:tcW w:w="1965" w:type="dxa"/>
            <w:tcBorders/>
            <w:shd w:fill="CCEEFF" w:val="clear"/>
            <w:vAlign w:val="center"/>
          </w:tcPr>
          <w:p>
            <w:pPr>
              <w:pStyle w:val="TableContents"/>
              <w:bidi w:val="0"/>
              <w:spacing w:before="0" w:after="283"/>
              <w:jc w:val="left"/>
              <w:rPr/>
            </w:pPr>
            <w:r>
              <w:rPr/>
              <w:t>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E_eus-gaap--StockIssuedDuringPerio"/>
            <w:bookmarkEnd w:id="200"/>
          </w:p>
        </w:tc>
        <w:tc>
          <w:tcPr>
            <w:tcW w:w="1102" w:type="dxa"/>
            <w:tcBorders/>
            <w:shd w:fill="CCEEFF" w:val="clear"/>
            <w:vAlign w:val="center"/>
          </w:tcPr>
          <w:p>
            <w:pPr>
              <w:pStyle w:val="TableContents"/>
              <w:bidi w:val="0"/>
              <w:spacing w:before="0" w:after="283"/>
              <w:jc w:val="right"/>
              <w:rPr/>
            </w:pPr>
            <w:r>
              <w:rPr/>
              <w:t>232,081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bookmarkStart w:id="201" w:name="xdx_408_eus-gaap--AdjustmentsToAdditiona"/>
            <w:bookmarkEnd w:id="201"/>
          </w:p>
        </w:tc>
      </w:tr>
      <w:tr>
        <w:trPr/>
        <w:tc>
          <w:tcPr>
            <w:tcW w:w="1965"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918</w:t>
            </w:r>
          </w:p>
        </w:tc>
        <w:tc>
          <w:tcPr>
            <w:tcW w:w="115" w:type="dxa"/>
            <w:tcBorders/>
            <w:shd w:fill="FFFFFF" w:val="clear"/>
            <w:vAlign w:val="center"/>
          </w:tcPr>
          <w:p>
            <w:pPr>
              <w:pStyle w:val="TableContents"/>
              <w:bidi w:val="0"/>
              <w:spacing w:before="0" w:after="283"/>
              <w:jc w:val="left"/>
              <w:rPr/>
            </w:pPr>
            <w:r>
              <w:rPr/>
              <w:t> </w:t>
            </w:r>
            <w:bookmarkStart w:id="202" w:name="xdx_405_ecustom--StockIssuedDuringPeriod"/>
            <w:bookmarkEnd w:id="202"/>
          </w:p>
        </w:tc>
      </w:tr>
      <w:tr>
        <w:trPr/>
        <w:tc>
          <w:tcPr>
            <w:tcW w:w="1965" w:type="dxa"/>
            <w:tcBorders/>
            <w:shd w:fill="CCEEFF" w:val="clear"/>
            <w:vAlign w:val="center"/>
          </w:tcPr>
          <w:p>
            <w:pPr>
              <w:pStyle w:val="TableContents"/>
              <w:bidi w:val="0"/>
              <w:spacing w:before="0" w:after="283"/>
              <w:jc w:val="left"/>
              <w:rPr/>
            </w:pPr>
            <w:r>
              <w:rPr/>
              <w:t>Dividends on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D_ecustom--StockIssuedDuringPeriod"/>
            <w:bookmarkEnd w:id="203"/>
          </w:p>
        </w:tc>
        <w:tc>
          <w:tcPr>
            <w:tcW w:w="1102" w:type="dxa"/>
            <w:tcBorders/>
            <w:shd w:fill="CCEEFF" w:val="clear"/>
            <w:vAlign w:val="center"/>
          </w:tcPr>
          <w:p>
            <w:pPr>
              <w:pStyle w:val="TableContents"/>
              <w:bidi w:val="0"/>
              <w:spacing w:before="0" w:after="283"/>
              <w:jc w:val="right"/>
              <w:rPr/>
            </w:pPr>
            <w:r>
              <w:rPr/>
              <w:t>128,233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(560</w:t>
            </w:r>
          </w:p>
        </w:tc>
        <w:tc>
          <w:tcPr>
            <w:tcW w:w="115" w:type="dxa"/>
            <w:tcBorders/>
            <w:shd w:fill="CCEEFF" w:val="clear"/>
            <w:vAlign w:val="center"/>
          </w:tcPr>
          <w:p>
            <w:pPr>
              <w:pStyle w:val="TableContents"/>
              <w:bidi w:val="0"/>
              <w:spacing w:before="0" w:after="283"/>
              <w:jc w:val="left"/>
              <w:rPr/>
            </w:pPr>
            <w:r>
              <w:rPr/>
              <w:t>)</w:t>
            </w:r>
            <w:bookmarkStart w:id="204" w:name="xdx_40A_eus-gaap--StockIssuedDuringPerio"/>
            <w:bookmarkEnd w:id="204"/>
          </w:p>
        </w:tc>
      </w:tr>
      <w:tr>
        <w:trPr/>
        <w:tc>
          <w:tcPr>
            <w:tcW w:w="1965" w:type="dxa"/>
            <w:tcBorders/>
            <w:shd w:fill="FFFFFF" w:val="clear"/>
            <w:vAlign w:val="center"/>
          </w:tcPr>
          <w:p>
            <w:pPr>
              <w:pStyle w:val="TableContents"/>
              <w:bidi w:val="0"/>
              <w:spacing w:before="0" w:after="283"/>
              <w:jc w:val="left"/>
              <w:rPr/>
            </w:pPr>
            <w:r>
              <w:rPr/>
              <w:t>Common Stock issued upon convertible preferred stock exercising conversion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5" w:name="xdx_985_eus-gaap--StockIssuedDuringPerio"/>
            <w:bookmarkEnd w:id="205"/>
          </w:p>
        </w:tc>
        <w:tc>
          <w:tcPr>
            <w:tcW w:w="1102" w:type="dxa"/>
            <w:tcBorders/>
            <w:shd w:fill="FFFFFF" w:val="clear"/>
            <w:vAlign w:val="center"/>
          </w:tcPr>
          <w:p>
            <w:pPr>
              <w:pStyle w:val="TableContents"/>
              <w:bidi w:val="0"/>
              <w:spacing w:before="0" w:after="283"/>
              <w:jc w:val="right"/>
              <w:rPr/>
            </w:pPr>
            <w:r>
              <w:rPr/>
              <w:t>1,391,183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206" w:name="xdx_98D_eus-gaap--StockIssuedDuringPerio"/>
            <w:bookmarkEnd w:id="206"/>
          </w:p>
        </w:tc>
        <w:tc>
          <w:tcPr>
            <w:tcW w:w="650" w:type="dxa"/>
            <w:tcBorders/>
            <w:shd w:fill="FFFFFF" w:val="clear"/>
            <w:vAlign w:val="center"/>
          </w:tcPr>
          <w:p>
            <w:pPr>
              <w:pStyle w:val="TableContents"/>
              <w:bidi w:val="0"/>
              <w:spacing w:before="0" w:after="283"/>
              <w:jc w:val="right"/>
              <w:rPr/>
            </w:pPr>
            <w:r>
              <w:rPr/>
              <w:t>(1,691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07" w:name="xdx_401_ecustom--StockIssuedDuringPeriod"/>
            <w:bookmarkEnd w:id="207"/>
          </w:p>
        </w:tc>
      </w:tr>
      <w:tr>
        <w:trPr/>
        <w:tc>
          <w:tcPr>
            <w:tcW w:w="1965"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1_ecustom--StockIssuedDuringPeriod"/>
            <w:bookmarkEnd w:id="208"/>
          </w:p>
        </w:tc>
        <w:tc>
          <w:tcPr>
            <w:tcW w:w="1102" w:type="dxa"/>
            <w:tcBorders/>
            <w:shd w:fill="CCEEFF" w:val="clear"/>
            <w:vAlign w:val="center"/>
          </w:tcPr>
          <w:p>
            <w:pPr>
              <w:pStyle w:val="TableContents"/>
              <w:bidi w:val="0"/>
              <w:spacing w:before="0" w:after="283"/>
              <w:jc w:val="right"/>
              <w:rPr/>
            </w:pPr>
            <w:r>
              <w:rPr/>
              <w:t>186,112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09" w:name="xdx_404_eus-gaap--NetIncomeLoss_z4liLFo6"/>
            <w:bookmarkEnd w:id="209"/>
          </w:p>
        </w:tc>
      </w:tr>
      <w:tr>
        <w:trPr/>
        <w:tc>
          <w:tcPr>
            <w:tcW w:w="1965"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(268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8" w:space="0" w:color="000000"/>
            </w:tcBorders>
            <w:shd w:fill="FFFFFF" w:val="clear"/>
            <w:tcMar>
              <w:bottom w:w="28" w:type="dxa"/>
            </w:tcMar>
            <w:vAlign w:val="center"/>
          </w:tcPr>
          <w:p>
            <w:pPr>
              <w:pStyle w:val="TableContents"/>
              <w:bidi w:val="0"/>
              <w:spacing w:before="0" w:after="283"/>
              <w:jc w:val="right"/>
              <w:rPr/>
            </w:pPr>
            <w:r>
              <w:rPr/>
              <w:t>(268</w:t>
            </w:r>
          </w:p>
        </w:tc>
        <w:tc>
          <w:tcPr>
            <w:tcW w:w="115" w:type="dxa"/>
            <w:tcBorders/>
            <w:shd w:fill="FFFFFF" w:val="clear"/>
            <w:vAlign w:val="center"/>
          </w:tcPr>
          <w:p>
            <w:pPr>
              <w:pStyle w:val="TableContents"/>
              <w:bidi w:val="0"/>
              <w:spacing w:before="0" w:after="283"/>
              <w:jc w:val="left"/>
              <w:rPr/>
            </w:pPr>
            <w:r>
              <w:rPr/>
              <w:t>)</w:t>
            </w:r>
            <w:bookmarkStart w:id="210" w:name="xdx_43C_c20240101__20240630_eus-gaap--St"/>
            <w:bookmarkEnd w:id="210"/>
          </w:p>
        </w:tc>
      </w:tr>
      <w:tr>
        <w:trPr/>
        <w:tc>
          <w:tcPr>
            <w:tcW w:w="1965" w:type="dxa"/>
            <w:tcBorders/>
            <w:shd w:fill="CCEEFF" w:val="clear"/>
            <w:vAlign w:val="center"/>
          </w:tcPr>
          <w:p>
            <w:pPr>
              <w:pStyle w:val="TableContents"/>
              <w:bidi w:val="0"/>
              <w:spacing w:before="0" w:after="283"/>
              <w:jc w:val="left"/>
              <w:rPr>
                <w:b/>
              </w:rPr>
            </w:pPr>
            <w:r>
              <w:rPr>
                <w:b/>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1" w:name="xdx_98A_eus-gaap--SharesOutstanding_iE_p"/>
            <w:bookmarkEnd w:id="211"/>
          </w:p>
        </w:tc>
        <w:tc>
          <w:tcPr>
            <w:tcW w:w="1102" w:type="dxa"/>
            <w:tcBorders/>
            <w:shd w:fill="CCEEFF" w:val="clear"/>
            <w:vAlign w:val="center"/>
          </w:tcPr>
          <w:p>
            <w:pPr>
              <w:pStyle w:val="TableContents"/>
              <w:bidi w:val="0"/>
              <w:spacing w:before="0" w:after="283"/>
              <w:jc w:val="right"/>
              <w:rPr>
                <w:b/>
              </w:rPr>
            </w:pPr>
            <w:r>
              <w:rPr>
                <w:b/>
              </w:rPr>
              <w:t>45,793,112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b/>
              </w:rPr>
            </w:pPr>
            <w:r>
              <w:rPr>
                <w:b/>
              </w:rPr>
              <w:t>$</w:t>
            </w:r>
          </w:p>
        </w:tc>
        <w:tc>
          <w:tcPr>
            <w:tcW w:w="430" w:type="dxa"/>
            <w:tcBorders/>
            <w:shd w:fill="CCEEFF" w:val="clear"/>
            <w:vAlign w:val="center"/>
          </w:tcPr>
          <w:p>
            <w:pPr>
              <w:pStyle w:val="TableContents"/>
              <w:bidi w:val="0"/>
              <w:spacing w:before="0" w:after="283"/>
              <w:jc w:val="right"/>
              <w:rPr>
                <w:b/>
              </w:rPr>
            </w:pPr>
            <w:r>
              <w:rPr>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212" w:name="xdx_98B_eus-gaap--SharesOutstanding_iE_p"/>
            <w:bookmarkEnd w:id="212"/>
          </w:p>
        </w:tc>
        <w:tc>
          <w:tcPr>
            <w:tcW w:w="650" w:type="dxa"/>
            <w:tcBorders/>
            <w:shd w:fill="CCEEFF" w:val="clear"/>
            <w:vAlign w:val="center"/>
          </w:tcPr>
          <w:p>
            <w:pPr>
              <w:pStyle w:val="TableContents"/>
              <w:bidi w:val="0"/>
              <w:spacing w:before="0" w:after="283"/>
              <w:jc w:val="right"/>
              <w:rPr>
                <w:b/>
              </w:rPr>
            </w:pPr>
            <w:r>
              <w:rPr>
                <w:b/>
              </w:rPr>
              <w:t>8,207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b/>
              </w:rPr>
            </w:pPr>
            <w:r>
              <w:rPr>
                <w:b/>
              </w:rPr>
              <w:t>$</w:t>
            </w:r>
          </w:p>
        </w:tc>
        <w:tc>
          <w:tcPr>
            <w:tcW w:w="348"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1003" w:type="dxa"/>
            <w:tcBorders/>
            <w:shd w:fill="CCEEFF" w:val="clear"/>
            <w:vAlign w:val="center"/>
          </w:tcPr>
          <w:p>
            <w:pPr>
              <w:pStyle w:val="TableContents"/>
              <w:bidi w:val="0"/>
              <w:spacing w:before="0" w:after="283"/>
              <w:jc w:val="right"/>
              <w:rPr>
                <w:b/>
              </w:rPr>
            </w:pPr>
            <w:r>
              <w:rPr>
                <w:b/>
              </w:rPr>
              <w:t>102,793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(98,956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b/>
              </w:rPr>
            </w:pPr>
            <w:r>
              <w:rPr>
                <w:b/>
              </w:rPr>
              <w:t>$</w:t>
            </w:r>
          </w:p>
        </w:tc>
        <w:tc>
          <w:tcPr>
            <w:tcW w:w="963" w:type="dxa"/>
            <w:tcBorders/>
            <w:shd w:fill="CCEEFF" w:val="clear"/>
            <w:vAlign w:val="center"/>
          </w:tcPr>
          <w:p>
            <w:pPr>
              <w:pStyle w:val="TableContents"/>
              <w:bidi w:val="0"/>
              <w:spacing w:before="0" w:after="283"/>
              <w:jc w:val="right"/>
              <w:rPr>
                <w:b/>
              </w:rPr>
            </w:pPr>
            <w:r>
              <w:rPr>
                <w:b/>
              </w:rPr>
              <w:t>3,841</w:t>
            </w:r>
          </w:p>
        </w:tc>
        <w:tc>
          <w:tcPr>
            <w:tcW w:w="115" w:type="dxa"/>
            <w:tcBorders/>
            <w:shd w:fill="CCEEFF" w:val="clear"/>
            <w:vAlign w:val="center"/>
          </w:tcPr>
          <w:p>
            <w:pPr>
              <w:pStyle w:val="TableContents"/>
              <w:bidi w:val="0"/>
              <w:spacing w:before="0" w:after="283"/>
              <w:jc w:val="left"/>
              <w:rPr/>
            </w:pPr>
            <w:r>
              <w:rPr/>
              <w:t> </w:t>
            </w:r>
            <w:bookmarkStart w:id="213" w:name="xdx_431_c20240101__20240630_eus-gaap--St"/>
            <w:bookmarkEnd w:id="213"/>
          </w:p>
        </w:tc>
      </w:tr>
      <w:tr>
        <w:trPr/>
        <w:tc>
          <w:tcPr>
            <w:tcW w:w="1965"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F_eus-gaap--SharesOutstanding_iE_p"/>
            <w:bookmarkEnd w:id="214"/>
          </w:p>
        </w:tc>
        <w:tc>
          <w:tcPr>
            <w:tcW w:w="1102" w:type="dxa"/>
            <w:tcBorders/>
            <w:shd w:fill="FFFFFF" w:val="clear"/>
            <w:vAlign w:val="center"/>
          </w:tcPr>
          <w:p>
            <w:pPr>
              <w:pStyle w:val="TableContents"/>
              <w:bidi w:val="0"/>
              <w:spacing w:before="0" w:after="283"/>
              <w:jc w:val="right"/>
              <w:rPr>
                <w:b/>
              </w:rPr>
            </w:pPr>
            <w:r>
              <w:rPr>
                <w:b/>
              </w:rPr>
              <w:t>45,793,112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b/>
              </w:rPr>
            </w:pPr>
            <w:r>
              <w:rPr>
                <w:b/>
              </w:rPr>
              <w:t>$</w:t>
            </w:r>
          </w:p>
        </w:tc>
        <w:tc>
          <w:tcPr>
            <w:tcW w:w="430" w:type="dxa"/>
            <w:tcBorders/>
            <w:shd w:fill="FFFFFF" w:val="cle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215" w:name="xdx_986_eus-gaap--SharesOutstanding_iE_p"/>
            <w:bookmarkEnd w:id="215"/>
          </w:p>
        </w:tc>
        <w:tc>
          <w:tcPr>
            <w:tcW w:w="650" w:type="dxa"/>
            <w:tcBorders/>
            <w:shd w:fill="FFFFFF" w:val="clear"/>
            <w:vAlign w:val="center"/>
          </w:tcPr>
          <w:p>
            <w:pPr>
              <w:pStyle w:val="TableContents"/>
              <w:bidi w:val="0"/>
              <w:spacing w:before="0" w:after="283"/>
              <w:jc w:val="right"/>
              <w:rPr>
                <w:b/>
              </w:rPr>
            </w:pPr>
            <w:r>
              <w:rPr>
                <w:b/>
              </w:rPr>
              <w:t>8,207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b/>
              </w:rPr>
            </w:pPr>
            <w:r>
              <w:rPr>
                <w:b/>
              </w:rPr>
              <w:t>$</w:t>
            </w:r>
          </w:p>
        </w:tc>
        <w:tc>
          <w:tcPr>
            <w:tcW w:w="34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b/>
              </w:rPr>
            </w:pPr>
            <w:r>
              <w:rPr>
                <w:b/>
              </w:rPr>
              <w:t>$</w:t>
            </w:r>
          </w:p>
        </w:tc>
        <w:tc>
          <w:tcPr>
            <w:tcW w:w="1003" w:type="dxa"/>
            <w:tcBorders/>
            <w:shd w:fill="FFFFFF" w:val="clear"/>
            <w:vAlign w:val="center"/>
          </w:tcPr>
          <w:p>
            <w:pPr>
              <w:pStyle w:val="TableContents"/>
              <w:bidi w:val="0"/>
              <w:spacing w:before="0" w:after="283"/>
              <w:jc w:val="right"/>
              <w:rPr>
                <w:b/>
              </w:rPr>
            </w:pPr>
            <w:r>
              <w:rPr>
                <w:b/>
              </w:rPr>
              <w:t>102,793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b/>
              </w:rPr>
            </w:pPr>
            <w:r>
              <w:rPr>
                <w:b/>
              </w:rPr>
              <w:t>$</w:t>
            </w:r>
          </w:p>
        </w:tc>
        <w:tc>
          <w:tcPr>
            <w:tcW w:w="1156" w:type="dxa"/>
            <w:tcBorders/>
            <w:shd w:fill="FFFFFF" w:val="clear"/>
            <w:vAlign w:val="center"/>
          </w:tcPr>
          <w:p>
            <w:pPr>
              <w:pStyle w:val="TableContents"/>
              <w:bidi w:val="0"/>
              <w:spacing w:before="0" w:after="283"/>
              <w:jc w:val="right"/>
              <w:rPr>
                <w:b/>
              </w:rPr>
            </w:pPr>
            <w:r>
              <w:rPr>
                <w:b/>
              </w:rPr>
              <w:t>(98,956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963" w:type="dxa"/>
            <w:tcBorders/>
            <w:shd w:fill="FFFFFF" w:val="clear"/>
            <w:vAlign w:val="center"/>
          </w:tcPr>
          <w:p>
            <w:pPr>
              <w:pStyle w:val="TableContents"/>
              <w:bidi w:val="0"/>
              <w:spacing w:before="0" w:after="283"/>
              <w:jc w:val="right"/>
              <w:rPr>
                <w:b/>
              </w:rPr>
            </w:pPr>
            <w:r>
              <w:rPr>
                <w:b/>
              </w:rPr>
              <w:t>3,841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6" w:name="a_006"/>
      <w:bookmarkEnd w:id="216"/>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7" w:name="xdx_305_112_pn3n3_z2BslzKTsJUk"/>
      <w:bookmarkStart w:id="218" w:name="xdx_305_112_pn3n3_z2BslzKTsJUk"/>
      <w:bookmarkEnd w:id="218"/>
    </w:p>
    <w:tbl>
      <w:tblPr>
        <w:tblW w:w="10205" w:type="dxa"/>
        <w:jc w:val="left"/>
        <w:tblInd w:w="0" w:type="dxa"/>
        <w:tblLayout w:type="fixed"/>
        <w:tblCellMar>
          <w:top w:w="0" w:type="dxa"/>
          <w:left w:w="0" w:type="dxa"/>
          <w:bottom w:w="0" w:type="dxa"/>
          <w:right w:w="0" w:type="dxa"/>
        </w:tblCellMar>
      </w:tblPr>
      <w:tblGrid>
        <w:gridCol w:w="7301"/>
        <w:gridCol w:w="60"/>
        <w:gridCol w:w="218"/>
        <w:gridCol w:w="1062"/>
        <w:gridCol w:w="148"/>
        <w:gridCol w:w="93"/>
        <w:gridCol w:w="218"/>
        <w:gridCol w:w="992"/>
        <w:gridCol w:w="113"/>
      </w:tblGrid>
      <w:tr>
        <w:trPr/>
        <w:tc>
          <w:tcPr>
            <w:tcW w:w="7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9" w:name="xdx_490_20250101__20250630_zRHOPPPT1dYl"/>
            <w:bookmarkEnd w:id="219"/>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220" w:name="xdx_495_20240101__20240630_zahYs45wscl1"/>
            <w:bookmarkEnd w:id="220"/>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3" w:type="dxa"/>
            <w:tcBorders/>
            <w:vAlign w:val="center"/>
          </w:tcPr>
          <w:p>
            <w:pPr>
              <w:pStyle w:val="TableContents"/>
              <w:bidi w:val="0"/>
              <w:spacing w:before="0" w:after="283"/>
              <w:jc w:val="left"/>
              <w:rPr/>
            </w:pPr>
            <w:r>
              <w:rPr/>
              <w:t> </w:t>
            </w:r>
          </w:p>
        </w:tc>
      </w:tr>
      <w:tr>
        <w:trPr/>
        <w:tc>
          <w:tcPr>
            <w:tcW w:w="7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221" w:name="xdx_40C_eus-gaap--NetCashProvidedByUsedI"/>
            <w:bookmarkEnd w:id="221"/>
          </w:p>
        </w:tc>
      </w:tr>
      <w:tr>
        <w:trPr/>
        <w:tc>
          <w:tcPr>
            <w:tcW w:w="730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22" w:name="xdx_406_eus-gaap--NetIncomeLoss_i01_maCz"/>
            <w:bookmarkEnd w:id="222"/>
          </w:p>
        </w:tc>
      </w:tr>
      <w:tr>
        <w:trPr/>
        <w:tc>
          <w:tcPr>
            <w:tcW w:w="73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(3,618</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(268</w:t>
            </w:r>
          </w:p>
        </w:tc>
        <w:tc>
          <w:tcPr>
            <w:tcW w:w="113" w:type="dxa"/>
            <w:tcBorders/>
            <w:shd w:fill="FFFFFF" w:val="clear"/>
            <w:vAlign w:val="center"/>
          </w:tcPr>
          <w:p>
            <w:pPr>
              <w:pStyle w:val="TableContents"/>
              <w:bidi w:val="0"/>
              <w:spacing w:before="0" w:after="283"/>
              <w:jc w:val="left"/>
              <w:rPr/>
            </w:pPr>
            <w:r>
              <w:rPr/>
              <w:t>)</w:t>
            </w:r>
            <w:bookmarkStart w:id="223" w:name="xdx_40B_eus-gaap--AdjustmentsToReconcile"/>
            <w:bookmarkEnd w:id="223"/>
          </w:p>
        </w:tc>
      </w:tr>
      <w:tr>
        <w:trPr/>
        <w:tc>
          <w:tcPr>
            <w:tcW w:w="7301"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24" w:name="xdx_40E_eus-gaap--DepreciationAndAmortiz"/>
            <w:bookmarkEnd w:id="224"/>
          </w:p>
        </w:tc>
      </w:tr>
      <w:tr>
        <w:trPr/>
        <w:tc>
          <w:tcPr>
            <w:tcW w:w="730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304</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451</w:t>
            </w:r>
          </w:p>
        </w:tc>
        <w:tc>
          <w:tcPr>
            <w:tcW w:w="113" w:type="dxa"/>
            <w:tcBorders/>
            <w:shd w:fill="FFFFFF" w:val="clear"/>
            <w:vAlign w:val="center"/>
          </w:tcPr>
          <w:p>
            <w:pPr>
              <w:pStyle w:val="TableContents"/>
              <w:bidi w:val="0"/>
              <w:spacing w:before="0" w:after="283"/>
              <w:jc w:val="left"/>
              <w:rPr/>
            </w:pPr>
            <w:r>
              <w:rPr/>
              <w:t> </w:t>
            </w:r>
            <w:bookmarkStart w:id="225" w:name="xdx_40B_eus-gaap--ShareBasedCompensation"/>
            <w:bookmarkEnd w:id="225"/>
          </w:p>
        </w:tc>
      </w:tr>
      <w:tr>
        <w:trPr/>
        <w:tc>
          <w:tcPr>
            <w:tcW w:w="7301"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2,435</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918</w:t>
            </w:r>
          </w:p>
        </w:tc>
        <w:tc>
          <w:tcPr>
            <w:tcW w:w="113" w:type="dxa"/>
            <w:tcBorders/>
            <w:shd w:fill="CCEEFF" w:val="clear"/>
            <w:vAlign w:val="center"/>
          </w:tcPr>
          <w:p>
            <w:pPr>
              <w:pStyle w:val="TableContents"/>
              <w:bidi w:val="0"/>
              <w:spacing w:before="0" w:after="283"/>
              <w:jc w:val="left"/>
              <w:rPr/>
            </w:pPr>
            <w:r>
              <w:rPr/>
              <w:t> </w:t>
            </w:r>
            <w:bookmarkStart w:id="226" w:name="xdx_408_ecustom--ProductWarrantyExpenseI"/>
            <w:bookmarkEnd w:id="226"/>
          </w:p>
        </w:tc>
      </w:tr>
      <w:tr>
        <w:trPr/>
        <w:tc>
          <w:tcPr>
            <w:tcW w:w="7301" w:type="dxa"/>
            <w:tcBorders/>
            <w:shd w:fill="FFFFFF" w:val="clear"/>
            <w:vAlign w:val="center"/>
          </w:tcPr>
          <w:p>
            <w:pPr>
              <w:pStyle w:val="TableContents"/>
              <w:bidi w:val="0"/>
              <w:spacing w:before="0" w:after="283"/>
              <w:jc w:val="left"/>
              <w:rPr/>
            </w:pPr>
            <w:r>
              <w:rPr/>
              <w:t>Warranty provision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17</w:t>
            </w:r>
          </w:p>
        </w:tc>
        <w:tc>
          <w:tcPr>
            <w:tcW w:w="113" w:type="dxa"/>
            <w:tcBorders/>
            <w:shd w:fill="FFFFFF" w:val="clear"/>
            <w:vAlign w:val="center"/>
          </w:tcPr>
          <w:p>
            <w:pPr>
              <w:pStyle w:val="TableContents"/>
              <w:bidi w:val="0"/>
              <w:spacing w:before="0" w:after="283"/>
              <w:jc w:val="left"/>
              <w:rPr/>
            </w:pPr>
            <w:r>
              <w:rPr/>
              <w:t> </w:t>
            </w:r>
            <w:bookmarkStart w:id="227" w:name="xdx_40B_eus-gaap--FairValueAdjustmentOfW"/>
            <w:bookmarkEnd w:id="227"/>
          </w:p>
        </w:tc>
      </w:tr>
      <w:tr>
        <w:trPr/>
        <w:tc>
          <w:tcPr>
            <w:tcW w:w="7301"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(3,158</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(6,917</w:t>
            </w:r>
          </w:p>
        </w:tc>
        <w:tc>
          <w:tcPr>
            <w:tcW w:w="113" w:type="dxa"/>
            <w:tcBorders/>
            <w:shd w:fill="CCEEFF" w:val="clear"/>
            <w:vAlign w:val="center"/>
          </w:tcPr>
          <w:p>
            <w:pPr>
              <w:pStyle w:val="TableContents"/>
              <w:bidi w:val="0"/>
              <w:spacing w:before="0" w:after="283"/>
              <w:jc w:val="left"/>
              <w:rPr/>
            </w:pPr>
            <w:r>
              <w:rPr/>
              <w:t>)</w:t>
            </w:r>
            <w:bookmarkStart w:id="228" w:name="xdx_40F_ecustom--NoncashLeaseExpense_i02"/>
            <w:bookmarkEnd w:id="228"/>
          </w:p>
        </w:tc>
      </w:tr>
      <w:tr>
        <w:trPr/>
        <w:tc>
          <w:tcPr>
            <w:tcW w:w="7301"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(199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143</w:t>
            </w:r>
          </w:p>
        </w:tc>
        <w:tc>
          <w:tcPr>
            <w:tcW w:w="113" w:type="dxa"/>
            <w:tcBorders/>
            <w:shd w:fill="FFFFFF" w:val="clear"/>
            <w:vAlign w:val="center"/>
          </w:tcPr>
          <w:p>
            <w:pPr>
              <w:pStyle w:val="TableContents"/>
              <w:bidi w:val="0"/>
              <w:spacing w:before="0" w:after="283"/>
              <w:jc w:val="left"/>
              <w:rPr/>
            </w:pPr>
            <w:r>
              <w:rPr/>
              <w:t> </w:t>
            </w:r>
            <w:bookmarkStart w:id="229" w:name="xdx_40B_eus-gaap--ProvisionForDoubtfulAc"/>
            <w:bookmarkEnd w:id="229"/>
          </w:p>
        </w:tc>
      </w:tr>
      <w:tr>
        <w:trPr/>
        <w:tc>
          <w:tcPr>
            <w:tcW w:w="7301" w:type="dxa"/>
            <w:tcBorders/>
            <w:shd w:fill="CCEEFF" w:val="clear"/>
            <w:vAlign w:val="center"/>
          </w:tcPr>
          <w:p>
            <w:pPr>
              <w:pStyle w:val="TableContents"/>
              <w:bidi w:val="0"/>
              <w:spacing w:before="0" w:after="283"/>
              <w:jc w:val="left"/>
              <w:rPr/>
            </w:pPr>
            <w:r>
              <w:rPr/>
              <w:t>Provision for doubtful accounts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34</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30" w:name="xdx_40D_eus-gaap--AllowanceForDoubtfulAc"/>
            <w:bookmarkEnd w:id="230"/>
          </w:p>
        </w:tc>
      </w:tr>
      <w:tr>
        <w:trPr/>
        <w:tc>
          <w:tcPr>
            <w:tcW w:w="7301" w:type="dxa"/>
            <w:tcBorders/>
            <w:shd w:fill="FFFFFF" w:val="clear"/>
            <w:vAlign w:val="center"/>
          </w:tcPr>
          <w:p>
            <w:pPr>
              <w:pStyle w:val="TableContents"/>
              <w:bidi w:val="0"/>
              <w:spacing w:before="0" w:after="283"/>
              <w:jc w:val="left"/>
              <w:rPr/>
            </w:pPr>
            <w:r>
              <w:rPr/>
              <w:t>Write-off accounts receivables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26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1" w:name="xdx_403_eus-gaap--InventoryWriteDown_i02"/>
            <w:bookmarkEnd w:id="231"/>
          </w:p>
        </w:tc>
      </w:tr>
      <w:tr>
        <w:trPr/>
        <w:tc>
          <w:tcPr>
            <w:tcW w:w="7301" w:type="dxa"/>
            <w:tcBorders/>
            <w:shd w:fill="CCEEFF" w:val="clear"/>
            <w:vAlign w:val="center"/>
          </w:tcPr>
          <w:p>
            <w:pPr>
              <w:pStyle w:val="TableContents"/>
              <w:bidi w:val="0"/>
              <w:spacing w:before="0" w:after="283"/>
              <w:jc w:val="left"/>
              <w:rPr/>
            </w:pPr>
            <w:r>
              <w:rPr/>
              <w:t>Inventory obsolescence reserve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187</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w:t>
            </w:r>
          </w:p>
        </w:tc>
        <w:tc>
          <w:tcPr>
            <w:tcW w:w="113" w:type="dxa"/>
            <w:tcBorders/>
            <w:shd w:fill="CCEEFF" w:val="clear"/>
            <w:vAlign w:val="center"/>
          </w:tcPr>
          <w:p>
            <w:pPr>
              <w:pStyle w:val="TableContents"/>
              <w:bidi w:val="0"/>
              <w:spacing w:before="0" w:after="283"/>
              <w:jc w:val="left"/>
              <w:rPr/>
            </w:pPr>
            <w:r>
              <w:rPr/>
              <w:t> </w:t>
            </w:r>
          </w:p>
        </w:tc>
      </w:tr>
      <w:tr>
        <w:trPr/>
        <w:tc>
          <w:tcPr>
            <w:tcW w:w="7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2" w:name="xdx_404_eus-gaap--IncreaseDecreaseInOper"/>
            <w:bookmarkEnd w:id="232"/>
          </w:p>
        </w:tc>
      </w:tr>
      <w:tr>
        <w:trPr/>
        <w:tc>
          <w:tcPr>
            <w:tcW w:w="7301"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3" w:name="xdx_408_eus-gaap--IncreaseDecreaseInAcco"/>
            <w:bookmarkEnd w:id="233"/>
          </w:p>
        </w:tc>
      </w:tr>
      <w:tr>
        <w:trPr/>
        <w:tc>
          <w:tcPr>
            <w:tcW w:w="730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(453</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(236</w:t>
            </w:r>
          </w:p>
        </w:tc>
        <w:tc>
          <w:tcPr>
            <w:tcW w:w="113" w:type="dxa"/>
            <w:tcBorders/>
            <w:shd w:fill="FFFFFF" w:val="clear"/>
            <w:vAlign w:val="center"/>
          </w:tcPr>
          <w:p>
            <w:pPr>
              <w:pStyle w:val="TableContents"/>
              <w:bidi w:val="0"/>
              <w:spacing w:before="0" w:after="283"/>
              <w:jc w:val="left"/>
              <w:rPr/>
            </w:pPr>
            <w:r>
              <w:rPr/>
              <w:t>)</w:t>
            </w:r>
            <w:bookmarkStart w:id="234" w:name="xdx_407_eus-gaap--IncreaseDecreaseInInve"/>
            <w:bookmarkEnd w:id="234"/>
          </w:p>
        </w:tc>
      </w:tr>
      <w:tr>
        <w:trPr/>
        <w:tc>
          <w:tcPr>
            <w:tcW w:w="7301"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79</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(707</w:t>
            </w:r>
          </w:p>
        </w:tc>
        <w:tc>
          <w:tcPr>
            <w:tcW w:w="113" w:type="dxa"/>
            <w:tcBorders/>
            <w:shd w:fill="CCEEFF" w:val="clear"/>
            <w:vAlign w:val="center"/>
          </w:tcPr>
          <w:p>
            <w:pPr>
              <w:pStyle w:val="TableContents"/>
              <w:bidi w:val="0"/>
              <w:spacing w:before="0" w:after="283"/>
              <w:jc w:val="left"/>
              <w:rPr/>
            </w:pPr>
            <w:r>
              <w:rPr/>
              <w:t>)</w:t>
            </w:r>
            <w:bookmarkStart w:id="235" w:name="xdx_40E_eus-gaap--IncreaseDecreaseInPrep"/>
            <w:bookmarkEnd w:id="235"/>
          </w:p>
        </w:tc>
      </w:tr>
      <w:tr>
        <w:trPr/>
        <w:tc>
          <w:tcPr>
            <w:tcW w:w="7301"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(156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261</w:t>
            </w:r>
          </w:p>
        </w:tc>
        <w:tc>
          <w:tcPr>
            <w:tcW w:w="113" w:type="dxa"/>
            <w:tcBorders/>
            <w:shd w:fill="FFFFFF" w:val="clear"/>
            <w:vAlign w:val="center"/>
          </w:tcPr>
          <w:p>
            <w:pPr>
              <w:pStyle w:val="TableContents"/>
              <w:bidi w:val="0"/>
              <w:spacing w:before="0" w:after="283"/>
              <w:jc w:val="left"/>
              <w:rPr/>
            </w:pPr>
            <w:r>
              <w:rPr/>
              <w:t> </w:t>
            </w:r>
            <w:bookmarkStart w:id="236" w:name="xdx_40D_eus-gaap--IncreaseDecreaseInAcco"/>
            <w:bookmarkEnd w:id="236"/>
          </w:p>
        </w:tc>
      </w:tr>
      <w:tr>
        <w:trPr/>
        <w:tc>
          <w:tcPr>
            <w:tcW w:w="730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(34</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25</w:t>
            </w:r>
          </w:p>
        </w:tc>
        <w:tc>
          <w:tcPr>
            <w:tcW w:w="113" w:type="dxa"/>
            <w:tcBorders/>
            <w:shd w:fill="CCEEFF" w:val="clear"/>
            <w:vAlign w:val="center"/>
          </w:tcPr>
          <w:p>
            <w:pPr>
              <w:pStyle w:val="TableContents"/>
              <w:bidi w:val="0"/>
              <w:spacing w:before="0" w:after="283"/>
              <w:jc w:val="left"/>
              <w:rPr/>
            </w:pPr>
            <w:r>
              <w:rPr/>
              <w:t> </w:t>
            </w:r>
            <w:bookmarkStart w:id="237" w:name="xdx_40C_eus-gaap--IncreaseDecreaseInOper"/>
            <w:bookmarkEnd w:id="237"/>
          </w:p>
        </w:tc>
      </w:tr>
      <w:tr>
        <w:trPr/>
        <w:tc>
          <w:tcPr>
            <w:tcW w:w="7301"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197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(29</w:t>
            </w:r>
          </w:p>
        </w:tc>
        <w:tc>
          <w:tcPr>
            <w:tcW w:w="113" w:type="dxa"/>
            <w:tcBorders/>
            <w:shd w:fill="FFFFFF" w:val="clear"/>
            <w:vAlign w:val="center"/>
          </w:tcPr>
          <w:p>
            <w:pPr>
              <w:pStyle w:val="TableContents"/>
              <w:bidi w:val="0"/>
              <w:spacing w:before="0" w:after="283"/>
              <w:jc w:val="left"/>
              <w:rPr/>
            </w:pPr>
            <w:r>
              <w:rPr/>
              <w:t>)</w:t>
            </w:r>
            <w:bookmarkStart w:id="238" w:name="xdx_40F_eus-gaap--IncreaseDecreaseInDepo"/>
            <w:bookmarkEnd w:id="238"/>
          </w:p>
        </w:tc>
      </w:tr>
      <w:tr>
        <w:trPr/>
        <w:tc>
          <w:tcPr>
            <w:tcW w:w="7301"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(1,002</w:t>
            </w:r>
          </w:p>
        </w:tc>
        <w:tc>
          <w:tcPr>
            <w:tcW w:w="113" w:type="dxa"/>
            <w:tcBorders/>
            <w:shd w:fill="CCEEFF" w:val="clear"/>
            <w:vAlign w:val="center"/>
          </w:tcPr>
          <w:p>
            <w:pPr>
              <w:pStyle w:val="TableContents"/>
              <w:bidi w:val="0"/>
              <w:spacing w:before="0" w:after="283"/>
              <w:jc w:val="left"/>
              <w:rPr/>
            </w:pPr>
            <w:r>
              <w:rPr/>
              <w:t>)</w:t>
            </w:r>
            <w:bookmarkStart w:id="239" w:name="xdx_40E_eus-gaap--IncreaseDecreaseInAccr"/>
            <w:bookmarkEnd w:id="239"/>
          </w:p>
        </w:tc>
      </w:tr>
      <w:tr>
        <w:trPr/>
        <w:tc>
          <w:tcPr>
            <w:tcW w:w="7301" w:type="dxa"/>
            <w:tcBorders/>
            <w:shd w:fill="FFFFFF" w:val="clear"/>
            <w:vAlign w:val="center"/>
          </w:tcPr>
          <w:p>
            <w:pPr>
              <w:pStyle w:val="TableContents"/>
              <w:bidi w:val="0"/>
              <w:spacing w:before="0" w:after="283"/>
              <w:jc w:val="left"/>
              <w:rPr/>
            </w:pPr>
            <w:r>
              <w:rPr/>
              <w:t>Accrued liabilities and other</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(523</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 </w:t>
            </w:r>
            <w:bookmarkStart w:id="240" w:name="xdx_409_ecustom--IncreaseDecreaseInWarra"/>
            <w:bookmarkEnd w:id="240"/>
          </w:p>
        </w:tc>
      </w:tr>
      <w:tr>
        <w:trPr/>
        <w:tc>
          <w:tcPr>
            <w:tcW w:w="7301" w:type="dxa"/>
            <w:tcBorders/>
            <w:shd w:fill="CCEEFF" w:val="clear"/>
            <w:vAlign w:val="center"/>
          </w:tcPr>
          <w:p>
            <w:pPr>
              <w:pStyle w:val="TableContents"/>
              <w:bidi w:val="0"/>
              <w:spacing w:before="0" w:after="283"/>
              <w:jc w:val="left"/>
              <w:rPr/>
            </w:pPr>
            <w:r>
              <w:rPr/>
              <w:t>Warranty settlement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(10</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(34</w:t>
            </w:r>
          </w:p>
        </w:tc>
        <w:tc>
          <w:tcPr>
            <w:tcW w:w="113" w:type="dxa"/>
            <w:tcBorders/>
            <w:shd w:fill="CCEEFF" w:val="clear"/>
            <w:vAlign w:val="center"/>
          </w:tcPr>
          <w:p>
            <w:pPr>
              <w:pStyle w:val="TableContents"/>
              <w:bidi w:val="0"/>
              <w:spacing w:before="0" w:after="283"/>
              <w:jc w:val="left"/>
              <w:rPr/>
            </w:pPr>
            <w:r>
              <w:rPr/>
              <w:t>)</w:t>
            </w:r>
            <w:bookmarkStart w:id="241" w:name="xdx_40B_eus-gaap--IncreaseDecreaseInDefe"/>
            <w:bookmarkEnd w:id="241"/>
          </w:p>
        </w:tc>
      </w:tr>
      <w:tr>
        <w:trPr/>
        <w:tc>
          <w:tcPr>
            <w:tcW w:w="7301"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(180</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41</w:t>
            </w:r>
          </w:p>
        </w:tc>
        <w:tc>
          <w:tcPr>
            <w:tcW w:w="113" w:type="dxa"/>
            <w:tcBorders/>
            <w:shd w:fill="FFFFFF" w:val="clear"/>
            <w:vAlign w:val="center"/>
          </w:tcPr>
          <w:p>
            <w:pPr>
              <w:pStyle w:val="TableContents"/>
              <w:bidi w:val="0"/>
              <w:spacing w:before="0" w:after="283"/>
              <w:jc w:val="left"/>
              <w:rPr/>
            </w:pPr>
            <w:r>
              <w:rPr/>
              <w:t> </w:t>
            </w:r>
            <w:bookmarkStart w:id="242" w:name="xdx_40C_eus-gaap--IncreaseDecreaseInOthe"/>
            <w:bookmarkEnd w:id="242"/>
          </w:p>
        </w:tc>
      </w:tr>
      <w:tr>
        <w:trPr/>
        <w:tc>
          <w:tcPr>
            <w:tcW w:w="7301" w:type="dxa"/>
            <w:tcBorders/>
            <w:shd w:fill="CCEEFF" w:val="clear"/>
            <w:vAlign w:val="center"/>
          </w:tcPr>
          <w:p>
            <w:pPr>
              <w:pStyle w:val="TableContents"/>
              <w:bidi w:val="0"/>
              <w:spacing w:before="0" w:after="283"/>
              <w:jc w:val="left"/>
              <w:rPr/>
            </w:pPr>
            <w:r>
              <w:rPr/>
              <w:t>Changes in other non-current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113" w:type="dxa"/>
            <w:tcBorders/>
            <w:shd w:fill="CCEEFF" w:val="clear"/>
            <w:vAlign w:val="center"/>
          </w:tcPr>
          <w:p>
            <w:pPr>
              <w:pStyle w:val="TableContents"/>
              <w:bidi w:val="0"/>
              <w:spacing w:before="0" w:after="283"/>
              <w:jc w:val="left"/>
              <w:rPr/>
            </w:pPr>
            <w:r>
              <w:rPr/>
              <w:t> </w:t>
            </w:r>
            <w:bookmarkStart w:id="243" w:name="xdx_40F_eus-gaap--NetCashProvidedByUsedI"/>
            <w:bookmarkEnd w:id="243"/>
          </w:p>
        </w:tc>
      </w:tr>
      <w:tr>
        <w:trPr/>
        <w:tc>
          <w:tcPr>
            <w:tcW w:w="7301"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(5,009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(7,249</w:t>
            </w:r>
          </w:p>
        </w:tc>
        <w:tc>
          <w:tcPr>
            <w:tcW w:w="113" w:type="dxa"/>
            <w:tcBorders/>
            <w:shd w:fill="FFFFFF" w:val="clear"/>
            <w:vAlign w:val="center"/>
          </w:tcPr>
          <w:p>
            <w:pPr>
              <w:pStyle w:val="TableContents"/>
              <w:bidi w:val="0"/>
              <w:spacing w:before="0" w:after="283"/>
              <w:jc w:val="left"/>
              <w:rPr/>
            </w:pPr>
            <w:r>
              <w:rPr/>
              <w:t>)</w:t>
            </w:r>
          </w:p>
        </w:tc>
      </w:tr>
      <w:tr>
        <w:trPr/>
        <w:tc>
          <w:tcPr>
            <w:tcW w:w="7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44" w:name="xdx_404_eus-gaap--NetCashProvidedByUsedI"/>
            <w:bookmarkEnd w:id="244"/>
          </w:p>
        </w:tc>
      </w:tr>
      <w:tr>
        <w:trPr/>
        <w:tc>
          <w:tcPr>
            <w:tcW w:w="7301"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45" w:name="xdx_407_eus-gaap--ProceedsFromMaturities"/>
            <w:bookmarkEnd w:id="245"/>
          </w:p>
        </w:tc>
      </w:tr>
      <w:tr>
        <w:trPr/>
        <w:tc>
          <w:tcPr>
            <w:tcW w:w="7301" w:type="dxa"/>
            <w:tcBorders/>
            <w:shd w:fill="CCEEFF" w:val="clear"/>
            <w:vAlign w:val="center"/>
          </w:tcPr>
          <w:p>
            <w:pPr>
              <w:pStyle w:val="TableContents"/>
              <w:bidi w:val="0"/>
              <w:spacing w:before="0" w:after="283"/>
              <w:jc w:val="left"/>
              <w:rPr/>
            </w:pPr>
            <w:r>
              <w:rPr/>
              <w:t>Proceeds from maturities of short-term investments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5,000</w:t>
            </w:r>
          </w:p>
        </w:tc>
        <w:tc>
          <w:tcPr>
            <w:tcW w:w="113" w:type="dxa"/>
            <w:tcBorders/>
            <w:shd w:fill="CCEEFF" w:val="clear"/>
            <w:vAlign w:val="center"/>
          </w:tcPr>
          <w:p>
            <w:pPr>
              <w:pStyle w:val="TableContents"/>
              <w:bidi w:val="0"/>
              <w:spacing w:before="0" w:after="283"/>
              <w:jc w:val="left"/>
              <w:rPr/>
            </w:pPr>
            <w:r>
              <w:rPr/>
              <w:t> </w:t>
            </w:r>
            <w:bookmarkStart w:id="246" w:name="xdx_40E_eus-gaap--PaymentsToAcquirePrope"/>
            <w:bookmarkEnd w:id="246"/>
          </w:p>
        </w:tc>
      </w:tr>
      <w:tr>
        <w:trPr/>
        <w:tc>
          <w:tcPr>
            <w:tcW w:w="7301" w:type="dxa"/>
            <w:tcBorders/>
            <w:shd w:fill="FFFFFF" w:val="clear"/>
            <w:vAlign w:val="center"/>
          </w:tcPr>
          <w:p>
            <w:pPr>
              <w:pStyle w:val="TableContents"/>
              <w:bidi w:val="0"/>
              <w:spacing w:before="0" w:after="283"/>
              <w:jc w:val="left"/>
              <w:rPr/>
            </w:pPr>
            <w:r>
              <w:rPr/>
              <w:t>Capital expenditures for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(8</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(13</w:t>
            </w:r>
          </w:p>
        </w:tc>
        <w:tc>
          <w:tcPr>
            <w:tcW w:w="113" w:type="dxa"/>
            <w:tcBorders/>
            <w:shd w:fill="FFFFFF" w:val="clear"/>
            <w:vAlign w:val="center"/>
          </w:tcPr>
          <w:p>
            <w:pPr>
              <w:pStyle w:val="TableContents"/>
              <w:bidi w:val="0"/>
              <w:spacing w:before="0" w:after="283"/>
              <w:jc w:val="left"/>
              <w:rPr/>
            </w:pPr>
            <w:r>
              <w:rPr/>
              <w:t>)</w:t>
            </w:r>
            <w:bookmarkStart w:id="247" w:name="xdx_406_eus-gaap--PaymentsToAcquireIntan"/>
            <w:bookmarkEnd w:id="247"/>
          </w:p>
        </w:tc>
      </w:tr>
      <w:tr>
        <w:trPr/>
        <w:tc>
          <w:tcPr>
            <w:tcW w:w="7301" w:type="dxa"/>
            <w:tcBorders/>
            <w:shd w:fill="CCEEFF" w:val="clear"/>
            <w:vAlign w:val="center"/>
          </w:tcPr>
          <w:p>
            <w:pPr>
              <w:pStyle w:val="TableContents"/>
              <w:bidi w:val="0"/>
              <w:spacing w:before="0" w:after="283"/>
              <w:jc w:val="left"/>
              <w:rPr/>
            </w:pPr>
            <w:r>
              <w:rPr/>
              <w:t>Investment in patents and trademarks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(97</w:t>
            </w:r>
          </w:p>
        </w:tc>
        <w:tc>
          <w:tcPr>
            <w:tcW w:w="113" w:type="dxa"/>
            <w:tcBorders/>
            <w:shd w:fill="CCEEFF" w:val="clear"/>
            <w:vAlign w:val="center"/>
          </w:tcPr>
          <w:p>
            <w:pPr>
              <w:pStyle w:val="TableContents"/>
              <w:bidi w:val="0"/>
              <w:spacing w:before="0" w:after="283"/>
              <w:jc w:val="left"/>
              <w:rPr/>
            </w:pPr>
            <w:r>
              <w:rPr/>
              <w:t>)</w:t>
            </w:r>
            <w:bookmarkStart w:id="248" w:name="xdx_403_eus-gaap--NetCashProvidedByUsedI"/>
            <w:bookmarkEnd w:id="248"/>
          </w:p>
        </w:tc>
      </w:tr>
      <w:tr>
        <w:trPr/>
        <w:tc>
          <w:tcPr>
            <w:tcW w:w="7301"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4,890</w:t>
            </w:r>
          </w:p>
        </w:tc>
        <w:tc>
          <w:tcPr>
            <w:tcW w:w="11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49" w:name="xdx_408_eus-gaap--NetCashProvidedByUsedI"/>
            <w:bookmarkEnd w:id="249"/>
          </w:p>
        </w:tc>
      </w:tr>
      <w:tr>
        <w:trPr/>
        <w:tc>
          <w:tcPr>
            <w:tcW w:w="7301"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50" w:name="xdx_403_eus-gaap--ProceedsFromStockOptio"/>
            <w:bookmarkEnd w:id="250"/>
          </w:p>
        </w:tc>
      </w:tr>
      <w:tr>
        <w:trPr/>
        <w:tc>
          <w:tcPr>
            <w:tcW w:w="7301"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588</w:t>
            </w:r>
          </w:p>
        </w:tc>
        <w:tc>
          <w:tcPr>
            <w:tcW w:w="113" w:type="dxa"/>
            <w:tcBorders/>
            <w:shd w:fill="CCEEFF" w:val="clear"/>
            <w:vAlign w:val="center"/>
          </w:tcPr>
          <w:p>
            <w:pPr>
              <w:pStyle w:val="TableContents"/>
              <w:bidi w:val="0"/>
              <w:spacing w:before="0" w:after="283"/>
              <w:jc w:val="left"/>
              <w:rPr/>
            </w:pPr>
            <w:r>
              <w:rPr/>
              <w:t> </w:t>
            </w:r>
            <w:bookmarkStart w:id="251" w:name="xdx_40F_ecustom--ProceedsFromIssuanceOfW"/>
            <w:bookmarkEnd w:id="251"/>
          </w:p>
        </w:tc>
      </w:tr>
      <w:tr>
        <w:trPr/>
        <w:tc>
          <w:tcPr>
            <w:tcW w:w="7301" w:type="dxa"/>
            <w:tcBorders/>
            <w:shd w:fill="FFFFFF" w:val="clear"/>
            <w:vAlign w:val="center"/>
          </w:tcPr>
          <w:p>
            <w:pPr>
              <w:pStyle w:val="TableContents"/>
              <w:bidi w:val="0"/>
              <w:spacing w:before="0" w:after="283"/>
              <w:jc w:val="left"/>
              <w:rPr/>
            </w:pPr>
            <w:r>
              <w:rPr/>
              <w:t>Proceeds from issuance of warrants and common stock, net of offering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5,729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52" w:name="xdx_409_eus-gaap--PaymentsOfDividends_i0"/>
            <w:bookmarkEnd w:id="252"/>
          </w:p>
        </w:tc>
      </w:tr>
      <w:tr>
        <w:trPr/>
        <w:tc>
          <w:tcPr>
            <w:tcW w:w="7301" w:type="dxa"/>
            <w:tcBorders/>
            <w:shd w:fill="CCEEFF" w:val="clear"/>
            <w:vAlign w:val="center"/>
          </w:tcPr>
          <w:p>
            <w:pPr>
              <w:pStyle w:val="TableContents"/>
              <w:bidi w:val="0"/>
              <w:spacing w:before="0" w:after="283"/>
              <w:jc w:val="left"/>
              <w:rPr/>
            </w:pPr>
            <w:r>
              <w:rPr/>
              <w:t>Dividends settled in Cash</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113" w:type="dxa"/>
            <w:tcBorders/>
            <w:shd w:fill="CCEEFF" w:val="clear"/>
            <w:vAlign w:val="center"/>
          </w:tcPr>
          <w:p>
            <w:pPr>
              <w:pStyle w:val="TableContents"/>
              <w:bidi w:val="0"/>
              <w:spacing w:before="0" w:after="283"/>
              <w:jc w:val="left"/>
              <w:rPr/>
            </w:pPr>
            <w:r>
              <w:rPr/>
              <w:t>)</w:t>
            </w:r>
            <w:bookmarkStart w:id="253" w:name="xdx_409_eus-gaap--NetCashProvidedByUsedI"/>
            <w:bookmarkEnd w:id="253"/>
          </w:p>
        </w:tc>
      </w:tr>
      <w:tr>
        <w:trPr/>
        <w:tc>
          <w:tcPr>
            <w:tcW w:w="7301"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5,729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468</w:t>
            </w:r>
          </w:p>
        </w:tc>
        <w:tc>
          <w:tcPr>
            <w:tcW w:w="11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4" w:name="xdx_40A_eus-gaap--CashCashEquivalentsRes"/>
            <w:bookmarkEnd w:id="254"/>
          </w:p>
        </w:tc>
      </w:tr>
      <w:tr>
        <w:trPr/>
        <w:tc>
          <w:tcPr>
            <w:tcW w:w="7301"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567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(1,891</w:t>
            </w:r>
          </w:p>
        </w:tc>
        <w:tc>
          <w:tcPr>
            <w:tcW w:w="113" w:type="dxa"/>
            <w:tcBorders/>
            <w:shd w:fill="FFFFFF" w:val="clear"/>
            <w:vAlign w:val="center"/>
          </w:tcPr>
          <w:p>
            <w:pPr>
              <w:pStyle w:val="TableContents"/>
              <w:bidi w:val="0"/>
              <w:spacing w:before="0" w:after="283"/>
              <w:jc w:val="left"/>
              <w:rPr/>
            </w:pPr>
            <w:r>
              <w:rPr/>
              <w:t>)</w:t>
            </w:r>
            <w:bookmarkStart w:id="255" w:name="xdx_40C_eus-gaap--CashCashEquivalentsRes"/>
            <w:bookmarkEnd w:id="255"/>
          </w:p>
        </w:tc>
      </w:tr>
      <w:tr>
        <w:trPr/>
        <w:tc>
          <w:tcPr>
            <w:tcW w:w="7301" w:type="dxa"/>
            <w:tcBorders/>
            <w:shd w:fill="CCEEFF" w:val="clear"/>
            <w:vAlign w:val="center"/>
          </w:tcPr>
          <w:p>
            <w:pPr>
              <w:pStyle w:val="TableContents"/>
              <w:bidi w:val="0"/>
              <w:spacing w:before="0" w:after="283"/>
              <w:jc w:val="left"/>
              <w:rPr>
                <w:b/>
              </w:rPr>
            </w:pPr>
            <w:r>
              <w:rPr>
                <w:b/>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3,610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3,955</w:t>
            </w:r>
          </w:p>
        </w:tc>
        <w:tc>
          <w:tcPr>
            <w:tcW w:w="113" w:type="dxa"/>
            <w:tcBorders/>
            <w:shd w:fill="CCEEFF" w:val="clear"/>
            <w:vAlign w:val="center"/>
          </w:tcPr>
          <w:p>
            <w:pPr>
              <w:pStyle w:val="TableContents"/>
              <w:bidi w:val="0"/>
              <w:spacing w:before="0" w:after="283"/>
              <w:jc w:val="left"/>
              <w:rPr/>
            </w:pPr>
            <w:r>
              <w:rPr/>
              <w:t> </w:t>
            </w:r>
            <w:bookmarkStart w:id="256" w:name="xdx_40E_eus-gaap--CashCashEquivalentsRes"/>
            <w:bookmarkEnd w:id="256"/>
          </w:p>
        </w:tc>
      </w:tr>
      <w:tr>
        <w:trPr/>
        <w:tc>
          <w:tcPr>
            <w:tcW w:w="7301" w:type="dxa"/>
            <w:tcBorders/>
            <w:shd w:fill="FFFFFF" w:val="clear"/>
            <w:vAlign w:val="center"/>
          </w:tcPr>
          <w:p>
            <w:pPr>
              <w:pStyle w:val="TableContents"/>
              <w:bidi w:val="0"/>
              <w:spacing w:before="0" w:after="283"/>
              <w:jc w:val="left"/>
              <w:rPr>
                <w:b/>
              </w:rPr>
            </w:pPr>
            <w:r>
              <w:rPr>
                <w:b/>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pPr>
            <w:r>
              <w:rPr/>
              <w:t>4,177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pPr>
            <w:r>
              <w:rPr/>
              <w:t>2,064</w:t>
            </w:r>
          </w:p>
        </w:tc>
        <w:tc>
          <w:tcPr>
            <w:tcW w:w="113" w:type="dxa"/>
            <w:tcBorders/>
            <w:shd w:fill="FFFFFF" w:val="clear"/>
            <w:vAlign w:val="center"/>
          </w:tcPr>
          <w:p>
            <w:pPr>
              <w:pStyle w:val="TableContents"/>
              <w:bidi w:val="0"/>
              <w:spacing w:before="0" w:after="283"/>
              <w:jc w:val="left"/>
              <w:rPr/>
            </w:pPr>
            <w:r>
              <w:rPr/>
              <w:t> </w:t>
            </w:r>
          </w:p>
        </w:tc>
      </w:tr>
      <w:tr>
        <w:trPr/>
        <w:tc>
          <w:tcPr>
            <w:tcW w:w="7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7" w:name="xdx_40B_eus-gaap--NoncashInvestingAndFin"/>
            <w:bookmarkEnd w:id="257"/>
          </w:p>
        </w:tc>
      </w:tr>
      <w:tr>
        <w:trPr/>
        <w:tc>
          <w:tcPr>
            <w:tcW w:w="7301"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58" w:name="xdx_40C_ecustom--ReclassificationOfWarra"/>
            <w:bookmarkEnd w:id="258"/>
          </w:p>
        </w:tc>
      </w:tr>
      <w:tr>
        <w:trPr/>
        <w:tc>
          <w:tcPr>
            <w:tcW w:w="7301" w:type="dxa"/>
            <w:tcBorders/>
            <w:shd w:fill="CCEEFF" w:val="clear"/>
            <w:vAlign w:val="center"/>
          </w:tcPr>
          <w:p>
            <w:pPr>
              <w:pStyle w:val="TableContents"/>
              <w:bidi w:val="0"/>
              <w:spacing w:before="0" w:after="283"/>
              <w:jc w:val="left"/>
              <w:rPr/>
            </w:pPr>
            <w:r>
              <w:rPr/>
              <w:t>Reclassification of warrant liabilities to additional paid in capital</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12,159</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59" w:name="xdx_403_ecustom--ChangeInUnrealizedGainO"/>
            <w:bookmarkEnd w:id="259"/>
          </w:p>
        </w:tc>
      </w:tr>
      <w:tr>
        <w:trPr/>
        <w:tc>
          <w:tcPr>
            <w:tcW w:w="7301" w:type="dxa"/>
            <w:tcBorders/>
            <w:shd w:fill="FFFFFF" w:val="clear"/>
            <w:vAlign w:val="center"/>
          </w:tcPr>
          <w:p>
            <w:pPr>
              <w:pStyle w:val="TableContents"/>
              <w:bidi w:val="0"/>
              <w:spacing w:before="0" w:after="283"/>
              <w:jc w:val="left"/>
              <w:rPr/>
            </w:pPr>
            <w:r>
              <w:rPr/>
              <w:t>Change in unrealized gain on short-term investments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94</w:t>
            </w:r>
          </w:p>
        </w:tc>
        <w:tc>
          <w:tcPr>
            <w:tcW w:w="113" w:type="dxa"/>
            <w:tcBorders/>
            <w:shd w:fill="FFFFFF" w:val="clear"/>
            <w:vAlign w:val="center"/>
          </w:tcPr>
          <w:p>
            <w:pPr>
              <w:pStyle w:val="TableContents"/>
              <w:bidi w:val="0"/>
              <w:spacing w:before="0" w:after="283"/>
              <w:jc w:val="left"/>
              <w:rPr/>
            </w:pPr>
            <w:r>
              <w:rPr/>
              <w:t> </w:t>
            </w:r>
            <w:bookmarkStart w:id="260" w:name="xdx_40B_ecustom--ConvertiblePreferredSto"/>
            <w:bookmarkEnd w:id="260"/>
          </w:p>
        </w:tc>
      </w:tr>
      <w:tr>
        <w:trPr/>
        <w:tc>
          <w:tcPr>
            <w:tcW w:w="7301" w:type="dxa"/>
            <w:tcBorders/>
            <w:shd w:fill="CCEEFF" w:val="clear"/>
            <w:vAlign w:val="center"/>
          </w:tcPr>
          <w:p>
            <w:pPr>
              <w:pStyle w:val="TableContents"/>
              <w:bidi w:val="0"/>
              <w:spacing w:before="0" w:after="283"/>
              <w:jc w:val="left"/>
              <w:rPr/>
            </w:pPr>
            <w:r>
              <w:rPr/>
              <w:t>Dividends on convertible preferred stock</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(328</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700</w:t>
            </w:r>
          </w:p>
        </w:tc>
        <w:tc>
          <w:tcPr>
            <w:tcW w:w="113" w:type="dxa"/>
            <w:tcBorders/>
            <w:shd w:fill="CCEEFF" w:val="clear"/>
            <w:vAlign w:val="center"/>
          </w:tcPr>
          <w:p>
            <w:pPr>
              <w:pStyle w:val="TableContents"/>
              <w:bidi w:val="0"/>
              <w:spacing w:before="0" w:after="283"/>
              <w:jc w:val="left"/>
              <w:rPr/>
            </w:pPr>
            <w:r>
              <w:rPr/>
              <w:t> </w:t>
            </w:r>
            <w:bookmarkStart w:id="261" w:name="xdx_400_ecustom--DividendsSettledWithCom"/>
            <w:bookmarkEnd w:id="261"/>
          </w:p>
        </w:tc>
      </w:tr>
      <w:tr>
        <w:trPr/>
        <w:tc>
          <w:tcPr>
            <w:tcW w:w="7301" w:type="dxa"/>
            <w:tcBorders/>
            <w:shd w:fill="FFFFFF" w:val="clear"/>
            <w:vAlign w:val="center"/>
          </w:tcPr>
          <w:p>
            <w:pPr>
              <w:pStyle w:val="TableContents"/>
              <w:bidi w:val="0"/>
              <w:spacing w:before="0" w:after="283"/>
              <w:jc w:val="left"/>
              <w:rPr/>
            </w:pPr>
            <w:r>
              <w:rPr/>
              <w:t>Dividends settled with common stock</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328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140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2" w:name="a_007"/>
      <w:bookmarkEnd w:id="262"/>
      <w:r>
        <w:rPr>
          <w:rFonts w:ascii="Times New Roman;Times;Serif" w:hAnsi="Times New Roman;Times;Serif"/>
          <w:b/>
          <w:i w:val="false"/>
          <w:caps w:val="false"/>
          <w:smallCaps w:val="false"/>
          <w:sz w:val="20"/>
        </w:rPr>
        <w:t>Wrap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Interim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and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63" w:name="xdx_802_eus-gaap--OrganizationConsolidat"/>
      <w:bookmarkEnd w:id="263"/>
      <w:r>
        <w:rPr>
          <w:rFonts w:ascii="Times New Roman;Times;Serif" w:hAnsi="Times New Roman;Times;Serif"/>
          <w:b/>
          <w:i w:val="false"/>
          <w:caps w:val="false"/>
          <w:smallCaps w:val="false"/>
          <w:sz w:val="20"/>
        </w:rPr>
        <w:t xml:space="preserve">1. </w:t>
      </w:r>
      <w:bookmarkStart w:id="264" w:name="xdx_823_zNLQhQBAhwsd"/>
      <w:bookmarkEnd w:id="264"/>
      <w:r>
        <w:rPr>
          <w:rFonts w:ascii="Times New Roman;Times;Serif" w:hAnsi="Times New Roman;Times;Serif"/>
          <w:b/>
          <w:i w:val="false"/>
          <w:caps w:val="false"/>
          <w:smallCaps w:val="false"/>
          <w:sz w:val="20"/>
        </w:rPr>
        <w:t>ORGANIZATION, SUMMARY OF SIGNIFICANT ACCOUNTING POLICIES AND 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65" w:name="xdx_846_ecustom--OrganizationAndBusiness"/>
      <w:bookmarkEnd w:id="265"/>
      <w:r>
        <w:rPr>
          <w:rFonts w:ascii="Times New Roman;Times;Serif" w:hAnsi="Times New Roman;Times;Serif"/>
          <w:b/>
          <w:i w:val="false"/>
          <w:caps w:val="false"/>
          <w:smallCaps w:val="false"/>
          <w:sz w:val="20"/>
        </w:rPr>
        <w:t>Organization and Business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a Delaware corporation (the “Company”, “we”, “us”, and “our”), is a publicly traded company with its common stock, par value $</w:t>
      </w:r>
      <w:bookmarkStart w:id="266" w:name="xdx_901_eus-gaap--CommonStockParOrStated"/>
      <w:bookmarkEnd w:id="266"/>
      <w:r>
        <w:rPr>
          <w:rFonts w:ascii="Times New Roman;Times;Serif" w:hAnsi="Times New Roman;Times;Serif"/>
          <w:b w:val="false"/>
          <w:i w:val="false"/>
          <w:caps w:val="false"/>
          <w:smallCaps w:val="false"/>
          <w:sz w:val="20"/>
        </w:rPr>
        <w:t>0.0001 per share (“Common Stock”), listed on the Nasdaq Capital Market (“Nasdaq”)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67" w:name="xdx_840_eus-gaap--BasisOfPresentationAnd"/>
      <w:bookmarkEnd w:id="267"/>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Certain information and footnote disclosures normally included in financial statements prepared in accordance with U.S. generally accepted accounting principles (“</w:t>
      </w:r>
      <w:r>
        <w:rPr>
          <w:rFonts w:ascii="Times New Roman;Times;Serif" w:hAnsi="Times New Roman;Times;Serif"/>
          <w:b w:val="false"/>
          <w:i/>
          <w:caps w:val="false"/>
          <w:smallCaps w:val="false"/>
          <w:sz w:val="20"/>
        </w:rPr>
        <w:t>U.S. GAAP</w:t>
      </w:r>
      <w:r>
        <w:rPr>
          <w:rFonts w:ascii="Times New Roman;Times;Serif" w:hAnsi="Times New Roman;Times;Serif"/>
          <w:b w:val="false"/>
          <w:i w:val="false"/>
          <w:caps w:val="false"/>
          <w:smallCaps w:val="false"/>
          <w:sz w:val="20"/>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2024, included in the Company’s Annual Report on Form 10-K for the year ended December 31, 2024 (the “</w:t>
      </w:r>
      <w:r>
        <w:rPr>
          <w:rFonts w:ascii="Times New Roman;Times;Serif" w:hAnsi="Times New Roman;Times;Serif"/>
          <w:b w:val="false"/>
          <w:i/>
          <w:caps w:val="false"/>
          <w:smallCaps w:val="false"/>
          <w:sz w:val="20"/>
        </w:rPr>
        <w:t>Annual Report</w:t>
      </w:r>
      <w:r>
        <w:rPr>
          <w:rFonts w:ascii="Times New Roman;Times;Serif" w:hAnsi="Times New Roman;Times;Serif"/>
          <w:b w:val="false"/>
          <w:i w:val="false"/>
          <w:caps w:val="false"/>
          <w:smallCaps w:val="false"/>
          <w:sz w:val="20"/>
        </w:rPr>
        <w:t>”), as filed with the SEC on March 31, 2025 and as amended on April 25, 2025. The accompanying condensed consolidated balance sheet as of June 30, 2025 has been derived from the audited consolidated balance sheet as of December 31, 2024, contained in the Annual Report. Results of operations for interim periods are not necessarily indicative of the results of operations for a full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necessary, the prior year’s information has been reclassified to conform to the current year’s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68" w:name="xdx_844_eus-gaap--ConsolidationPolicyTex"/>
      <w:bookmarkEnd w:id="268"/>
      <w:r>
        <w:rPr>
          <w:rFonts w:ascii="Times New Roman;Times;Serif" w:hAnsi="Times New Roman;Times;Serif"/>
          <w:b/>
          <w:i w:val="false"/>
          <w:caps w:val="false"/>
          <w:smallCaps w:val="false"/>
          <w:sz w:val="20"/>
        </w:rPr>
        <w:t>Principles of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269" w:name="xdx_902_ecustom--NumberOfWhollyOwnedSubs"/>
      <w:bookmarkEnd w:id="269"/>
      <w:r>
        <w:rPr>
          <w:rFonts w:ascii="Times New Roman;Times;Serif" w:hAnsi="Times New Roman;Times;Serif"/>
          <w:b w:val="false"/>
          <w:i w:val="false"/>
          <w:caps w:val="false"/>
          <w:smallCaps w:val="false"/>
          <w:sz w:val="20"/>
        </w:rPr>
        <w:t>three wholly owned subsidiaries, Wrap Reality, Inc., that sells a virtual reality (“</w:t>
      </w:r>
      <w:r>
        <w:rPr>
          <w:rFonts w:ascii="Times New Roman;Times;Serif" w:hAnsi="Times New Roman;Times;Serif"/>
          <w:b w:val="false"/>
          <w:i/>
          <w:caps w:val="false"/>
          <w:smallCaps w:val="false"/>
          <w:sz w:val="20"/>
        </w:rPr>
        <w:t>VR</w:t>
      </w:r>
      <w:r>
        <w:rPr>
          <w:rFonts w:ascii="Times New Roman;Times;Serif" w:hAnsi="Times New Roman;Times;Serif"/>
          <w:b w:val="false"/>
          <w:i w:val="false"/>
          <w:caps w:val="false"/>
          <w:smallCaps w:val="false"/>
          <w:sz w:val="20"/>
        </w:rPr>
        <w:t>”) training system primarily targeting law enforcement agencies and Intrensic, LLC (“Intrensic”), specializing in Body Worn Camera and Digital Evidence Management solutions. The condensed consolidated financial statements include the accounts of these subsidiaries after elimination of intercompany transactions and accounts.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0" w:name="xdx_842_ecustom--SegmentAndRelatedInform"/>
      <w:bookmarkEnd w:id="270"/>
      <w:r>
        <w:rPr>
          <w:rFonts w:ascii="Times New Roman;Times;Serif" w:hAnsi="Times New Roman;Times;Serif"/>
          <w:b/>
          <w:i w:val="false"/>
          <w:caps w:val="false"/>
          <w:smallCaps w:val="false"/>
          <w:sz w:val="20"/>
        </w:rPr>
        <w:t>Segment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for further discussion.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1" w:name="xdx_841_eus-gaap--GoodwillAndIntangibleA"/>
      <w:bookmarkEnd w:id="271"/>
      <w:r>
        <w:rPr>
          <w:rFonts w:ascii="Times New Roman;Times;Serif" w:hAnsi="Times New Roman;Times;Serif"/>
          <w:b/>
          <w:i w:val="false"/>
          <w:caps w:val="false"/>
          <w:smallCaps w:val="false"/>
          <w:sz w:val="20"/>
        </w:rPr>
        <w:t>Goodwill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2" w:name="xdx_841_eus-gaap--IntangibleAssetsFinite"/>
      <w:bookmarkEnd w:id="272"/>
      <w:r>
        <w:rPr>
          <w:rFonts w:ascii="Times New Roman;Times;Serif" w:hAnsi="Times New Roman;Times;Serif"/>
          <w:b/>
          <w:i w:val="false"/>
          <w:caps w:val="false"/>
          <w:smallCaps w:val="false"/>
          <w:sz w:val="20"/>
        </w:rPr>
        <w:t>Definite-lived 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w:t>
      </w:r>
      <w:bookmarkStart w:id="273" w:name="xdx_90A_eus-gaap--FiniteLivedIntangibleA"/>
      <w:bookmarkEnd w:id="273"/>
      <w:r>
        <w:rPr>
          <w:rFonts w:ascii="Times New Roman;Times;Serif" w:hAnsi="Times New Roman;Times;Serif"/>
          <w:b w:val="false"/>
          <w:i w:val="false"/>
          <w:caps w:val="false"/>
          <w:smallCaps w:val="false"/>
          <w:sz w:val="20"/>
        </w:rPr>
        <w:t xml:space="preserve">6 years for technology; between </w:t>
      </w:r>
      <w:bookmarkStart w:id="274" w:name="xdx_907_eus-gaap--FiniteLivedIntangibleA"/>
      <w:bookmarkEnd w:id="274"/>
      <w:r>
        <w:rPr>
          <w:rFonts w:ascii="Times New Roman;Times;Serif" w:hAnsi="Times New Roman;Times;Serif"/>
          <w:b w:val="false"/>
          <w:i w:val="false"/>
          <w:caps w:val="false"/>
          <w:smallCaps w:val="false"/>
          <w:sz w:val="20"/>
        </w:rPr>
        <w:t xml:space="preserve">3 and </w:t>
      </w:r>
      <w:bookmarkStart w:id="275" w:name="xdx_902_eus-gaap--FiniteLivedIntangibleA"/>
      <w:bookmarkEnd w:id="275"/>
      <w:r>
        <w:rPr>
          <w:rFonts w:ascii="Times New Roman;Times;Serif" w:hAnsi="Times New Roman;Times;Serif"/>
          <w:b w:val="false"/>
          <w:i w:val="false"/>
          <w:caps w:val="false"/>
          <w:smallCaps w:val="false"/>
          <w:sz w:val="20"/>
        </w:rPr>
        <w:t xml:space="preserve">7 years for customer relationships; and </w:t>
      </w:r>
      <w:bookmarkStart w:id="276" w:name="xdx_906_eus-gaap--FiniteLivedIntangibleA"/>
      <w:bookmarkEnd w:id="276"/>
      <w:r>
        <w:rPr>
          <w:rFonts w:ascii="Times New Roman;Times;Serif" w:hAnsi="Times New Roman;Times;Serif"/>
          <w:b w:val="false"/>
          <w:i w:val="false"/>
          <w:caps w:val="false"/>
          <w:smallCaps w:val="false"/>
          <w:sz w:val="20"/>
        </w:rPr>
        <w:t>8 years for trademarks and trade names.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7" w:name="xdx_84C_eus-gaap--UseOfEstimates_zud4SIs"/>
      <w:bookmarkEnd w:id="277"/>
      <w:r>
        <w:rPr>
          <w:rFonts w:ascii="Times New Roman;Times;Serif" w:hAnsi="Times New Roman;Times;Serif"/>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(e.g., stock-based compensation valuation, allowance for doubtful accounts, valuation of inventory and intangible assets, warranty reserve, accrued expense, valuation of warrants,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278" w:name="xdx_847_ecustom--ClassificationAndValuat"/>
      <w:bookmarkEnd w:id="278"/>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the Series A Warrant Amendment (as defined herein) and the 2025 Warrant Amendment (as defined herein). As a result, the Series A Warrants (as defined here) and the PIPE Warrants (as defined herein), each satisfy the requirements outlined in ASC 815-10-15-74(a)(1) and in ASC 815-10-15-74(a)(2). Under ASC 815-40-35-10, the amended instruments qualify for equity-classification on a prospective basis. The effective date of the relating reclassification from warrant liabilities to additional paid-in capital was June, 30, 2025. See Footnote 8: Warrants for additional detail.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9" w:name="xdx_846_eus-gaap--StockholdersEquityPoli"/>
      <w:bookmarkEnd w:id="279"/>
      <w:r>
        <w:rPr>
          <w:rFonts w:ascii="Times New Roman;Times;Serif" w:hAnsi="Times New Roman;Times;Serif"/>
          <w:b/>
          <w:i w:val="false"/>
          <w:caps w:val="false"/>
          <w:smallCaps w:val="false"/>
          <w:sz w:val="20"/>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Series A Warrants (as defined herein), which are classified as liabilities and measured at fair value on a recurring basis, and the Series A Convertible Preferred Stock (the “Series A Preferred Stock”) in one transaction. The issuance proceeds were allocated by using the with-and-without method. Under this method, the Company first allocated the issuance proceeds to the Series A Warrants based on their initial fair value measurement and then allocated the remaining proceeds to the Series A Preferred Stock. On June 30, 2025, the Company and Holders of the Series A Warrants (as defined herein) amended the Series A Warrants, which allowed the Company to account for the Series A Warrants as equity under ASC 480 and a reclassification was recorded from warrant liability to additional paid-in-capital.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0" w:name="xdx_842_eus-gaap--RevenueFromContractWit"/>
      <w:bookmarkEnd w:id="280"/>
      <w:r>
        <w:rPr>
          <w:rFonts w:ascii="Times New Roman;Times;Serif" w:hAnsi="Times New Roman;Times;Serif"/>
          <w:b/>
          <w:i w:val="false"/>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ASC Topic 606 - Revenue from Contracts with Customers (“ASC 606”). Revenue is recognized when control of the promised goods or performance obligations for services is transferred to the Company’s customers, in an amount that reflects the consideration the Company expects to be entitled to in exchange for the goods or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that include various combinations of products, accessories, software and services, each of which are generally distinct and are accounted for as separate performance obligations. Product sales include BolaWrap products and accessories. Managed services revenue represents the consulting services provided to customers of W1 Global, LLC (“W1”). Other revenue includes VR revenues, service, training and shipping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after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completed. In such instances, a deferred revenue liability is recorded. The Company recognizes these contract liabilities as revenue after all revenue recognition criteria are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costs for the Company’s standard warranty, generally one-year, are charged to cost of products sold when revenue is recorded for the related product. Royalties are also charged to the cost of products sold.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1" w:name="xdx_847_eus-gaap--EarningsPerSharePolicy"/>
      <w:bookmarkEnd w:id="281"/>
      <w:r>
        <w:rPr>
          <w:rFonts w:ascii="Times New Roman;Times;Serif" w:hAnsi="Times New Roman;Times;Serif"/>
          <w:b/>
          <w:i w:val="false"/>
          <w:caps w:val="false"/>
          <w:smallCaps w:val="false"/>
          <w:sz w:val="20"/>
        </w:rPr>
        <w:t>Loss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(EPS) is computed by dividing net loss, less any dividends, accretion or decretion, redemption or induced conversion, if any, on the Company’s Series A Preferred Stock, by the weighted average number of shares outstanding during the reported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EPS, we adjust the numerator used in the basic EPS computation, subject to anti-dilution requirements, to add back the dividends (declared or cumulative undeclared) applicable to the Series A Preferred Stock. Such add-back would also include any adjustments to equity in the period to accrete the Series A Preferred Stock to its redemption price, or recorded upon a redemption or induced conversion, if any. We adjust the denominator used in the basic EPS computation, subject to anti-dilution requirements, to include the dilution from potential shares resulting from the issuance of the Series A Preferred Stock, restricted stock units, and stock options. Stock options and restricted stock units exercisable or issuable for a total of </w:t>
      </w:r>
      <w:bookmarkStart w:id="282" w:name="xdx_909_eus-gaap--AntidilutiveSecurities"/>
      <w:bookmarkEnd w:id="282"/>
      <w:r>
        <w:rPr>
          <w:rFonts w:ascii="Times New Roman;Times;Serif" w:hAnsi="Times New Roman;Times;Serif"/>
          <w:b w:val="false"/>
          <w:i w:val="false"/>
          <w:caps w:val="false"/>
          <w:smallCaps w:val="false"/>
          <w:sz w:val="20"/>
        </w:rPr>
        <w:t xml:space="preserve">2,413,595 shares and </w:t>
      </w:r>
      <w:bookmarkStart w:id="283" w:name="xdx_90C_eus-gaap--AntidilutiveSecurities"/>
      <w:bookmarkEnd w:id="283"/>
      <w:r>
        <w:rPr>
          <w:rFonts w:ascii="Times New Roman;Times;Serif" w:hAnsi="Times New Roman;Times;Serif"/>
          <w:b w:val="false"/>
          <w:i w:val="false"/>
          <w:caps w:val="false"/>
          <w:smallCaps w:val="false"/>
          <w:sz w:val="20"/>
        </w:rPr>
        <w:t>4,903,951 shares of Common Stock were outstanding as of June 30, 2025 and 2024, respectively. These securities are not included in the computation of diluted net loss per common share for the periods presented as their inclusion would be antidilutive due to losses incurred by the Company.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4" w:name="xdx_841_eus-gaap--NewAccountingPronounce"/>
      <w:bookmarkEnd w:id="284"/>
      <w:r>
        <w:rPr>
          <w:rFonts w:ascii="Times New Roman;Times;Serif" w:hAnsi="Times New Roman;Times;Serif"/>
          <w:b/>
          <w:i w:val="false"/>
          <w:caps w:val="false"/>
          <w:smallCaps w:val="false"/>
          <w:sz w:val="20"/>
        </w:rPr>
        <w:t>Recently Issued Accounting Guidance Not Yet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2024-03, </w:t>
      </w:r>
      <w:r>
        <w:rPr>
          <w:rFonts w:ascii="Times New Roman;Times;Serif" w:hAnsi="Times New Roman;Times;Serif"/>
          <w:b w:val="false"/>
          <w:i/>
          <w:caps w:val="false"/>
          <w:smallCaps w:val="false"/>
          <w:sz w:val="20"/>
        </w:rPr>
        <w:t xml:space="preserve">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(“ASU 2024-03”), which requires disaggregation of certain costs and expenses, including employee compensation, and requires other improvements to disclosures. The amendments in this update are effective for annual periods beginning after December 15, 2026 and interim reporting periods beginning after December 15, 2027. The update may be applied on a prospective or retrospective basis. The Company is evaluating the impact of ASU 2024-03 on the Company’s notes to the consolidated financial statements.</w:t>
      </w:r>
    </w:p>
    <w:p>
      <w:pPr>
        <w:pStyle w:val="TextBody"/>
        <w:bidi w:val="0"/>
        <w:spacing w:before="0" w:after="0"/>
        <w:jc w:val="both"/>
        <w:rPr>
          <w:caps w:val="false"/>
          <w:smallCaps w:val="false"/>
        </w:rPr>
      </w:pPr>
      <w:bookmarkStart w:id="285" w:name="xdx_851_zjg3JsRcN7r3"/>
      <w:bookmarkEnd w:id="285"/>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6" w:name="xdx_808_eus-gaap--RevenueFromContractWit"/>
      <w:bookmarkEnd w:id="286"/>
      <w:r>
        <w:rPr>
          <w:rFonts w:ascii="Times New Roman;Times;Serif" w:hAnsi="Times New Roman;Times;Serif"/>
          <w:b/>
          <w:i w:val="false"/>
          <w:caps w:val="false"/>
          <w:smallCaps w:val="false"/>
          <w:sz w:val="20"/>
        </w:rPr>
        <w:t xml:space="preserve">2. </w:t>
      </w:r>
      <w:bookmarkStart w:id="287" w:name="xdx_824_zO3LHCm9u2J"/>
      <w:bookmarkEnd w:id="287"/>
      <w:r>
        <w:rPr>
          <w:rFonts w:ascii="Times New Roman;Times;Serif" w:hAnsi="Times New Roman;Times;Serif"/>
          <w:b/>
          <w:i w:val="false"/>
          <w:caps w:val="false"/>
          <w:smallCaps w:val="false"/>
          <w:sz w:val="20"/>
        </w:rPr>
        <w:t>REVENUE AND PRODUCT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consists of product revenue, technology enabled services, and managed services. Product sales include BolaWrap products and accessories. Technology enables services includes VR revenue, service, training and shipping revenue. Managed services revenue includes consulting services delivered to third parties and billed on an agreed hourly fee basis when enforceable right to payment exists.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completed. In such instances, a deferred revenue liability is recorded. The Company recognizes these contract liabilities as revenue after all revenue recognition criteria are met. Estimated costs for the Company’s standard warranty, generally one-year, are charged to cost of products sold when revenue is recorded for the related product. Royalties are also charged to the cost of products sold.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88" w:name="xdx_894_eus-gaap--ContractWithCustomerAs"/>
      <w:bookmarkEnd w:id="288"/>
      <w:r>
        <w:rPr>
          <w:rFonts w:ascii="Times New Roman;Times;Serif" w:hAnsi="Times New Roman;Times;Serif"/>
          <w:b w:val="false"/>
          <w:i w:val="false"/>
          <w:caps w:val="false"/>
          <w:smallCaps w:val="false"/>
          <w:sz w:val="20"/>
        </w:rPr>
        <w:t>The table below details the activity in our contract liabilities during the six months ended June 30, 2025.</w:t>
      </w:r>
    </w:p>
    <w:p>
      <w:pPr>
        <w:pStyle w:val="TextBody"/>
        <w:bidi w:val="0"/>
        <w:spacing w:before="0" w:after="0"/>
        <w:jc w:val="both"/>
        <w:rPr>
          <w:caps w:val="false"/>
          <w:smallCaps w:val="false"/>
        </w:rPr>
      </w:pPr>
      <w:r>
        <w:rPr>
          <w:caps w:val="false"/>
          <w:smallCaps w:val="false"/>
        </w:rPr>
        <w:t> </w:t>
      </w:r>
      <w:bookmarkStart w:id="289" w:name="xdx_8BE_zcWFvXjWEzIc"/>
      <w:bookmarkEnd w:id="289"/>
      <w:r>
        <w:rPr>
          <w:rFonts w:ascii="Times New Roman;Times;Serif" w:hAnsi="Times New Roman;Times;Serif"/>
          <w:b w:val="false"/>
          <w:i w:val="false"/>
          <w:caps w:val="false"/>
          <w:smallCaps w:val="false"/>
          <w:sz w:val="20"/>
        </w:rPr>
        <w:t>SCHEDULE OF CONTRACT LIABILITIES</w:t>
      </w:r>
    </w:p>
    <w:tbl>
      <w:tblPr>
        <w:tblW w:w="4850" w:type="dxa"/>
        <w:jc w:val="left"/>
        <w:tblInd w:w="0" w:type="dxa"/>
        <w:tblLayout w:type="fixed"/>
        <w:tblCellMar>
          <w:top w:w="0" w:type="dxa"/>
          <w:left w:w="0" w:type="dxa"/>
          <w:bottom w:w="0" w:type="dxa"/>
          <w:right w:w="0" w:type="dxa"/>
        </w:tblCellMar>
      </w:tblPr>
      <w:tblGrid>
        <w:gridCol w:w="2600"/>
        <w:gridCol w:w="60"/>
        <w:gridCol w:w="358"/>
        <w:gridCol w:w="667"/>
        <w:gridCol w:w="60"/>
        <w:gridCol w:w="60"/>
        <w:gridCol w:w="220"/>
        <w:gridCol w:w="715"/>
        <w:gridCol w:w="11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0" w:name="xdx_49D_20250101__20250630__srt--Product"/>
            <w:bookmarkEnd w:id="290"/>
          </w:p>
        </w:tc>
        <w:tc>
          <w:tcPr>
            <w:tcW w:w="1025" w:type="dxa"/>
            <w:gridSpan w:val="2"/>
            <w:tcBorders/>
            <w:vAlign w:val="center"/>
          </w:tcPr>
          <w:p>
            <w:pPr>
              <w:pStyle w:val="TableContents"/>
              <w:bidi w:val="0"/>
              <w:spacing w:before="0" w:after="283"/>
              <w:jc w:val="center"/>
              <w:rPr>
                <w:b/>
              </w:rPr>
            </w:pPr>
            <w:r>
              <w:rPr>
                <w:b/>
              </w:rPr>
              <w:t>Customer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1" w:name="xdx_492_20250101__20250630__srt--Product"/>
            <w:bookmarkEnd w:id="291"/>
          </w:p>
        </w:tc>
        <w:tc>
          <w:tcPr>
            <w:tcW w:w="935" w:type="dxa"/>
            <w:gridSpan w:val="2"/>
            <w:tcBorders/>
            <w:vAlign w:val="center"/>
          </w:tcPr>
          <w:p>
            <w:pPr>
              <w:pStyle w:val="TableContents"/>
              <w:bidi w:val="0"/>
              <w:spacing w:before="0" w:after="283"/>
              <w:jc w:val="center"/>
              <w:rPr>
                <w:b/>
              </w:rPr>
            </w:pPr>
            <w:r>
              <w:rPr>
                <w:b/>
              </w:rPr>
              <w:t>Deferred</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Revenue</w:t>
            </w:r>
          </w:p>
        </w:tc>
        <w:tc>
          <w:tcPr>
            <w:tcW w:w="110" w:type="dxa"/>
            <w:tcBorders/>
            <w:vAlign w:val="center"/>
          </w:tcPr>
          <w:p>
            <w:pPr>
              <w:pStyle w:val="TableContents"/>
              <w:bidi w:val="0"/>
              <w:spacing w:before="0" w:after="283"/>
              <w:jc w:val="left"/>
              <w:rPr/>
            </w:pPr>
            <w:r>
              <w:rPr/>
              <w:t> </w:t>
            </w:r>
            <w:bookmarkStart w:id="292" w:name="xdx_40E_eus-gaap--ContractWithCustomerLi"/>
            <w:bookmarkEnd w:id="292"/>
          </w:p>
        </w:tc>
      </w:tr>
      <w:tr>
        <w:trPr/>
        <w:tc>
          <w:tcPr>
            <w:tcW w:w="2600"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505</w:t>
            </w:r>
          </w:p>
        </w:tc>
        <w:tc>
          <w:tcPr>
            <w:tcW w:w="110" w:type="dxa"/>
            <w:tcBorders/>
            <w:shd w:fill="CCEEFF" w:val="clear"/>
            <w:vAlign w:val="center"/>
          </w:tcPr>
          <w:p>
            <w:pPr>
              <w:pStyle w:val="TableContents"/>
              <w:bidi w:val="0"/>
              <w:spacing w:before="0" w:after="283"/>
              <w:jc w:val="left"/>
              <w:rPr/>
            </w:pPr>
            <w:r>
              <w:rPr/>
              <w:t> </w:t>
            </w:r>
            <w:bookmarkStart w:id="293" w:name="xdx_405_ecustom--ContractWithCustomerLia"/>
            <w:bookmarkEnd w:id="293"/>
          </w:p>
        </w:tc>
      </w:tr>
      <w:tr>
        <w:trPr/>
        <w:tc>
          <w:tcPr>
            <w:tcW w:w="2600" w:type="dxa"/>
            <w:tcBorders/>
            <w:shd w:fill="FFFFFF" w:val="clear"/>
            <w:vAlign w:val="center"/>
          </w:tcPr>
          <w:p>
            <w:pPr>
              <w:pStyle w:val="TableContents"/>
              <w:bidi w:val="0"/>
              <w:spacing w:before="0" w:after="283"/>
              <w:jc w:val="left"/>
              <w:rPr/>
            </w:pPr>
            <w:r>
              <w:rPr/>
              <w:t>Additions, net</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205</w:t>
            </w:r>
          </w:p>
        </w:tc>
        <w:tc>
          <w:tcPr>
            <w:tcW w:w="110" w:type="dxa"/>
            <w:tcBorders/>
            <w:shd w:fill="FFFFFF" w:val="clear"/>
            <w:vAlign w:val="center"/>
          </w:tcPr>
          <w:p>
            <w:pPr>
              <w:pStyle w:val="TableContents"/>
              <w:bidi w:val="0"/>
              <w:spacing w:before="0" w:after="283"/>
              <w:jc w:val="left"/>
              <w:rPr/>
            </w:pPr>
            <w:r>
              <w:rPr/>
              <w:t> </w:t>
            </w:r>
            <w:bookmarkStart w:id="294" w:name="xdx_406_eus-gaap--ContractWithCustomerLi"/>
            <w:bookmarkEnd w:id="294"/>
          </w:p>
        </w:tc>
      </w:tr>
      <w:tr>
        <w:trPr/>
        <w:tc>
          <w:tcPr>
            <w:tcW w:w="2600" w:type="dxa"/>
            <w:tcBorders/>
            <w:shd w:fill="CCEEFF" w:val="clear"/>
            <w:vAlign w:val="center"/>
          </w:tcPr>
          <w:p>
            <w:pPr>
              <w:pStyle w:val="TableContents"/>
              <w:bidi w:val="0"/>
              <w:spacing w:before="0" w:after="283"/>
              <w:jc w:val="left"/>
              <w:rPr/>
            </w:pPr>
            <w:r>
              <w:rPr/>
              <w:t>Transfer to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w:t>
            </w:r>
            <w:bookmarkStart w:id="295" w:name="xdx_407_eus-gaap--ContractWithCustomerLi"/>
            <w:bookmarkEnd w:id="295"/>
          </w:p>
        </w:tc>
      </w:tr>
      <w:tr>
        <w:trPr/>
        <w:tc>
          <w:tcPr>
            <w:tcW w:w="2600"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110" w:type="dxa"/>
            <w:tcBorders/>
            <w:shd w:fill="FFFFFF" w:val="clear"/>
            <w:vAlign w:val="center"/>
          </w:tcPr>
          <w:p>
            <w:pPr>
              <w:pStyle w:val="TableContents"/>
              <w:bidi w:val="0"/>
              <w:spacing w:before="0" w:after="283"/>
              <w:jc w:val="left"/>
              <w:rPr/>
            </w:pPr>
            <w:r>
              <w:rPr/>
              <w:t> </w:t>
            </w:r>
            <w:bookmarkStart w:id="296" w:name="xdx_401_eus-gaap--ContractWithCustomerLi"/>
            <w:bookmarkEnd w:id="296"/>
          </w:p>
        </w:tc>
      </w:tr>
      <w:tr>
        <w:trPr/>
        <w:tc>
          <w:tcPr>
            <w:tcW w:w="2600" w:type="dxa"/>
            <w:tcBorders/>
            <w:shd w:fill="CCEEFF" w:val="clear"/>
            <w:vAlign w:val="center"/>
          </w:tcPr>
          <w:p>
            <w:pPr>
              <w:pStyle w:val="TableContents"/>
              <w:bidi w:val="0"/>
              <w:spacing w:before="0" w:after="283"/>
              <w:jc w:val="left"/>
              <w:rPr/>
            </w:pPr>
            <w:r>
              <w:rPr/>
              <w:t>Current portion</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110" w:type="dxa"/>
            <w:tcBorders/>
            <w:shd w:fill="CCEEFF" w:val="clear"/>
            <w:vAlign w:val="center"/>
          </w:tcPr>
          <w:p>
            <w:pPr>
              <w:pStyle w:val="TableContents"/>
              <w:bidi w:val="0"/>
              <w:spacing w:before="0" w:after="283"/>
              <w:jc w:val="left"/>
              <w:rPr/>
            </w:pPr>
            <w:r>
              <w:rPr/>
              <w:t> </w:t>
            </w:r>
            <w:bookmarkStart w:id="297" w:name="xdx_400_eus-gaap--ContractWithCustomerLi"/>
            <w:bookmarkEnd w:id="297"/>
          </w:p>
        </w:tc>
      </w:tr>
      <w:tr>
        <w:trPr/>
        <w:tc>
          <w:tcPr>
            <w:tcW w:w="2600" w:type="dxa"/>
            <w:tcBorders/>
            <w:shd w:fill="FFFFFF" w:val="clear"/>
            <w:vAlign w:val="center"/>
          </w:tcPr>
          <w:p>
            <w:pPr>
              <w:pStyle w:val="TableContents"/>
              <w:bidi w:val="0"/>
              <w:spacing w:before="0" w:after="283"/>
              <w:jc w:val="left"/>
              <w:rPr/>
            </w:pPr>
            <w:r>
              <w:rPr/>
              <w:t>Long-term portion</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298" w:name="xdx_8AC_zLscB1ibma18"/>
      <w:bookmarkEnd w:id="298"/>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Company’s deferred revenue of $</w:t>
      </w:r>
      <w:bookmarkStart w:id="299" w:name="xdx_90F_eus-gaap--ContractWithCustomerLi"/>
      <w:bookmarkEnd w:id="299"/>
      <w:r>
        <w:rPr>
          <w:rFonts w:ascii="Times New Roman;Times;Serif" w:hAnsi="Times New Roman;Times;Serif"/>
          <w:b w:val="false"/>
          <w:i w:val="false"/>
          <w:caps w:val="false"/>
          <w:smallCaps w:val="false"/>
          <w:sz w:val="20"/>
        </w:rPr>
        <w:t>325 consisted of Technology Enabled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00" w:name="xdx_803_eus-gaap--FinancialInstrumentsDi"/>
      <w:bookmarkEnd w:id="300"/>
      <w:r>
        <w:rPr>
          <w:rFonts w:ascii="Times New Roman;Times;Serif" w:hAnsi="Times New Roman;Times;Serif"/>
          <w:b/>
          <w:i w:val="false"/>
          <w:caps w:val="false"/>
          <w:smallCaps w:val="false"/>
          <w:sz w:val="20"/>
        </w:rPr>
        <w:t xml:space="preserve">3. </w:t>
      </w:r>
      <w:bookmarkStart w:id="301" w:name="xdx_82A_zO4WXiP8bYW9"/>
      <w:bookmarkEnd w:id="301"/>
      <w:r>
        <w:rPr>
          <w:rFonts w:ascii="Times New Roman;Times;Serif" w:hAnsi="Times New Roman;Times;Serif"/>
          <w:b/>
          <w:i w:val="false"/>
          <w:caps w:val="false"/>
          <w:smallCaps w:val="false"/>
          <w:sz w:val="20"/>
        </w:rPr>
        <w:t>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-Inputs are unadjusted, quoted prices in active markets for identical assets or liabilities at the measurement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w:t>
      </w:r>
      <w:r>
        <w:rPr>
          <w:rFonts w:ascii="Times New Roman;Times;Serif" w:hAnsi="Times New Roman;Times;Serif"/>
          <w:b w:val="false"/>
          <w:i w:val="false"/>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-Unobservable inputs that are significant to the measurement of the fair value of the assets or liabilities that are supported by little or no market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02" w:name="xdx_891_eus-gaap--FairValueAssetsAndLiab"/>
      <w:bookmarkEnd w:id="302"/>
      <w:r>
        <w:rPr>
          <w:rFonts w:ascii="Times New Roman;Times;Serif" w:hAnsi="Times New Roman;Times;Serif"/>
          <w:b w:val="false"/>
          <w:i w:val="false"/>
          <w:caps w:val="false"/>
          <w:smallCaps w:val="false"/>
          <w:sz w:val="20"/>
        </w:rPr>
        <w:t>The following table shows the Company’s short-term investments by significant investment category as of June 30, 2025, and December 31, 2024.</w:t>
      </w:r>
    </w:p>
    <w:p>
      <w:pPr>
        <w:pStyle w:val="TextBody"/>
        <w:bidi w:val="0"/>
        <w:spacing w:before="0" w:after="0"/>
        <w:jc w:val="both"/>
        <w:rPr>
          <w:caps w:val="false"/>
          <w:smallCaps w:val="false"/>
        </w:rPr>
      </w:pPr>
      <w:r>
        <w:rPr>
          <w:caps w:val="false"/>
          <w:smallCaps w:val="false"/>
        </w:rPr>
        <w:t> </w:t>
      </w:r>
      <w:bookmarkStart w:id="303" w:name="xdx_8BC_zHkr2Vrb5gzh"/>
      <w:bookmarkEnd w:id="303"/>
      <w:r>
        <w:rPr>
          <w:rFonts w:ascii="Times New Roman;Times;Serif" w:hAnsi="Times New Roman;Times;Serif"/>
          <w:b w:val="false"/>
          <w:i w:val="false"/>
          <w:caps w:val="false"/>
          <w:smallCaps w:val="false"/>
          <w:sz w:val="20"/>
        </w:rPr>
        <w:t>SCHEDULE OF SHORT TERM INVESTMENTS</w:t>
      </w:r>
    </w:p>
    <w:tbl>
      <w:tblPr>
        <w:tblW w:w="6625" w:type="dxa"/>
        <w:jc w:val="left"/>
        <w:tblInd w:w="0" w:type="dxa"/>
        <w:tblLayout w:type="fixed"/>
        <w:tblCellMar>
          <w:top w:w="0" w:type="dxa"/>
          <w:left w:w="0" w:type="dxa"/>
          <w:bottom w:w="0" w:type="dxa"/>
          <w:right w:w="0" w:type="dxa"/>
        </w:tblCellMar>
      </w:tblPr>
      <w:tblGrid>
        <w:gridCol w:w="2135"/>
        <w:gridCol w:w="60"/>
        <w:gridCol w:w="190"/>
        <w:gridCol w:w="760"/>
        <w:gridCol w:w="60"/>
        <w:gridCol w:w="60"/>
        <w:gridCol w:w="673"/>
        <w:gridCol w:w="457"/>
        <w:gridCol w:w="60"/>
        <w:gridCol w:w="60"/>
        <w:gridCol w:w="673"/>
        <w:gridCol w:w="457"/>
        <w:gridCol w:w="60"/>
        <w:gridCol w:w="60"/>
        <w:gridCol w:w="157"/>
        <w:gridCol w:w="628"/>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June 30, 2025</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rPr>
            </w:pPr>
            <w:r>
              <w:rPr>
                <w:b/>
              </w:rPr>
              <w:t>Market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Level 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04" w:name="xdx_986_ecustom--FinancialInstrumentsOwn"/>
            <w:bookmarkEnd w:id="304"/>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3,134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05" w:name="xdx_985_ecustom--FairValueAssetRecurring"/>
            <w:bookmarkEnd w:id="305"/>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06" w:name="xdx_988_ecustom--FairValueAssetRecurring"/>
            <w:bookmarkEnd w:id="306"/>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07" w:name="xdx_982_eus-gaap--FinancialInstrumentsOw"/>
            <w:bookmarkEnd w:id="307"/>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3,134</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8" w:name="xdx_98F_ecustom--FinancialInstrumentsOwn"/>
            <w:bookmarkEnd w:id="308"/>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09" w:name="xdx_98D_ecustom--FairValueAssetRecurring"/>
            <w:bookmarkEnd w:id="309"/>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0" w:name="xdx_986_ecustom--FairValueAssetRecurring"/>
            <w:bookmarkEnd w:id="310"/>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1" w:name="xdx_980_eus-gaap--FinancialInstrumentsOw"/>
            <w:bookmarkEnd w:id="311"/>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3,134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2135"/>
        <w:gridCol w:w="60"/>
        <w:gridCol w:w="190"/>
        <w:gridCol w:w="760"/>
        <w:gridCol w:w="68"/>
        <w:gridCol w:w="68"/>
        <w:gridCol w:w="673"/>
        <w:gridCol w:w="457"/>
        <w:gridCol w:w="68"/>
        <w:gridCol w:w="68"/>
        <w:gridCol w:w="673"/>
        <w:gridCol w:w="457"/>
        <w:gridCol w:w="68"/>
        <w:gridCol w:w="68"/>
        <w:gridCol w:w="159"/>
        <w:gridCol w:w="637"/>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Adjusted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Unrealized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center"/>
              <w:rPr>
                <w:b/>
              </w:rPr>
            </w:pPr>
            <w:r>
              <w:rPr>
                <w:b/>
              </w:rPr>
              <w:t>Market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Gains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Losses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Level 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12" w:name="xdx_986_ecustom--FinancialInstrumentsOwn"/>
            <w:bookmarkEnd w:id="312"/>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2,945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3" w:name="xdx_989_ecustom--FairValueAssetRecurring"/>
            <w:bookmarkEnd w:id="313"/>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14" w:name="xdx_982_ecustom--FairValueAssetRecurring"/>
            <w:bookmarkEnd w:id="314"/>
          </w:p>
        </w:tc>
        <w:tc>
          <w:tcPr>
            <w:tcW w:w="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315" w:name="xdx_981_eus-gaap--FinancialInstrumentsOw"/>
            <w:bookmarkEnd w:id="315"/>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pPr>
            <w:r>
              <w:rPr/>
              <w:t>2,945</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Financial Assets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6" w:name="xdx_98B_ecustom--FinancialInstrumentsOwn"/>
            <w:bookmarkEnd w:id="316"/>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pPr>
            <w:r>
              <w:rPr/>
              <w:t>2,945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7" w:name="xdx_985_ecustom--FairValueAssetRecurring"/>
            <w:bookmarkEnd w:id="317"/>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8" w:name="xdx_98A_ecustom--FairValueAssetRecurring"/>
            <w:bookmarkEnd w:id="318"/>
          </w:p>
        </w:tc>
        <w:tc>
          <w:tcPr>
            <w:tcW w:w="4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19" w:name="xdx_980_eus-gaap--FinancialInstrumentsOw"/>
            <w:bookmarkEnd w:id="319"/>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2,945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20" w:name="xdx_8A9_zIWDQ6NkPAw2"/>
      <w:bookmarkEnd w:id="32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gains or losses resulting from our short-term investments are recorded in accumulated other comprehensive gain or loss as they are classified as available for sale. During the six months ended June 30, 2025, as well as the six months ended June 30, 2024, no gain (loss) was recorded to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liabilities are measured at fair value on a recurring basis. The subsequent measurement of the warrant liabilities as of June 30, 2025, is classified as Level 3 due to the use of an observable market quote in a non-active market and the management’s assumption of the expected stock price volatility.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21" w:name="xdx_89E_eus-gaap--FairValueLiabilitiesMe"/>
      <w:bookmarkEnd w:id="321"/>
      <w:r>
        <w:rPr>
          <w:rFonts w:ascii="Times New Roman;Times;Serif" w:hAnsi="Times New Roman;Times;Serif"/>
          <w:b w:val="false"/>
          <w:i w:val="false"/>
          <w:caps w:val="false"/>
          <w:smallCaps w:val="false"/>
          <w:sz w:val="20"/>
        </w:rPr>
        <w:t>The following table presents the fair value in the beginning of the period, the changes in the fair value, and the fair value at the end of the period of warrant liabilities:</w:t>
      </w:r>
    </w:p>
    <w:p>
      <w:pPr>
        <w:pStyle w:val="TextBody"/>
        <w:bidi w:val="0"/>
        <w:spacing w:before="0" w:after="0"/>
        <w:jc w:val="both"/>
        <w:rPr>
          <w:caps w:val="false"/>
          <w:smallCaps w:val="false"/>
        </w:rPr>
      </w:pPr>
      <w:r>
        <w:rPr>
          <w:caps w:val="false"/>
          <w:smallCaps w:val="false"/>
        </w:rPr>
        <w:t> </w:t>
      </w:r>
      <w:bookmarkStart w:id="322" w:name="xdx_8BB_zeCxqxBpIKhk"/>
      <w:bookmarkEnd w:id="322"/>
      <w:r>
        <w:rPr>
          <w:rFonts w:ascii="Times New Roman;Times;Serif" w:hAnsi="Times New Roman;Times;Serif"/>
          <w:b w:val="false"/>
          <w:i w:val="false"/>
          <w:caps w:val="false"/>
          <w:smallCaps w:val="false"/>
          <w:sz w:val="20"/>
        </w:rPr>
        <w:t>SCHEDULE OF FAIR OF WARRANT LIABILITIES</w:t>
      </w:r>
    </w:p>
    <w:tbl>
      <w:tblPr>
        <w:tblW w:w="10205" w:type="dxa"/>
        <w:jc w:val="left"/>
        <w:tblInd w:w="0" w:type="dxa"/>
        <w:tblLayout w:type="fixed"/>
        <w:tblCellMar>
          <w:top w:w="0" w:type="dxa"/>
          <w:left w:w="0" w:type="dxa"/>
          <w:bottom w:w="28" w:type="dxa"/>
          <w:right w:w="0" w:type="dxa"/>
        </w:tblCellMar>
      </w:tblPr>
      <w:tblGrid>
        <w:gridCol w:w="6907"/>
        <w:gridCol w:w="60"/>
        <w:gridCol w:w="198"/>
        <w:gridCol w:w="1070"/>
        <w:gridCol w:w="95"/>
        <w:gridCol w:w="60"/>
        <w:gridCol w:w="265"/>
        <w:gridCol w:w="1437"/>
        <w:gridCol w:w="113"/>
      </w:tblGrid>
      <w:tr>
        <w:trPr/>
        <w:tc>
          <w:tcPr>
            <w:tcW w:w="6907" w:type="dxa"/>
            <w:tcBorders>
              <w:bottom w:val="single" w:sz="8" w:space="0" w:color="000000"/>
            </w:tcBorders>
            <w:vAlign w:val="center"/>
          </w:tcPr>
          <w:p>
            <w:pPr>
              <w:pStyle w:val="TableContents"/>
              <w:bidi w:val="0"/>
              <w:spacing w:before="0" w:after="283"/>
              <w:jc w:val="left"/>
              <w:rPr/>
            </w:pPr>
            <w:r>
              <w:rPr/>
              <w:t>Level 3:</w:t>
            </w:r>
          </w:p>
        </w:tc>
        <w:tc>
          <w:tcPr>
            <w:tcW w:w="60" w:type="dxa"/>
            <w:tcBorders/>
            <w:tcMar>
              <w:bottom w:w="0" w:type="dxa"/>
            </w:tcMar>
            <w:vAlign w:val="center"/>
          </w:tcPr>
          <w:p>
            <w:pPr>
              <w:pStyle w:val="TableContents"/>
              <w:bidi w:val="0"/>
              <w:spacing w:before="0" w:after="283"/>
              <w:jc w:val="left"/>
              <w:rPr/>
            </w:pPr>
            <w:r>
              <w:rPr/>
              <w:t> </w:t>
            </w:r>
            <w:bookmarkStart w:id="323" w:name="xdx_49B_20250101__20250630_z0zdROsYcrfe"/>
            <w:bookmarkEnd w:id="323"/>
          </w:p>
        </w:tc>
        <w:tc>
          <w:tcPr>
            <w:tcW w:w="1268"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24" w:name="xdx_495_20240101__20241231_zBxuxoKGCuc7"/>
            <w:bookmarkEnd w:id="324"/>
          </w:p>
        </w:tc>
        <w:tc>
          <w:tcPr>
            <w:tcW w:w="1702" w:type="dxa"/>
            <w:gridSpan w:val="2"/>
            <w:tcBorders>
              <w:bottom w:val="single" w:sz="8" w:space="0" w:color="000000"/>
            </w:tcBorders>
            <w:vAlign w:val="center"/>
          </w:tcPr>
          <w:p>
            <w:pPr>
              <w:pStyle w:val="TableContents"/>
              <w:bidi w:val="0"/>
              <w:spacing w:before="0" w:after="283"/>
              <w:jc w:val="center"/>
              <w:rPr>
                <w:b/>
              </w:rPr>
            </w:pPr>
            <w:r>
              <w:rPr>
                <w:b/>
              </w:rPr>
              <w:t>December 31, 2024</w:t>
            </w:r>
          </w:p>
        </w:tc>
        <w:tc>
          <w:tcPr>
            <w:tcW w:w="113" w:type="dxa"/>
            <w:tcBorders/>
            <w:tcMar>
              <w:bottom w:w="0" w:type="dxa"/>
            </w:tcMar>
            <w:vAlign w:val="center"/>
          </w:tcPr>
          <w:p>
            <w:pPr>
              <w:pStyle w:val="TableContents"/>
              <w:bidi w:val="0"/>
              <w:spacing w:before="0" w:after="283"/>
              <w:jc w:val="left"/>
              <w:rPr/>
            </w:pPr>
            <w:r>
              <w:rPr/>
              <w:t> </w:t>
            </w:r>
            <w:bookmarkStart w:id="325" w:name="xdx_404_eus-gaap--FinancialLiabilitiesFa"/>
            <w:bookmarkEnd w:id="325"/>
          </w:p>
        </w:tc>
      </w:tr>
      <w:tr>
        <w:trPr/>
        <w:tc>
          <w:tcPr>
            <w:tcW w:w="6907" w:type="dxa"/>
            <w:tcBorders/>
            <w:shd w:fill="CCEEFF" w:val="clear"/>
            <w:tcMar>
              <w:bottom w:w="0" w:type="dxa"/>
            </w:tcMar>
            <w:vAlign w:val="center"/>
          </w:tcPr>
          <w:p>
            <w:pPr>
              <w:pStyle w:val="TableContents"/>
              <w:bidi w:val="0"/>
              <w:spacing w:before="0" w:after="283"/>
              <w:jc w:val="left"/>
              <w:rPr/>
            </w:pPr>
            <w:r>
              <w:rPr/>
              <w:t>Fair value at inception for December 31, 2024 or the beginning of the period for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70" w:type="dxa"/>
            <w:tcBorders/>
            <w:shd w:fill="CCEEFF" w:val="clear"/>
            <w:tcMar>
              <w:bottom w:w="0" w:type="dxa"/>
            </w:tcMar>
            <w:vAlign w:val="center"/>
          </w:tcPr>
          <w:p>
            <w:pPr>
              <w:pStyle w:val="TableContents"/>
              <w:bidi w:val="0"/>
              <w:spacing w:before="0" w:after="283"/>
              <w:jc w:val="right"/>
              <w:rPr/>
            </w:pPr>
            <w:r>
              <w:rPr/>
              <w:t>(10,131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w:t>
            </w:r>
          </w:p>
        </w:tc>
        <w:tc>
          <w:tcPr>
            <w:tcW w:w="1437" w:type="dxa"/>
            <w:tcBorders/>
            <w:shd w:fill="CCEEFF" w:val="clear"/>
            <w:tcMar>
              <w:bottom w:w="0" w:type="dxa"/>
            </w:tcMar>
            <w:vAlign w:val="center"/>
          </w:tcPr>
          <w:p>
            <w:pPr>
              <w:pStyle w:val="TableContents"/>
              <w:bidi w:val="0"/>
              <w:spacing w:before="0" w:after="283"/>
              <w:jc w:val="right"/>
              <w:rPr/>
            </w:pPr>
            <w:r>
              <w:rPr/>
              <w:t>(19,703</w:t>
            </w:r>
          </w:p>
        </w:tc>
        <w:tc>
          <w:tcPr>
            <w:tcW w:w="113" w:type="dxa"/>
            <w:tcBorders/>
            <w:shd w:fill="CCEEFF" w:val="clear"/>
            <w:tcMar>
              <w:bottom w:w="0" w:type="dxa"/>
            </w:tcMar>
            <w:vAlign w:val="center"/>
          </w:tcPr>
          <w:p>
            <w:pPr>
              <w:pStyle w:val="TableContents"/>
              <w:bidi w:val="0"/>
              <w:spacing w:before="0" w:after="283"/>
              <w:jc w:val="left"/>
              <w:rPr/>
            </w:pPr>
            <w:r>
              <w:rPr/>
              <w:t>)</w:t>
            </w:r>
            <w:bookmarkStart w:id="326" w:name="xdx_401_ecustom--WarrantsIssuedWithPriva"/>
            <w:bookmarkEnd w:id="326"/>
          </w:p>
        </w:tc>
      </w:tr>
      <w:tr>
        <w:trPr/>
        <w:tc>
          <w:tcPr>
            <w:tcW w:w="6907" w:type="dxa"/>
            <w:tcBorders/>
            <w:shd w:fill="FFFFFF" w:val="clear"/>
            <w:tcMar>
              <w:bottom w:w="0" w:type="dxa"/>
            </w:tcMar>
            <w:vAlign w:val="center"/>
          </w:tcPr>
          <w:p>
            <w:pPr>
              <w:pStyle w:val="TableContents"/>
              <w:bidi w:val="0"/>
              <w:spacing w:before="0" w:after="283"/>
              <w:jc w:val="left"/>
              <w:rPr/>
            </w:pPr>
            <w:r>
              <w:rPr/>
              <w:t>Warrants issued with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pPr>
            <w:r>
              <w:rPr/>
              <w:t>(5,186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shd w:fill="FFFFFF" w:val="clear"/>
            <w:tcMar>
              <w:bottom w:w="0" w:type="dxa"/>
            </w:tcMar>
            <w:vAlign w:val="center"/>
          </w:tcPr>
          <w:p>
            <w:pPr>
              <w:pStyle w:val="TableContents"/>
              <w:bidi w:val="0"/>
              <w:spacing w:before="0" w:after="283"/>
              <w:jc w:val="left"/>
              <w:rPr/>
            </w:pPr>
            <w:r>
              <w:rPr/>
              <w:t> </w:t>
            </w:r>
          </w:p>
        </w:tc>
        <w:tc>
          <w:tcPr>
            <w:tcW w:w="1437" w:type="dxa"/>
            <w:tcBorders/>
            <w:shd w:fill="FFFFFF" w:val="clear"/>
            <w:tcMar>
              <w:bottom w:w="0" w:type="dxa"/>
            </w:tcM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jc w:val="left"/>
              <w:rPr/>
            </w:pPr>
            <w:r>
              <w:rPr/>
              <w:t> </w:t>
            </w:r>
            <w:bookmarkStart w:id="327" w:name="xdx_402_eus-gaap--FairValueAdjustmentOfW"/>
            <w:bookmarkEnd w:id="327"/>
          </w:p>
        </w:tc>
      </w:tr>
      <w:tr>
        <w:trPr/>
        <w:tc>
          <w:tcPr>
            <w:tcW w:w="6907" w:type="dxa"/>
            <w:tcBorders/>
            <w:shd w:fill="CCEEFF" w:val="clear"/>
            <w:tcMar>
              <w:bottom w:w="0" w:type="dxa"/>
            </w:tcMar>
            <w:vAlign w:val="center"/>
          </w:tcPr>
          <w:p>
            <w:pPr>
              <w:pStyle w:val="TableContents"/>
              <w:bidi w:val="0"/>
              <w:spacing w:before="0" w:after="283"/>
              <w:jc w:val="left"/>
              <w:rPr/>
            </w:pPr>
            <w:r>
              <w:rPr/>
              <w:t>Change in fair value of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3,158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437" w:type="dxa"/>
            <w:tcBorders/>
            <w:shd w:fill="CCEEFF" w:val="clear"/>
            <w:tcMar>
              <w:bottom w:w="0" w:type="dxa"/>
            </w:tcMar>
            <w:vAlign w:val="center"/>
          </w:tcPr>
          <w:p>
            <w:pPr>
              <w:pStyle w:val="TableContents"/>
              <w:bidi w:val="0"/>
              <w:spacing w:before="0" w:after="283"/>
              <w:jc w:val="right"/>
              <w:rPr/>
            </w:pPr>
            <w:r>
              <w:rPr/>
              <w:t>9,572</w:t>
            </w:r>
          </w:p>
        </w:tc>
        <w:tc>
          <w:tcPr>
            <w:tcW w:w="113" w:type="dxa"/>
            <w:tcBorders/>
            <w:shd w:fill="CCEEFF" w:val="clear"/>
            <w:tcMar>
              <w:bottom w:w="0" w:type="dxa"/>
            </w:tcMar>
            <w:vAlign w:val="center"/>
          </w:tcPr>
          <w:p>
            <w:pPr>
              <w:pStyle w:val="TableContents"/>
              <w:bidi w:val="0"/>
              <w:spacing w:before="0" w:after="283"/>
              <w:jc w:val="left"/>
              <w:rPr/>
            </w:pPr>
            <w:r>
              <w:rPr/>
              <w:t> </w:t>
            </w:r>
            <w:bookmarkStart w:id="328" w:name="xdx_40F_ecustom--ReclassificationOfWarra"/>
            <w:bookmarkEnd w:id="328"/>
          </w:p>
        </w:tc>
      </w:tr>
      <w:tr>
        <w:trPr/>
        <w:tc>
          <w:tcPr>
            <w:tcW w:w="6907" w:type="dxa"/>
            <w:tcBorders/>
            <w:shd w:fill="FFFFFF" w:val="clear"/>
            <w:tcMar>
              <w:bottom w:w="0" w:type="dxa"/>
            </w:tcMar>
            <w:vAlign w:val="center"/>
          </w:tcPr>
          <w:p>
            <w:pPr>
              <w:pStyle w:val="TableContents"/>
              <w:bidi w:val="0"/>
              <w:spacing w:before="0" w:after="283"/>
              <w:jc w:val="left"/>
              <w:rPr/>
            </w:pPr>
            <w:r>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single" w:sz="8" w:space="0" w:color="000000"/>
            </w:tcBorders>
            <w:shd w:fill="FFFFFF" w:val="clear"/>
            <w:vAlign w:val="center"/>
          </w:tcPr>
          <w:p>
            <w:pPr>
              <w:pStyle w:val="TableContents"/>
              <w:bidi w:val="0"/>
              <w:spacing w:before="0" w:after="283"/>
              <w:jc w:val="left"/>
              <w:rPr/>
            </w:pPr>
            <w:r>
              <w:rPr/>
              <w:t> </w:t>
            </w:r>
          </w:p>
        </w:tc>
        <w:tc>
          <w:tcPr>
            <w:tcW w:w="1070" w:type="dxa"/>
            <w:tcBorders>
              <w:bottom w:val="single" w:sz="8" w:space="0" w:color="000000"/>
            </w:tcBorders>
            <w:shd w:fill="FFFFFF" w:val="clear"/>
            <w:vAlign w:val="center"/>
          </w:tcPr>
          <w:p>
            <w:pPr>
              <w:pStyle w:val="TableContents"/>
              <w:bidi w:val="0"/>
              <w:spacing w:before="0" w:after="283"/>
              <w:jc w:val="right"/>
              <w:rPr/>
            </w:pPr>
            <w:r>
              <w:rPr/>
              <w:t>12,159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 w:type="dxa"/>
            <w:tcBorders>
              <w:bottom w:val="single" w:sz="8" w:space="0" w:color="000000"/>
            </w:tcBorders>
            <w:shd w:fill="FFFFFF" w:val="clear"/>
            <w:vAlign w:val="center"/>
          </w:tcPr>
          <w:p>
            <w:pPr>
              <w:pStyle w:val="TableContents"/>
              <w:bidi w:val="0"/>
              <w:spacing w:before="0" w:after="283"/>
              <w:jc w:val="left"/>
              <w:rPr/>
            </w:pPr>
            <w:r>
              <w:rPr/>
              <w:t> </w:t>
            </w:r>
          </w:p>
        </w:tc>
        <w:tc>
          <w:tcPr>
            <w:tcW w:w="1437" w:type="dxa"/>
            <w:tcBorders>
              <w:bottom w:val="single" w:sz="8" w:space="0" w:color="000000"/>
            </w:tcBorders>
            <w:shd w:fill="FFFFFF" w:val="cle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jc w:val="left"/>
              <w:rPr/>
            </w:pPr>
            <w:r>
              <w:rPr/>
              <w:t> </w:t>
            </w:r>
            <w:bookmarkStart w:id="329" w:name="xdx_40B_eus-gaap--FinancialLiabilitiesFa"/>
            <w:bookmarkEnd w:id="329"/>
          </w:p>
        </w:tc>
      </w:tr>
      <w:tr>
        <w:trPr/>
        <w:tc>
          <w:tcPr>
            <w:tcW w:w="6907" w:type="dxa"/>
            <w:tcBorders/>
            <w:shd w:fill="CCEEFF" w:val="clear"/>
            <w:tcMar>
              <w:bottom w:w="0" w:type="dxa"/>
            </w:tcMar>
            <w:vAlign w:val="center"/>
          </w:tcPr>
          <w:p>
            <w:pPr>
              <w:pStyle w:val="TableContents"/>
              <w:bidi w:val="0"/>
              <w:spacing w:before="0" w:after="283"/>
              <w:jc w:val="left"/>
              <w:rPr/>
            </w:pPr>
            <w:r>
              <w:rPr/>
              <w:t>Fair value as of period end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double" w:sz="6" w:space="0" w:color="000000"/>
            </w:tcBorders>
            <w:shd w:fill="CCEEFF" w:val="clear"/>
            <w:vAlign w:val="center"/>
          </w:tcPr>
          <w:p>
            <w:pPr>
              <w:pStyle w:val="TableContents"/>
              <w:bidi w:val="0"/>
              <w:spacing w:before="0" w:after="283"/>
              <w:jc w:val="left"/>
              <w:rPr/>
            </w:pPr>
            <w:r>
              <w:rPr/>
              <w:t>$</w:t>
            </w:r>
          </w:p>
        </w:tc>
        <w:tc>
          <w:tcPr>
            <w:tcW w:w="1070"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 w:type="dxa"/>
            <w:tcBorders>
              <w:bottom w:val="double" w:sz="6" w:space="0" w:color="000000"/>
            </w:tcBorders>
            <w:shd w:fill="CCEEFF" w:val="clear"/>
            <w:vAlign w:val="center"/>
          </w:tcPr>
          <w:p>
            <w:pPr>
              <w:pStyle w:val="TableContents"/>
              <w:bidi w:val="0"/>
              <w:spacing w:before="0" w:after="283"/>
              <w:jc w:val="left"/>
              <w:rPr/>
            </w:pPr>
            <w:r>
              <w:rPr/>
              <w:t>$</w:t>
            </w:r>
          </w:p>
        </w:tc>
        <w:tc>
          <w:tcPr>
            <w:tcW w:w="1437" w:type="dxa"/>
            <w:tcBorders>
              <w:bottom w:val="double" w:sz="6" w:space="0" w:color="000000"/>
            </w:tcBorders>
            <w:shd w:fill="CCEEFF" w:val="clear"/>
            <w:vAlign w:val="center"/>
          </w:tcPr>
          <w:p>
            <w:pPr>
              <w:pStyle w:val="TableContents"/>
              <w:bidi w:val="0"/>
              <w:spacing w:before="0" w:after="283"/>
              <w:jc w:val="right"/>
              <w:rPr/>
            </w:pPr>
            <w:r>
              <w:rPr/>
              <w:t>(10,131</w:t>
            </w:r>
          </w:p>
        </w:tc>
        <w:tc>
          <w:tcPr>
            <w:tcW w:w="11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bookmarkStart w:id="330" w:name="xdx_8AB_zzqO1Qhn6kvi"/>
      <w:bookmarkEnd w:id="33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a Monte Carlo simulation to estimate the fair value of warrant liabilities as of June 30, 2025, being the date the Company entered into the Series A Warrant Amendment and the 2025 Warrant Amendment. The valuation was performed based on the amended terms of the Series A Warrants and PIPE Warrants. The following table summarizes the assumptions used to compute the fair value of the Company’s warrants: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bookmarkStart w:id="331" w:name="xdx_89F_eus-gaap--FairValueAssetsAndLiab"/>
      <w:bookmarkEnd w:id="331"/>
      <w:r>
        <w:rPr>
          <w:caps w:val="false"/>
          <w:smallCaps w:val="false"/>
        </w:rPr>
        <w:t> </w:t>
      </w:r>
      <w:bookmarkStart w:id="332" w:name="xdx_8B0_z7GcPCk8VGYh"/>
      <w:bookmarkEnd w:id="332"/>
      <w:r>
        <w:rPr>
          <w:rFonts w:ascii="Times New Roman;Times;Serif" w:hAnsi="Times New Roman;Times;Serif"/>
          <w:b w:val="false"/>
          <w:i w:val="false"/>
          <w:caps w:val="false"/>
          <w:smallCaps w:val="false"/>
          <w:sz w:val="20"/>
        </w:rPr>
        <w:t>SCHEDULE OF BLACK SCHOLES OPTION PRICING MODEL OF WARRANT LIABILITIES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MONTE CARLO SIMULATION MODEL – PIPE WARRANTS</w:t>
      </w:r>
    </w:p>
    <w:p>
      <w:pPr>
        <w:pStyle w:val="TextBody"/>
        <w:bidi w:val="0"/>
        <w:spacing w:before="0" w:after="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885"/>
        <w:gridCol w:w="60"/>
        <w:gridCol w:w="283"/>
        <w:gridCol w:w="1132"/>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June 30, 2025</w:t>
            </w:r>
          </w:p>
        </w:tc>
        <w:tc>
          <w:tcPr>
            <w:tcW w:w="230" w:type="dxa"/>
            <w:tcBorders/>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333" w:name="xdx_985_eus-gaap--WarrantsAndRightsOutst"/>
            <w:bookmarkEnd w:id="333"/>
          </w:p>
        </w:tc>
        <w:tc>
          <w:tcPr>
            <w:tcW w:w="1132"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334" w:name="xdx_980_eus-gaap--WarrantsAndRightsOutst"/>
            <w:bookmarkEnd w:id="334"/>
          </w:p>
        </w:tc>
        <w:tc>
          <w:tcPr>
            <w:tcW w:w="1132" w:type="dxa"/>
            <w:tcBorders/>
            <w:shd w:fill="FFFFFF" w:val="clear"/>
            <w:vAlign w:val="center"/>
          </w:tcPr>
          <w:p>
            <w:pPr>
              <w:pStyle w:val="TableContents"/>
              <w:bidi w:val="0"/>
              <w:spacing w:before="0" w:after="283"/>
              <w:jc w:val="right"/>
              <w:rPr/>
            </w:pPr>
            <w:r>
              <w:rPr/>
              <w:t>3.73</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Dividends yield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335" w:name="xdx_988_eus-gaap--WarrantsAndRightsOutst"/>
            <w:bookmarkEnd w:id="335"/>
          </w:p>
        </w:tc>
        <w:tc>
          <w:tcPr>
            <w:tcW w:w="1132"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Term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336" w:name="xdx_98F_eus-gaap--WarrantsAndRightsOutst"/>
            <w:bookmarkEnd w:id="336"/>
          </w:p>
        </w:tc>
        <w:tc>
          <w:tcPr>
            <w:tcW w:w="1132" w:type="dxa"/>
            <w:tcBorders/>
            <w:shd w:fill="FFFFFF" w:val="clear"/>
            <w:vAlign w:val="center"/>
          </w:tcPr>
          <w:p>
            <w:pPr>
              <w:pStyle w:val="TableContents"/>
              <w:bidi w:val="0"/>
              <w:spacing w:before="0" w:after="283"/>
              <w:jc w:val="right"/>
              <w:rPr/>
            </w:pPr>
            <w:r>
              <w:rPr/>
              <w:t>4.50</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37" w:name="xdx_985_eus-gaap--WarrantsAndRightsOutst"/>
            <w:bookmarkEnd w:id="337"/>
          </w:p>
        </w:tc>
        <w:tc>
          <w:tcPr>
            <w:tcW w:w="1132" w:type="dxa"/>
            <w:tcBorders/>
            <w:shd w:fill="CCEEFF" w:val="cle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bookmarkStart w:id="338" w:name="xdx_98B_eus-gaap--WarrantsAndRightsOutst"/>
            <w:bookmarkEnd w:id="338"/>
          </w:p>
        </w:tc>
        <w:tc>
          <w:tcPr>
            <w:tcW w:w="1132" w:type="dxa"/>
            <w:tcBorders/>
            <w:shd w:fill="FFFFFF" w:val="clear"/>
            <w:vAlign w:val="center"/>
          </w:tcPr>
          <w:p>
            <w:pPr>
              <w:pStyle w:val="TableContents"/>
              <w:bidi w:val="0"/>
              <w:spacing w:before="0" w:after="283"/>
              <w:jc w:val="right"/>
              <w:rPr/>
            </w:pPr>
            <w:r>
              <w:rPr/>
              <w:t>1.56</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Fair Value Per Warrant Share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39" w:name="xdx_98E_eus-gaap--WarrantsAndRightsOutst"/>
            <w:bookmarkEnd w:id="339"/>
          </w:p>
        </w:tc>
        <w:tc>
          <w:tcPr>
            <w:tcW w:w="1132" w:type="dxa"/>
            <w:tcBorders/>
            <w:shd w:fill="CCEEFF" w:val="clear"/>
            <w:vAlign w:val="center"/>
          </w:tcPr>
          <w:p>
            <w:pPr>
              <w:pStyle w:val="TableContents"/>
              <w:bidi w:val="0"/>
              <w:spacing w:before="0" w:after="283"/>
              <w:jc w:val="right"/>
              <w:rPr/>
            </w:pPr>
            <w:r>
              <w:rPr/>
              <w:t>1.235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MONTE CARLO SIMULATION MODEL – 2025 WARRANTS</w:t>
      </w:r>
    </w:p>
    <w:p>
      <w:pPr>
        <w:pStyle w:val="TextBody"/>
        <w:bidi w:val="0"/>
        <w:spacing w:before="0" w:after="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885"/>
        <w:gridCol w:w="60"/>
        <w:gridCol w:w="283"/>
        <w:gridCol w:w="1132"/>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2025</w:t>
            </w:r>
          </w:p>
        </w:tc>
        <w:tc>
          <w:tcPr>
            <w:tcW w:w="230" w:type="dxa"/>
            <w:tcBorders/>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340" w:name="xdx_987_eus-gaap--WarrantsAndRightsOutst"/>
            <w:bookmarkEnd w:id="340"/>
          </w:p>
        </w:tc>
        <w:tc>
          <w:tcPr>
            <w:tcW w:w="1132" w:type="dxa"/>
            <w:tcBorders/>
            <w:shd w:fill="CCEEFF" w:val="clear"/>
            <w:vAlign w:val="center"/>
          </w:tcPr>
          <w:p>
            <w:pPr>
              <w:pStyle w:val="TableContents"/>
              <w:bidi w:val="0"/>
              <w:spacing w:before="0" w:after="283"/>
              <w:jc w:val="right"/>
              <w:rPr/>
            </w:pPr>
            <w:r>
              <w:rPr/>
              <w:t>89</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341" w:name="xdx_985_eus-gaap--WarrantsAndRightsOutst"/>
            <w:bookmarkEnd w:id="341"/>
          </w:p>
        </w:tc>
        <w:tc>
          <w:tcPr>
            <w:tcW w:w="1132" w:type="dxa"/>
            <w:tcBorders/>
            <w:shd w:fill="FFFFFF" w:val="clear"/>
            <w:vAlign w:val="center"/>
          </w:tcPr>
          <w:p>
            <w:pPr>
              <w:pStyle w:val="TableContents"/>
              <w:bidi w:val="0"/>
              <w:spacing w:before="0" w:after="283"/>
              <w:jc w:val="right"/>
              <w:rPr/>
            </w:pPr>
            <w:r>
              <w:rPr/>
              <w:t>3.77</w:t>
            </w:r>
          </w:p>
        </w:tc>
        <w:tc>
          <w:tcPr>
            <w:tcW w:w="23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left"/>
              <w:rPr/>
            </w:pPr>
            <w:r>
              <w:rPr/>
              <w:t>Dividends yield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342" w:name="xdx_98B_eus-gaap--WarrantsAndRightsOutst"/>
            <w:bookmarkEnd w:id="342"/>
          </w:p>
        </w:tc>
        <w:tc>
          <w:tcPr>
            <w:tcW w:w="1132"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Term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343" w:name="xdx_985_eus-gaap--WarrantsAndRightsOutst"/>
            <w:bookmarkEnd w:id="343"/>
          </w:p>
        </w:tc>
        <w:tc>
          <w:tcPr>
            <w:tcW w:w="1132" w:type="dxa"/>
            <w:tcBorders/>
            <w:shd w:fill="FFFFFF" w:val="clear"/>
            <w:vAlign w:val="center"/>
          </w:tcPr>
          <w:p>
            <w:pPr>
              <w:pStyle w:val="TableContents"/>
              <w:bidi w:val="0"/>
              <w:spacing w:before="0" w:after="283"/>
              <w:jc w:val="right"/>
              <w:rPr/>
            </w:pPr>
            <w:r>
              <w:rPr/>
              <w:t>5.15</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44" w:name="xdx_983_eus-gaap--WarrantsAndRightsOutst"/>
            <w:bookmarkEnd w:id="344"/>
          </w:p>
        </w:tc>
        <w:tc>
          <w:tcPr>
            <w:tcW w:w="1132" w:type="dxa"/>
            <w:tcBorders/>
            <w:shd w:fill="CCEEFF" w:val="clear"/>
            <w:vAlign w:val="center"/>
          </w:tcPr>
          <w:p>
            <w:pPr>
              <w:pStyle w:val="TableContents"/>
              <w:bidi w:val="0"/>
              <w:spacing w:before="0" w:after="283"/>
              <w:jc w:val="right"/>
              <w:rPr/>
            </w:pPr>
            <w:r>
              <w:rPr/>
              <w:t>1.80</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bookmarkStart w:id="345" w:name="xdx_982_eus-gaap--WarrantsAndRightsOutst"/>
            <w:bookmarkEnd w:id="345"/>
          </w:p>
        </w:tc>
        <w:tc>
          <w:tcPr>
            <w:tcW w:w="1132" w:type="dxa"/>
            <w:tcBorders/>
            <w:shd w:fill="FFFFFF" w:val="clear"/>
            <w:vAlign w:val="center"/>
          </w:tcPr>
          <w:p>
            <w:pPr>
              <w:pStyle w:val="TableContents"/>
              <w:bidi w:val="0"/>
              <w:spacing w:before="0" w:after="283"/>
              <w:jc w:val="right"/>
              <w:rPr/>
            </w:pPr>
            <w:r>
              <w:rPr/>
              <w:t>1.56</w:t>
            </w:r>
          </w:p>
        </w:tc>
        <w:tc>
          <w:tcPr>
            <w:tcW w:w="23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Fair Value Per Warrant Share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346" w:name="xdx_98F_eus-gaap--WarrantsAndRightsOutst"/>
            <w:bookmarkEnd w:id="346"/>
          </w:p>
        </w:tc>
        <w:tc>
          <w:tcPr>
            <w:tcW w:w="1132" w:type="dxa"/>
            <w:tcBorders/>
            <w:shd w:fill="CCEEFF" w:val="clear"/>
            <w:vAlign w:val="center"/>
          </w:tcPr>
          <w:p>
            <w:pPr>
              <w:pStyle w:val="TableContents"/>
              <w:bidi w:val="0"/>
              <w:spacing w:before="0" w:after="283"/>
              <w:jc w:val="right"/>
              <w:rPr/>
            </w:pPr>
            <w:r>
              <w:rPr/>
              <w:t>1.132</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47" w:name="xdx_8A3_zGOdzQ1z4dLi"/>
      <w:bookmarkEnd w:id="34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modified Black-Scholes option pricing model to determine the fair value of warrant liabilities as of December 31, 2024. The following table summarizes the assumptions used to compute the fair value of the Company’s warrants:</w:t>
      </w:r>
    </w:p>
    <w:p>
      <w:pPr>
        <w:pStyle w:val="TextBody"/>
        <w:bidi w:val="0"/>
        <w:spacing w:before="0" w:after="0"/>
        <w:jc w:val="left"/>
        <w:rPr>
          <w:caps w:val="false"/>
          <w:smallCaps w:val="false"/>
        </w:rPr>
      </w:pPr>
      <w:bookmarkStart w:id="348" w:name="xdx_C06_gL3FVAALMORAN-LC_z7mYdm6GbTCa"/>
      <w:bookmarkEnd w:id="348"/>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9" w:name="xdx_30A_134_zLqmpCGrX4vh"/>
      <w:bookmarkStart w:id="350" w:name="xdx_30A_134_zLqmpCGrX4vh"/>
      <w:bookmarkEnd w:id="350"/>
    </w:p>
    <w:tbl>
      <w:tblPr>
        <w:tblW w:w="6764" w:type="dxa"/>
        <w:jc w:val="left"/>
        <w:tblInd w:w="0" w:type="dxa"/>
        <w:tblLayout w:type="fixed"/>
        <w:tblCellMar>
          <w:top w:w="0" w:type="dxa"/>
          <w:left w:w="0" w:type="dxa"/>
          <w:bottom w:w="0" w:type="dxa"/>
          <w:right w:w="0" w:type="dxa"/>
        </w:tblCellMar>
      </w:tblPr>
      <w:tblGrid>
        <w:gridCol w:w="4835"/>
        <w:gridCol w:w="60"/>
        <w:gridCol w:w="395"/>
        <w:gridCol w:w="1244"/>
        <w:gridCol w:w="23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3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bookmarkStart w:id="351" w:name="xdx_987_eus-gaap--WarrantsAndRightsOutst"/>
            <w:bookmarkEnd w:id="351"/>
          </w:p>
        </w:tc>
        <w:tc>
          <w:tcPr>
            <w:tcW w:w="1244" w:type="dxa"/>
            <w:tcBorders/>
            <w:shd w:fill="CCEEFF" w:val="clear"/>
            <w:vAlign w:val="center"/>
          </w:tcPr>
          <w:p>
            <w:pPr>
              <w:pStyle w:val="TableContents"/>
              <w:bidi w:val="0"/>
              <w:spacing w:before="0" w:after="283"/>
              <w:jc w:val="right"/>
              <w:rPr/>
            </w:pPr>
            <w:r>
              <w:rPr/>
              <w:t>88</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bookmarkStart w:id="352" w:name="xdx_980_eus-gaap--WarrantsAndRightsOutst"/>
            <w:bookmarkEnd w:id="352"/>
          </w:p>
        </w:tc>
        <w:tc>
          <w:tcPr>
            <w:tcW w:w="1244" w:type="dxa"/>
            <w:tcBorders/>
            <w:shd w:fill="FFFFFF" w:val="clear"/>
            <w:vAlign w:val="center"/>
          </w:tcPr>
          <w:p>
            <w:pPr>
              <w:pStyle w:val="TableContents"/>
              <w:bidi w:val="0"/>
              <w:spacing w:before="0" w:after="283"/>
              <w:jc w:val="right"/>
              <w:rPr/>
            </w:pPr>
            <w:r>
              <w:rPr/>
              <w:t>4.25</w:t>
            </w:r>
          </w:p>
        </w:tc>
        <w:tc>
          <w:tcPr>
            <w:tcW w:w="23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Dividends yield</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bookmarkStart w:id="353" w:name="xdx_98B_eus-gaap--WarrantsAndRightsOutst"/>
            <w:bookmarkEnd w:id="353"/>
          </w:p>
        </w:tc>
        <w:tc>
          <w:tcPr>
            <w:tcW w:w="1244"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Weighted average expected life of warrants (years)</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bookmarkStart w:id="354" w:name="xdx_988_eus-gaap--WarrantsAndRightsOutst"/>
            <w:bookmarkEnd w:id="354"/>
          </w:p>
        </w:tc>
        <w:tc>
          <w:tcPr>
            <w:tcW w:w="1244" w:type="dxa"/>
            <w:tcBorders/>
            <w:shd w:fill="FFFFFF" w:val="clear"/>
            <w:vAlign w:val="center"/>
          </w:tcPr>
          <w:p>
            <w:pPr>
              <w:pStyle w:val="TableContents"/>
              <w:bidi w:val="0"/>
              <w:spacing w:before="0" w:after="283"/>
              <w:jc w:val="right"/>
              <w:rPr/>
            </w:pPr>
            <w:r>
              <w:rPr/>
              <w:t>3.50</w:t>
            </w:r>
          </w:p>
        </w:tc>
        <w:tc>
          <w:tcPr>
            <w:tcW w:w="23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Weighted average exercise price</w:t>
            </w:r>
          </w:p>
        </w:tc>
        <w:tc>
          <w:tcPr>
            <w:tcW w:w="60" w:type="dxa"/>
            <w:tcBorders/>
            <w:shd w:fill="CCEEFF" w:val="clear"/>
            <w:vAlign w:val="center"/>
          </w:tcPr>
          <w:p>
            <w:pPr>
              <w:pStyle w:val="TableContents"/>
              <w:bidi w:val="0"/>
              <w:spacing w:before="0" w:after="283"/>
              <w:jc w:val="left"/>
              <w:rPr/>
            </w:pPr>
            <w:r>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55" w:name="xdx_988_eus-gaap--WarrantsAndRightsOutst"/>
            <w:bookmarkEnd w:id="355"/>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caps w:val="false"/>
          <w:smallCaps w:val="false"/>
        </w:rPr>
      </w:pPr>
      <w:bookmarkStart w:id="356" w:name="xdx_C04_gL3FVAALMORAN-LC_zkQaBHhdnZG2"/>
      <w:bookmarkEnd w:id="35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financial instruments also include accounts receivable, accounts payable, accrued liabilities and customer deposits. Due to the short-term nature of these instruments, their fair values approximate their carrying values on the balance sheet.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57" w:name="xdx_80B_eus-gaap--InventoryDisclosureTex"/>
      <w:bookmarkEnd w:id="357"/>
      <w:r>
        <w:rPr>
          <w:rFonts w:ascii="Times New Roman;Times;Serif" w:hAnsi="Times New Roman;Times;Serif"/>
          <w:b/>
          <w:i w:val="false"/>
          <w:caps w:val="false"/>
          <w:smallCaps w:val="false"/>
          <w:sz w:val="20"/>
        </w:rPr>
        <w:t xml:space="preserve">4. </w:t>
      </w:r>
      <w:bookmarkStart w:id="358" w:name="xdx_821_zrPbiZbajRme"/>
      <w:bookmarkEnd w:id="358"/>
      <w:r>
        <w:rPr>
          <w:rFonts w:ascii="Times New Roman;Times;Serif" w:hAnsi="Times New Roman;Times;Serif"/>
          <w:b/>
          <w:i w:val="false"/>
          <w:caps w:val="false"/>
          <w:smallCaps w:val="false"/>
          <w:sz w:val="20"/>
        </w:rPr>
        <w:t>INVENTORIES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59" w:name="xdx_896_eus-gaap--ScheduleOfInventoryCur"/>
      <w:bookmarkEnd w:id="359"/>
      <w:r>
        <w:rPr>
          <w:rFonts w:ascii="Times New Roman;Times;Serif" w:hAnsi="Times New Roman;Times;Serif"/>
          <w:b w:val="false"/>
          <w:i w:val="false"/>
          <w:caps w:val="false"/>
          <w:smallCaps w:val="false"/>
          <w:sz w:val="20"/>
        </w:rPr>
        <w:t>Inventory is recorded at the lower of cost or net realizable value. The cost of substantially all the Company’s inventory is determined by the FIFO cost method. Inventories consisted of the following:</w:t>
      </w:r>
    </w:p>
    <w:p>
      <w:pPr>
        <w:pStyle w:val="TextBody"/>
        <w:bidi w:val="0"/>
        <w:spacing w:before="0" w:after="0"/>
        <w:jc w:val="both"/>
        <w:rPr>
          <w:caps w:val="false"/>
          <w:smallCaps w:val="false"/>
        </w:rPr>
      </w:pPr>
      <w:r>
        <w:rPr>
          <w:caps w:val="false"/>
          <w:smallCaps w:val="false"/>
        </w:rPr>
        <w:t> </w:t>
      </w:r>
      <w:bookmarkStart w:id="360" w:name="xdx_8B4_zZYS7UM68Ss7"/>
      <w:bookmarkEnd w:id="360"/>
      <w:r>
        <w:rPr>
          <w:rFonts w:ascii="Times New Roman;Times;Serif" w:hAnsi="Times New Roman;Times;Serif"/>
          <w:b w:val="false"/>
          <w:i w:val="false"/>
          <w:caps w:val="false"/>
          <w:smallCaps w:val="false"/>
          <w:sz w:val="20"/>
        </w:rPr>
        <w:t>SCHEDULE OF INVENTORY</w:t>
      </w:r>
    </w:p>
    <w:tbl>
      <w:tblPr>
        <w:tblW w:w="6190" w:type="dxa"/>
        <w:jc w:val="left"/>
        <w:tblInd w:w="0" w:type="dxa"/>
        <w:tblLayout w:type="fixed"/>
        <w:tblCellMar>
          <w:top w:w="0" w:type="dxa"/>
          <w:left w:w="0" w:type="dxa"/>
          <w:bottom w:w="0" w:type="dxa"/>
          <w:right w:w="0" w:type="dxa"/>
        </w:tblCellMar>
      </w:tblPr>
      <w:tblGrid>
        <w:gridCol w:w="2495"/>
        <w:gridCol w:w="60"/>
        <w:gridCol w:w="283"/>
        <w:gridCol w:w="1132"/>
        <w:gridCol w:w="95"/>
        <w:gridCol w:w="60"/>
        <w:gridCol w:w="391"/>
        <w:gridCol w:w="1564"/>
        <w:gridCol w:w="11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1" w:name="xdx_49D_20250630_z5FYR0mRUwsj"/>
            <w:bookmarkEnd w:id="361"/>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2" w:name="xdx_494_20241231_zXyJvcclYYZd"/>
            <w:bookmarkEnd w:id="362"/>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363" w:name="xdx_402_eus-gaap--InventoryFinishedGoods"/>
            <w:bookmarkEnd w:id="363"/>
          </w:p>
        </w:tc>
      </w:tr>
      <w:tr>
        <w:trPr/>
        <w:tc>
          <w:tcPr>
            <w:tcW w:w="249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4,387</w:t>
            </w:r>
          </w:p>
        </w:tc>
        <w:tc>
          <w:tcPr>
            <w:tcW w:w="110" w:type="dxa"/>
            <w:tcBorders/>
            <w:shd w:fill="CCEEFF" w:val="clear"/>
            <w:vAlign w:val="center"/>
          </w:tcPr>
          <w:p>
            <w:pPr>
              <w:pStyle w:val="TableContents"/>
              <w:bidi w:val="0"/>
              <w:spacing w:before="0" w:after="283"/>
              <w:jc w:val="left"/>
              <w:rPr/>
            </w:pPr>
            <w:r>
              <w:rPr/>
              <w:t> </w:t>
            </w:r>
            <w:bookmarkStart w:id="364" w:name="xdx_40E_eus-gaap--InventoryRawMaterials_"/>
            <w:bookmarkEnd w:id="364"/>
          </w:p>
        </w:tc>
      </w:tr>
      <w:tr>
        <w:trPr/>
        <w:tc>
          <w:tcPr>
            <w:tcW w:w="2495" w:type="dxa"/>
            <w:tcBorders/>
            <w:shd w:fill="FFFFFF" w:val="clear"/>
            <w:vAlign w:val="center"/>
          </w:tcPr>
          <w:p>
            <w:pPr>
              <w:pStyle w:val="TableContents"/>
              <w:bidi w:val="0"/>
              <w:spacing w:before="0" w:after="283"/>
              <w:jc w:val="left"/>
              <w:rPr/>
            </w:pPr>
            <w:r>
              <w:rPr/>
              <w:t>Raw materials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2,263</w:t>
            </w:r>
          </w:p>
        </w:tc>
        <w:tc>
          <w:tcPr>
            <w:tcW w:w="110" w:type="dxa"/>
            <w:tcBorders/>
            <w:shd w:fill="FFFFFF" w:val="clear"/>
            <w:vAlign w:val="center"/>
          </w:tcPr>
          <w:p>
            <w:pPr>
              <w:pStyle w:val="TableContents"/>
              <w:bidi w:val="0"/>
              <w:spacing w:before="0" w:after="283"/>
              <w:jc w:val="left"/>
              <w:rPr/>
            </w:pPr>
            <w:r>
              <w:rPr/>
              <w:t> </w:t>
            </w:r>
            <w:bookmarkStart w:id="365" w:name="xdx_408_eus-gaap--InventoryValuationRese"/>
            <w:bookmarkEnd w:id="365"/>
          </w:p>
        </w:tc>
      </w:tr>
      <w:tr>
        <w:trPr/>
        <w:tc>
          <w:tcPr>
            <w:tcW w:w="2495" w:type="dxa"/>
            <w:tcBorders/>
            <w:shd w:fill="CCEEFF" w:val="clear"/>
            <w:vAlign w:val="center"/>
          </w:tcPr>
          <w:p>
            <w:pPr>
              <w:pStyle w:val="TableContents"/>
              <w:bidi w:val="0"/>
              <w:spacing w:before="0" w:after="283"/>
              <w:jc w:val="left"/>
              <w:rPr/>
            </w:pPr>
            <w:r>
              <w:rPr/>
              <w:t>Reserve for Obsolescence</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(480</w:t>
            </w:r>
          </w:p>
        </w:tc>
        <w:tc>
          <w:tcPr>
            <w:tcW w:w="110" w:type="dxa"/>
            <w:tcBorders/>
            <w:shd w:fill="CCEEFF" w:val="clear"/>
            <w:vAlign w:val="center"/>
          </w:tcPr>
          <w:p>
            <w:pPr>
              <w:pStyle w:val="TableContents"/>
              <w:bidi w:val="0"/>
              <w:spacing w:before="0" w:after="283"/>
              <w:jc w:val="left"/>
              <w:rPr/>
            </w:pPr>
            <w:r>
              <w:rPr/>
              <w:t>)</w:t>
            </w:r>
            <w:bookmarkStart w:id="366" w:name="xdx_405_eus-gaap--InventoryNet_iTI_pn3n3"/>
            <w:bookmarkEnd w:id="366"/>
          </w:p>
        </w:tc>
      </w:tr>
      <w:tr>
        <w:trPr/>
        <w:tc>
          <w:tcPr>
            <w:tcW w:w="2495" w:type="dxa"/>
            <w:tcBorders/>
            <w:shd w:fill="FFFFFF" w:val="clear"/>
            <w:vAlign w:val="center"/>
          </w:tcPr>
          <w:p>
            <w:pPr>
              <w:pStyle w:val="TableContents"/>
              <w:bidi w:val="0"/>
              <w:spacing w:before="0" w:after="283"/>
              <w:jc w:val="left"/>
              <w:rPr/>
            </w:pPr>
            <w:r>
              <w:rPr/>
              <w:t>Inventories - net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5,904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r>
              <w:rPr/>
              <w:t>6,170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367" w:name="xdx_8A0_zESm2vtYUxda"/>
      <w:bookmarkEnd w:id="36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reserve expense was $</w:t>
      </w:r>
      <w:bookmarkStart w:id="368" w:name="xdx_90E_ecustom--InventoryReserveExpense"/>
      <w:bookmarkEnd w:id="368"/>
      <w:r>
        <w:rPr>
          <w:rFonts w:ascii="Times New Roman;Times;Serif" w:hAnsi="Times New Roman;Times;Serif"/>
          <w:b w:val="false"/>
          <w:i w:val="false"/>
          <w:caps w:val="false"/>
          <w:smallCaps w:val="false"/>
          <w:sz w:val="20"/>
        </w:rPr>
        <w:t>169 and $</w:t>
      </w:r>
      <w:bookmarkStart w:id="369" w:name="xdx_900_ecustom--InventoryReserveExpense"/>
      <w:bookmarkEnd w:id="369"/>
      <w:r>
        <w:rPr>
          <w:rFonts w:ascii="Times New Roman;Times;Serif" w:hAnsi="Times New Roman;Times;Serif"/>
          <w:b w:val="false"/>
          <w:i w:val="false"/>
          <w:caps w:val="false"/>
          <w:smallCaps w:val="false"/>
          <w:sz w:val="20"/>
        </w:rPr>
        <w:t>187 for the three and six months ended June 30, 2025, respectively, and $</w:t>
      </w:r>
      <w:bookmarkStart w:id="370" w:name="xdx_900_ecustom--InventoryReserveExpense"/>
      <w:bookmarkEnd w:id="370"/>
      <w:r>
        <w:rPr>
          <w:rFonts w:ascii="Times New Roman;Times;Serif" w:hAnsi="Times New Roman;Times;Serif"/>
          <w:b w:val="false"/>
          <w:i w:val="false"/>
          <w:caps w:val="false"/>
          <w:smallCaps w:val="false"/>
          <w:sz w:val="20"/>
        </w:rPr>
        <w:t>12 and $</w:t>
      </w:r>
      <w:bookmarkStart w:id="371" w:name="xdx_90E_ecustom--InventoryReserveExpense"/>
      <w:bookmarkEnd w:id="371"/>
      <w:r>
        <w:rPr>
          <w:rFonts w:ascii="Times New Roman;Times;Serif" w:hAnsi="Times New Roman;Times;Serif"/>
          <w:b w:val="false"/>
          <w:i w:val="false"/>
          <w:caps w:val="false"/>
          <w:smallCaps w:val="false"/>
          <w:sz w:val="20"/>
        </w:rPr>
        <w:t>12 for the three and six months ended June 30, 2024,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72" w:name="xdx_80D_eus-gaap--PropertyPlantAndEquipm"/>
      <w:bookmarkEnd w:id="372"/>
      <w:r>
        <w:rPr>
          <w:rFonts w:ascii="Times New Roman;Times;Serif" w:hAnsi="Times New Roman;Times;Serif"/>
          <w:b/>
          <w:i w:val="false"/>
          <w:caps w:val="false"/>
          <w:smallCaps w:val="false"/>
          <w:sz w:val="20"/>
        </w:rPr>
        <w:t xml:space="preserve">5. </w:t>
      </w:r>
      <w:bookmarkStart w:id="373" w:name="xdx_82D_zKdcgkAot0Tl"/>
      <w:bookmarkEnd w:id="373"/>
      <w:r>
        <w:rPr>
          <w:rFonts w:ascii="Times New Roman;Times;Serif" w:hAnsi="Times New Roman;Times;Serif"/>
          <w:b/>
          <w:i w:val="false"/>
          <w:caps w:val="false"/>
          <w:smallCaps w:val="false"/>
          <w:sz w:val="20"/>
        </w:rPr>
        <w:t>PROPERTY AND EQUIPMENT,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74" w:name="xdx_898_eus-gaap--PropertyPlantAndEquipm"/>
      <w:bookmarkEnd w:id="374"/>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jc w:val="both"/>
        <w:rPr>
          <w:caps w:val="false"/>
          <w:smallCaps w:val="false"/>
        </w:rPr>
      </w:pPr>
      <w:r>
        <w:rPr>
          <w:caps w:val="false"/>
          <w:smallCaps w:val="false"/>
        </w:rPr>
        <w:t> </w:t>
      </w:r>
      <w:bookmarkStart w:id="375" w:name="xdx_8B0_zOGAAWwAEW32"/>
      <w:bookmarkEnd w:id="375"/>
      <w:r>
        <w:rPr>
          <w:rFonts w:ascii="Times New Roman;Times;Serif" w:hAnsi="Times New Roman;Times;Serif"/>
          <w:b w:val="false"/>
          <w:i w:val="false"/>
          <w:caps w:val="false"/>
          <w:smallCaps w:val="false"/>
          <w:sz w:val="20"/>
        </w:rPr>
        <w:t>SCHEDULE OF PROPERTY AND EQUIPMENT</w:t>
      </w:r>
    </w:p>
    <w:tbl>
      <w:tblPr>
        <w:tblW w:w="7223" w:type="dxa"/>
        <w:jc w:val="left"/>
        <w:tblInd w:w="0" w:type="dxa"/>
        <w:tblLayout w:type="fixed"/>
        <w:tblCellMar>
          <w:top w:w="0" w:type="dxa"/>
          <w:left w:w="0" w:type="dxa"/>
          <w:bottom w:w="0" w:type="dxa"/>
          <w:right w:w="0" w:type="dxa"/>
        </w:tblCellMar>
      </w:tblPr>
      <w:tblGrid>
        <w:gridCol w:w="3530"/>
        <w:gridCol w:w="60"/>
        <w:gridCol w:w="255"/>
        <w:gridCol w:w="1159"/>
        <w:gridCol w:w="95"/>
        <w:gridCol w:w="60"/>
        <w:gridCol w:w="352"/>
        <w:gridCol w:w="1602"/>
        <w:gridCol w:w="11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6" w:name="xdx_49D_20250630_z8YIab3AUMr6"/>
            <w:bookmarkEnd w:id="37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7" w:name="xdx_494_20241231_zbzRjR560kvl"/>
            <w:bookmarkEnd w:id="377"/>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378" w:name="xdx_40F_eus-gaap--PropertyPlantAndEquipm"/>
            <w:bookmarkEnd w:id="378"/>
          </w:p>
        </w:tc>
      </w:tr>
      <w:tr>
        <w:trPr/>
        <w:tc>
          <w:tcPr>
            <w:tcW w:w="3530" w:type="dxa"/>
            <w:tcBorders/>
            <w:shd w:fill="CCEEFF" w:val="clear"/>
            <w:vAlign w:val="center"/>
          </w:tcPr>
          <w:p>
            <w:pPr>
              <w:pStyle w:val="TableContents"/>
              <w:bidi w:val="0"/>
              <w:spacing w:before="0" w:after="283"/>
              <w:jc w:val="left"/>
              <w:rPr/>
            </w:pPr>
            <w:r>
              <w:rPr/>
              <w:t>Production and lab equipment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432</w:t>
            </w:r>
          </w:p>
        </w:tc>
        <w:tc>
          <w:tcPr>
            <w:tcW w:w="110" w:type="dxa"/>
            <w:tcBorders/>
            <w:shd w:fill="CCEEFF" w:val="clear"/>
            <w:vAlign w:val="center"/>
          </w:tcPr>
          <w:p>
            <w:pPr>
              <w:pStyle w:val="TableContents"/>
              <w:bidi w:val="0"/>
              <w:spacing w:before="0" w:after="283"/>
              <w:jc w:val="left"/>
              <w:rPr/>
            </w:pPr>
            <w:r>
              <w:rPr/>
              <w:t> </w:t>
            </w:r>
            <w:bookmarkStart w:id="379" w:name="xdx_40F_eus-gaap--PropertyPlantAndEquipm"/>
            <w:bookmarkEnd w:id="379"/>
          </w:p>
        </w:tc>
      </w:tr>
      <w:tr>
        <w:trPr/>
        <w:tc>
          <w:tcPr>
            <w:tcW w:w="3530" w:type="dxa"/>
            <w:tcBorders/>
            <w:shd w:fill="FFFFFF" w:val="clear"/>
            <w:vAlign w:val="center"/>
          </w:tcPr>
          <w:p>
            <w:pPr>
              <w:pStyle w:val="TableContents"/>
              <w:bidi w:val="0"/>
              <w:spacing w:before="0" w:after="283"/>
              <w:jc w:val="left"/>
              <w:rPr/>
            </w:pPr>
            <w:r>
              <w:rPr/>
              <w:t>Tooling</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570</w:t>
            </w:r>
          </w:p>
        </w:tc>
        <w:tc>
          <w:tcPr>
            <w:tcW w:w="110" w:type="dxa"/>
            <w:tcBorders/>
            <w:shd w:fill="FFFFFF" w:val="clear"/>
            <w:vAlign w:val="center"/>
          </w:tcPr>
          <w:p>
            <w:pPr>
              <w:pStyle w:val="TableContents"/>
              <w:bidi w:val="0"/>
              <w:spacing w:before="0" w:after="283"/>
              <w:jc w:val="left"/>
              <w:rPr/>
            </w:pPr>
            <w:r>
              <w:rPr/>
              <w:t> </w:t>
            </w:r>
            <w:bookmarkStart w:id="380" w:name="xdx_408_eus-gaap--PropertyPlantAndEquipm"/>
            <w:bookmarkEnd w:id="380"/>
          </w:p>
        </w:tc>
      </w:tr>
      <w:tr>
        <w:trPr/>
        <w:tc>
          <w:tcPr>
            <w:tcW w:w="353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229</w:t>
            </w:r>
          </w:p>
        </w:tc>
        <w:tc>
          <w:tcPr>
            <w:tcW w:w="110" w:type="dxa"/>
            <w:tcBorders/>
            <w:shd w:fill="CCEEFF" w:val="clear"/>
            <w:vAlign w:val="center"/>
          </w:tcPr>
          <w:p>
            <w:pPr>
              <w:pStyle w:val="TableContents"/>
              <w:bidi w:val="0"/>
              <w:spacing w:before="0" w:after="283"/>
              <w:jc w:val="left"/>
              <w:rPr/>
            </w:pPr>
            <w:r>
              <w:rPr/>
              <w:t> </w:t>
            </w:r>
            <w:bookmarkStart w:id="381" w:name="xdx_40A_eus-gaap--PropertyPlantAndEquipm"/>
            <w:bookmarkEnd w:id="381"/>
          </w:p>
        </w:tc>
      </w:tr>
      <w:tr>
        <w:trPr/>
        <w:tc>
          <w:tcPr>
            <w:tcW w:w="3530" w:type="dxa"/>
            <w:tcBorders/>
            <w:shd w:fill="FFFFFF" w:val="clear"/>
            <w:vAlign w:val="center"/>
          </w:tcPr>
          <w:p>
            <w:pPr>
              <w:pStyle w:val="TableContents"/>
              <w:bidi w:val="0"/>
              <w:spacing w:before="0" w:after="283"/>
              <w:jc w:val="left"/>
              <w:rPr/>
            </w:pPr>
            <w:r>
              <w:rPr/>
              <w:t>Furniture, fixtures and improvements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110" w:type="dxa"/>
            <w:tcBorders/>
            <w:shd w:fill="FFFFFF" w:val="clear"/>
            <w:vAlign w:val="center"/>
          </w:tcPr>
          <w:p>
            <w:pPr>
              <w:pStyle w:val="TableContents"/>
              <w:bidi w:val="0"/>
              <w:spacing w:before="0" w:after="283"/>
              <w:jc w:val="left"/>
              <w:rPr/>
            </w:pPr>
            <w:r>
              <w:rPr/>
              <w:t> </w:t>
            </w:r>
            <w:bookmarkStart w:id="382" w:name="xdx_40A_eus-gaap--PropertyPlantAndEquipm"/>
            <w:bookmarkEnd w:id="382"/>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1,351</w:t>
            </w:r>
          </w:p>
        </w:tc>
        <w:tc>
          <w:tcPr>
            <w:tcW w:w="110" w:type="dxa"/>
            <w:tcBorders/>
            <w:shd w:fill="CCEEFF" w:val="clear"/>
            <w:vAlign w:val="center"/>
          </w:tcPr>
          <w:p>
            <w:pPr>
              <w:pStyle w:val="TableContents"/>
              <w:bidi w:val="0"/>
              <w:spacing w:before="0" w:after="283"/>
              <w:jc w:val="left"/>
              <w:rPr/>
            </w:pPr>
            <w:r>
              <w:rPr/>
              <w:t> </w:t>
            </w:r>
            <w:bookmarkStart w:id="383" w:name="xdx_40F_eus-gaap--AccumulatedDepreciatio"/>
            <w:bookmarkEnd w:id="383"/>
          </w:p>
        </w:tc>
      </w:tr>
      <w:tr>
        <w:trPr/>
        <w:tc>
          <w:tcPr>
            <w:tcW w:w="3530"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(1,205</w:t>
            </w:r>
          </w:p>
        </w:tc>
        <w:tc>
          <w:tcPr>
            <w:tcW w:w="110" w:type="dxa"/>
            <w:tcBorders/>
            <w:shd w:fill="FFFFFF" w:val="clear"/>
            <w:vAlign w:val="center"/>
          </w:tcPr>
          <w:p>
            <w:pPr>
              <w:pStyle w:val="TableContents"/>
              <w:bidi w:val="0"/>
              <w:spacing w:before="0" w:after="283"/>
              <w:jc w:val="left"/>
              <w:rPr/>
            </w:pPr>
            <w:r>
              <w:rPr/>
              <w:t>)</w:t>
            </w:r>
            <w:bookmarkStart w:id="384" w:name="xdx_40E_eus-gaap--PropertyPlantAndEquipm"/>
            <w:bookmarkEnd w:id="384"/>
          </w:p>
        </w:tc>
      </w:tr>
      <w:tr>
        <w:trPr/>
        <w:tc>
          <w:tcPr>
            <w:tcW w:w="353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85" w:name="xdx_8AC_zenEPHVzSCW9"/>
      <w:bookmarkEnd w:id="38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386" w:name="xdx_907_eus-gaap--Depreciation_pn3n3_c20"/>
      <w:bookmarkEnd w:id="386"/>
      <w:r>
        <w:rPr>
          <w:rFonts w:ascii="Times New Roman;Times;Serif" w:hAnsi="Times New Roman;Times;Serif"/>
          <w:b w:val="false"/>
          <w:i w:val="false"/>
          <w:caps w:val="false"/>
          <w:smallCaps w:val="false"/>
          <w:sz w:val="20"/>
        </w:rPr>
        <w:t>27 and $</w:t>
      </w:r>
      <w:bookmarkStart w:id="387" w:name="xdx_906_eus-gaap--Depreciation_pn3n3_c20"/>
      <w:bookmarkEnd w:id="387"/>
      <w:r>
        <w:rPr>
          <w:rFonts w:ascii="Times New Roman;Times;Serif" w:hAnsi="Times New Roman;Times;Serif"/>
          <w:b w:val="false"/>
          <w:i w:val="false"/>
          <w:caps w:val="false"/>
          <w:smallCaps w:val="false"/>
          <w:sz w:val="20"/>
        </w:rPr>
        <w:t>67 for the three and six months ended June 30, 2025, respectively, and $</w:t>
      </w:r>
      <w:bookmarkStart w:id="388" w:name="xdx_909_eus-gaap--Depreciation_pn3n3_c20"/>
      <w:bookmarkEnd w:id="388"/>
      <w:r>
        <w:rPr>
          <w:rFonts w:ascii="Times New Roman;Times;Serif" w:hAnsi="Times New Roman;Times;Serif"/>
          <w:b w:val="false"/>
          <w:i w:val="false"/>
          <w:caps w:val="false"/>
          <w:smallCaps w:val="false"/>
          <w:sz w:val="20"/>
        </w:rPr>
        <w:t>114 and $</w:t>
      </w:r>
      <w:bookmarkStart w:id="389" w:name="xdx_905_eus-gaap--Depreciation_pn3n3_c20"/>
      <w:bookmarkEnd w:id="389"/>
      <w:r>
        <w:rPr>
          <w:rFonts w:ascii="Times New Roman;Times;Serif" w:hAnsi="Times New Roman;Times;Serif"/>
          <w:b w:val="false"/>
          <w:i w:val="false"/>
          <w:caps w:val="false"/>
          <w:smallCaps w:val="false"/>
          <w:sz w:val="20"/>
        </w:rPr>
        <w:t>230 for the three and six months ended June 30, 2024, respectively.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90" w:name="xdx_80F_eus-gaap--IntangibleAssetsDisclo"/>
      <w:bookmarkEnd w:id="390"/>
      <w:r>
        <w:rPr>
          <w:rFonts w:ascii="Times New Roman;Times;Serif" w:hAnsi="Times New Roman;Times;Serif"/>
          <w:b/>
          <w:i w:val="false"/>
          <w:caps w:val="false"/>
          <w:smallCaps w:val="false"/>
          <w:sz w:val="20"/>
        </w:rPr>
        <w:t xml:space="preserve">6. </w:t>
      </w:r>
      <w:bookmarkStart w:id="391" w:name="xdx_824_zuXT4qwqCOqf"/>
      <w:bookmarkEnd w:id="391"/>
      <w:r>
        <w:rPr>
          <w:rFonts w:ascii="Times New Roman;Times;Serif" w:hAnsi="Times New Roman;Times;Serif"/>
          <w:b/>
          <w:i w:val="false"/>
          <w:caps w:val="false"/>
          <w:smallCaps w:val="false"/>
          <w:sz w:val="20"/>
        </w:rPr>
        <w:t>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92" w:name="xdx_89B_eus-gaap--ScheduleOfFiniteLivedI"/>
      <w:bookmarkEnd w:id="392"/>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jc w:val="left"/>
        <w:rPr>
          <w:caps w:val="false"/>
          <w:smallCaps w:val="false"/>
        </w:rPr>
      </w:pPr>
      <w:r>
        <w:rPr>
          <w:caps w:val="false"/>
          <w:smallCaps w:val="false"/>
        </w:rPr>
        <w:t> </w:t>
      </w:r>
      <w:bookmarkStart w:id="393" w:name="xdx_8B1_zRyjeogr3Vbl"/>
      <w:bookmarkEnd w:id="393"/>
      <w:r>
        <w:rPr>
          <w:rFonts w:ascii="Times New Roman;Times;Serif" w:hAnsi="Times New Roman;Times;Serif"/>
          <w:b w:val="false"/>
          <w:i w:val="false"/>
          <w:caps w:val="false"/>
          <w:smallCaps w:val="false"/>
          <w:sz w:val="20"/>
        </w:rPr>
        <w:t>SCHEDULE OF FINITE-LIVED INTANGIBLE ASSETS</w:t>
      </w:r>
    </w:p>
    <w:tbl>
      <w:tblPr>
        <w:tblW w:w="7328" w:type="dxa"/>
        <w:jc w:val="left"/>
        <w:tblInd w:w="0" w:type="dxa"/>
        <w:tblLayout w:type="fixed"/>
        <w:tblCellMar>
          <w:top w:w="0" w:type="dxa"/>
          <w:left w:w="0" w:type="dxa"/>
          <w:bottom w:w="0" w:type="dxa"/>
          <w:right w:w="0" w:type="dxa"/>
        </w:tblCellMar>
      </w:tblPr>
      <w:tblGrid>
        <w:gridCol w:w="3635"/>
        <w:gridCol w:w="60"/>
        <w:gridCol w:w="255"/>
        <w:gridCol w:w="1159"/>
        <w:gridCol w:w="95"/>
        <w:gridCol w:w="60"/>
        <w:gridCol w:w="352"/>
        <w:gridCol w:w="1602"/>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4" w:name="xdx_49B_20250630_zlEuG2s2Dxh2"/>
            <w:bookmarkEnd w:id="394"/>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B_20241231_z2Rx98r13VNl"/>
            <w:bookmarkEnd w:id="395"/>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Amortizable intangible assets: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6" w:name="xdx_402_eus-gaap--FiniteLivedIntangibleA"/>
            <w:bookmarkEnd w:id="396"/>
          </w:p>
        </w:tc>
      </w:tr>
      <w:tr>
        <w:trPr/>
        <w:tc>
          <w:tcPr>
            <w:tcW w:w="3635" w:type="dxa"/>
            <w:tcBorders/>
            <w:shd w:fill="FFFFFF" w:val="clear"/>
            <w:vAlign w:val="center"/>
          </w:tcPr>
          <w:p>
            <w:pPr>
              <w:pStyle w:val="TableContents"/>
              <w:bidi w:val="0"/>
              <w:spacing w:before="0" w:after="283"/>
              <w:jc w:val="left"/>
              <w:rPr/>
            </w:pPr>
            <w:r>
              <w:rPr/>
              <w:t>Patents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1,073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1602" w:type="dxa"/>
            <w:tcBorders/>
            <w:shd w:fill="FFFFFF" w:val="clear"/>
            <w:vAlign w:val="center"/>
          </w:tcPr>
          <w:p>
            <w:pPr>
              <w:pStyle w:val="TableContents"/>
              <w:bidi w:val="0"/>
              <w:spacing w:before="0" w:after="283"/>
              <w:jc w:val="right"/>
              <w:rPr/>
            </w:pPr>
            <w:r>
              <w:rPr/>
              <w:t>1,013</w:t>
            </w:r>
          </w:p>
        </w:tc>
        <w:tc>
          <w:tcPr>
            <w:tcW w:w="110" w:type="dxa"/>
            <w:tcBorders/>
            <w:shd w:fill="FFFFFF" w:val="clear"/>
            <w:vAlign w:val="center"/>
          </w:tcPr>
          <w:p>
            <w:pPr>
              <w:pStyle w:val="TableContents"/>
              <w:bidi w:val="0"/>
              <w:spacing w:before="0" w:after="283"/>
              <w:jc w:val="left"/>
              <w:rPr/>
            </w:pPr>
            <w:r>
              <w:rPr/>
              <w:t> </w:t>
            </w:r>
            <w:bookmarkStart w:id="397" w:name="xdx_400_eus-gaap--FiniteLivedIntangibleA"/>
            <w:bookmarkEnd w:id="397"/>
          </w:p>
        </w:tc>
      </w:tr>
      <w:tr>
        <w:trPr/>
        <w:tc>
          <w:tcPr>
            <w:tcW w:w="363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264</w:t>
            </w:r>
          </w:p>
        </w:tc>
        <w:tc>
          <w:tcPr>
            <w:tcW w:w="110" w:type="dxa"/>
            <w:tcBorders/>
            <w:shd w:fill="CCEEFF" w:val="clear"/>
            <w:vAlign w:val="center"/>
          </w:tcPr>
          <w:p>
            <w:pPr>
              <w:pStyle w:val="TableContents"/>
              <w:bidi w:val="0"/>
              <w:spacing w:before="0" w:after="283"/>
              <w:jc w:val="left"/>
              <w:rPr/>
            </w:pPr>
            <w:r>
              <w:rPr/>
              <w:t> </w:t>
            </w:r>
            <w:bookmarkStart w:id="398" w:name="xdx_407_eus-gaap--FiniteLivedIntangibleA"/>
            <w:bookmarkEnd w:id="398"/>
          </w:p>
        </w:tc>
      </w:tr>
      <w:tr>
        <w:trPr/>
        <w:tc>
          <w:tcPr>
            <w:tcW w:w="3635" w:type="dxa"/>
            <w:tcBorders/>
            <w:shd w:fill="FFFFFF" w:val="clear"/>
            <w:vAlign w:val="center"/>
          </w:tcPr>
          <w:p>
            <w:pPr>
              <w:pStyle w:val="TableContents"/>
              <w:bidi w:val="0"/>
              <w:spacing w:before="0" w:after="283"/>
              <w:jc w:val="left"/>
              <w:rPr/>
            </w:pPr>
            <w:r>
              <w:rPr/>
              <w:t>Purchased software and technology</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1,752</w:t>
            </w:r>
          </w:p>
        </w:tc>
        <w:tc>
          <w:tcPr>
            <w:tcW w:w="110" w:type="dxa"/>
            <w:tcBorders/>
            <w:shd w:fill="FFFFFF" w:val="clear"/>
            <w:vAlign w:val="center"/>
          </w:tcPr>
          <w:p>
            <w:pPr>
              <w:pStyle w:val="TableContents"/>
              <w:bidi w:val="0"/>
              <w:spacing w:before="0" w:after="283"/>
              <w:jc w:val="left"/>
              <w:rPr/>
            </w:pPr>
            <w:r>
              <w:rPr/>
              <w:t> </w:t>
            </w:r>
            <w:bookmarkStart w:id="399" w:name="xdx_405_eus-gaap--FiniteLivedIntangibleA"/>
            <w:bookmarkEnd w:id="399"/>
          </w:p>
        </w:tc>
      </w:tr>
      <w:tr>
        <w:trPr/>
        <w:tc>
          <w:tcPr>
            <w:tcW w:w="363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CCEEFF" w:val="clear"/>
            <w:tcMar>
              <w:bottom w:w="28" w:type="dxa"/>
            </w:tcM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bookmarkStart w:id="400" w:name="xdx_402_eus-gaap--FiniteLivedIntangibleA"/>
            <w:bookmarkEnd w:id="400"/>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Amortizable intangible assets, gross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3,334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1602" w:type="dxa"/>
            <w:tcBorders/>
            <w:shd w:fill="FFFFFF" w:val="clear"/>
            <w:vAlign w:val="center"/>
          </w:tcPr>
          <w:p>
            <w:pPr>
              <w:pStyle w:val="TableContents"/>
              <w:bidi w:val="0"/>
              <w:spacing w:before="0" w:after="283"/>
              <w:jc w:val="right"/>
              <w:rPr/>
            </w:pPr>
            <w:r>
              <w:rPr/>
              <w:t>3,189</w:t>
            </w:r>
          </w:p>
        </w:tc>
        <w:tc>
          <w:tcPr>
            <w:tcW w:w="110" w:type="dxa"/>
            <w:tcBorders/>
            <w:shd w:fill="FFFFFF" w:val="clear"/>
            <w:vAlign w:val="center"/>
          </w:tcPr>
          <w:p>
            <w:pPr>
              <w:pStyle w:val="TableContents"/>
              <w:bidi w:val="0"/>
              <w:spacing w:before="0" w:after="283"/>
              <w:jc w:val="left"/>
              <w:rPr/>
            </w:pPr>
            <w:r>
              <w:rPr/>
              <w:t> </w:t>
            </w:r>
            <w:bookmarkStart w:id="401" w:name="xdx_401_eus-gaap--FiniteLivedIntangibleA"/>
            <w:bookmarkEnd w:id="401"/>
          </w:p>
        </w:tc>
      </w:tr>
      <w:tr>
        <w:trPr/>
        <w:tc>
          <w:tcPr>
            <w:tcW w:w="3635"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CCEEFF" w:val="clear"/>
            <w:tcMar>
              <w:bottom w:w="28" w:type="dxa"/>
            </w:tcMar>
            <w:vAlign w:val="center"/>
          </w:tcPr>
          <w:p>
            <w:pPr>
              <w:pStyle w:val="TableContents"/>
              <w:bidi w:val="0"/>
              <w:spacing w:before="0" w:after="283"/>
              <w:jc w:val="right"/>
              <w:rPr/>
            </w:pPr>
            <w:r>
              <w:rPr/>
              <w:t>(1,256</w:t>
            </w:r>
          </w:p>
        </w:tc>
        <w:tc>
          <w:tcPr>
            <w:tcW w:w="110" w:type="dxa"/>
            <w:tcBorders/>
            <w:shd w:fill="CCEEFF" w:val="clear"/>
            <w:vAlign w:val="center"/>
          </w:tcPr>
          <w:p>
            <w:pPr>
              <w:pStyle w:val="TableContents"/>
              <w:bidi w:val="0"/>
              <w:spacing w:before="0" w:after="283"/>
              <w:jc w:val="left"/>
              <w:rPr/>
            </w:pPr>
            <w:r>
              <w:rPr/>
              <w:t>)</w:t>
            </w:r>
            <w:bookmarkStart w:id="402" w:name="xdx_400_eus-gaap--FiniteLivedIntangibleA"/>
            <w:bookmarkEnd w:id="402"/>
          </w:p>
        </w:tc>
      </w:tr>
      <w:tr>
        <w:trPr/>
        <w:tc>
          <w:tcPr>
            <w:tcW w:w="3635" w:type="dxa"/>
            <w:tcBorders/>
            <w:shd w:fill="FFFFFF" w:val="clear"/>
            <w:vAlign w:val="center"/>
          </w:tcPr>
          <w:p>
            <w:pPr>
              <w:pStyle w:val="TableContents"/>
              <w:bidi w:val="0"/>
              <w:spacing w:before="0" w:after="283"/>
              <w:jc w:val="left"/>
              <w:rPr/>
            </w:pPr>
            <w:r>
              <w:rPr/>
              <w:t>Total amortizable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1,841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1602" w:type="dxa"/>
            <w:tcBorders/>
            <w:shd w:fill="FFFFFF" w:val="clear"/>
            <w:vAlign w:val="center"/>
          </w:tcPr>
          <w:p>
            <w:pPr>
              <w:pStyle w:val="TableContents"/>
              <w:bidi w:val="0"/>
              <w:spacing w:before="0" w:after="283"/>
              <w:jc w:val="right"/>
              <w:rPr/>
            </w:pPr>
            <w:r>
              <w:rPr/>
              <w:t>1,933</w:t>
            </w:r>
          </w:p>
        </w:tc>
        <w:tc>
          <w:tcPr>
            <w:tcW w:w="110" w:type="dxa"/>
            <w:tcBorders/>
            <w:shd w:fill="FFFFFF" w:val="clear"/>
            <w:vAlign w:val="center"/>
          </w:tcPr>
          <w:p>
            <w:pPr>
              <w:pStyle w:val="TableContents"/>
              <w:bidi w:val="0"/>
              <w:spacing w:before="0" w:after="283"/>
              <w:jc w:val="left"/>
              <w:rPr/>
            </w:pPr>
            <w:r>
              <w:rPr/>
              <w:t> </w:t>
            </w:r>
            <w:bookmarkStart w:id="403" w:name="xdx_407_eus-gaap--IndefiniteLivedIntangi"/>
            <w:bookmarkEnd w:id="403"/>
          </w:p>
        </w:tc>
      </w:tr>
      <w:tr>
        <w:trPr/>
        <w:tc>
          <w:tcPr>
            <w:tcW w:w="3635" w:type="dxa"/>
            <w:tcBorders/>
            <w:shd w:fill="CCEEFF" w:val="clear"/>
            <w:vAlign w:val="center"/>
          </w:tcPr>
          <w:p>
            <w:pPr>
              <w:pStyle w:val="TableContents"/>
              <w:bidi w:val="0"/>
              <w:spacing w:before="0" w:after="283"/>
              <w:jc w:val="left"/>
              <w:rPr/>
            </w:pPr>
            <w:r>
              <w:rPr/>
              <w:t>Indefinite life assets (non-amortizable)</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bookmarkStart w:id="404" w:name="xdx_401_eus-gaap--IntangibleAssetsNetExc"/>
            <w:bookmarkEnd w:id="404"/>
          </w:p>
        </w:tc>
      </w:tr>
      <w:tr>
        <w:trPr/>
        <w:tc>
          <w:tcPr>
            <w:tcW w:w="3635" w:type="dxa"/>
            <w:tcBorders/>
            <w:shd w:fill="FFFFFF" w:val="clear"/>
            <w:vAlign w:val="center"/>
          </w:tcPr>
          <w:p>
            <w:pPr>
              <w:pStyle w:val="TableContents"/>
              <w:bidi w:val="0"/>
              <w:spacing w:before="0" w:after="283"/>
              <w:jc w:val="left"/>
              <w:rPr/>
            </w:pPr>
            <w:r>
              <w:rPr/>
              <w:t>Total intangible assets, net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2,262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FFFFFF" w:val="clear"/>
            <w:tcMar>
              <w:bottom w:w="28" w:type="dxa"/>
            </w:tcMar>
            <w:vAlign w:val="center"/>
          </w:tcPr>
          <w:p>
            <w:pPr>
              <w:pStyle w:val="TableContents"/>
              <w:bidi w:val="0"/>
              <w:spacing w:before="0" w:after="283"/>
              <w:jc w:val="right"/>
              <w:rPr/>
            </w:pPr>
            <w:r>
              <w:rPr/>
              <w:t>2,354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05" w:name="xdx_8AC_zyzxSRZHW0Ob"/>
      <w:bookmarkEnd w:id="40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406" w:name="xdx_908_eus-gaap--AmortizationOfIntangib"/>
      <w:bookmarkEnd w:id="406"/>
      <w:r>
        <w:rPr>
          <w:rFonts w:ascii="Times New Roman;Times;Serif" w:hAnsi="Times New Roman;Times;Serif"/>
          <w:b w:val="false"/>
          <w:i w:val="false"/>
          <w:caps w:val="false"/>
          <w:smallCaps w:val="false"/>
          <w:sz w:val="20"/>
        </w:rPr>
        <w:t>123 and $</w:t>
      </w:r>
      <w:bookmarkStart w:id="407" w:name="xdx_900_eus-gaap--AmortizationOfIntangib"/>
      <w:bookmarkEnd w:id="407"/>
      <w:r>
        <w:rPr>
          <w:rFonts w:ascii="Times New Roman;Times;Serif" w:hAnsi="Times New Roman;Times;Serif"/>
          <w:b w:val="false"/>
          <w:i w:val="false"/>
          <w:caps w:val="false"/>
          <w:smallCaps w:val="false"/>
          <w:sz w:val="20"/>
        </w:rPr>
        <w:t>238 for the three and six months ended June 30, 2025, respectively, and $</w:t>
      </w:r>
      <w:bookmarkStart w:id="408" w:name="xdx_902_eus-gaap--AmortizationOfIntangib"/>
      <w:bookmarkEnd w:id="408"/>
      <w:r>
        <w:rPr>
          <w:rFonts w:ascii="Times New Roman;Times;Serif" w:hAnsi="Times New Roman;Times;Serif"/>
          <w:b w:val="false"/>
          <w:i w:val="false"/>
          <w:caps w:val="false"/>
          <w:smallCaps w:val="false"/>
          <w:sz w:val="20"/>
        </w:rPr>
        <w:t>113 and $</w:t>
      </w:r>
      <w:bookmarkStart w:id="409" w:name="xdx_90C_eus-gaap--AmortizationOfIntangib"/>
      <w:bookmarkEnd w:id="409"/>
      <w:r>
        <w:rPr>
          <w:rFonts w:ascii="Times New Roman;Times;Serif" w:hAnsi="Times New Roman;Times;Serif"/>
          <w:b w:val="false"/>
          <w:i w:val="false"/>
          <w:caps w:val="false"/>
          <w:smallCaps w:val="false"/>
          <w:sz w:val="20"/>
        </w:rPr>
        <w:t>220 for the three and six months ended June 30, 2024,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10" w:name="xdx_89E_eus-gaap--ScheduleofFiniteLivedI"/>
      <w:bookmarkEnd w:id="410"/>
      <w:r>
        <w:rPr>
          <w:rFonts w:ascii="Times New Roman;Times;Serif" w:hAnsi="Times New Roman;Times;Serif"/>
          <w:b w:val="false"/>
          <w:i w:val="false"/>
          <w:caps w:val="false"/>
          <w:smallCaps w:val="false"/>
          <w:sz w:val="20"/>
        </w:rPr>
        <w:t>As of June 30, 2025, future amortization expense is as follows:</w:t>
      </w:r>
    </w:p>
    <w:p>
      <w:pPr>
        <w:pStyle w:val="TextBody"/>
        <w:bidi w:val="0"/>
        <w:spacing w:before="0" w:after="0"/>
        <w:jc w:val="both"/>
        <w:rPr>
          <w:caps w:val="false"/>
          <w:smallCaps w:val="false"/>
        </w:rPr>
      </w:pPr>
      <w:r>
        <w:rPr>
          <w:caps w:val="false"/>
          <w:smallCaps w:val="false"/>
        </w:rPr>
        <w:t> </w:t>
      </w:r>
      <w:bookmarkStart w:id="411" w:name="xdx_8B9_zuqdxzaThMFc"/>
      <w:bookmarkEnd w:id="411"/>
      <w:r>
        <w:rPr>
          <w:rFonts w:ascii="Times New Roman;Times;Serif" w:hAnsi="Times New Roman;Times;Serif"/>
          <w:b w:val="false"/>
          <w:i w:val="false"/>
          <w:caps w:val="false"/>
          <w:smallCaps w:val="false"/>
          <w:sz w:val="20"/>
        </w:rPr>
        <w:t>SCHEDULE OF FINITE-LIVED INTANGIBLE ASSETS, FUTURE AMORTIZATION EXPENSE</w:t>
      </w:r>
    </w:p>
    <w:tbl>
      <w:tblPr>
        <w:tblW w:w="2430" w:type="dxa"/>
        <w:jc w:val="left"/>
        <w:tblInd w:w="0" w:type="dxa"/>
        <w:tblLayout w:type="fixed"/>
        <w:tblCellMar>
          <w:top w:w="0" w:type="dxa"/>
          <w:left w:w="0" w:type="dxa"/>
          <w:bottom w:w="0" w:type="dxa"/>
          <w:right w:w="0" w:type="dxa"/>
        </w:tblCellMar>
      </w:tblPr>
      <w:tblGrid>
        <w:gridCol w:w="1595"/>
        <w:gridCol w:w="60"/>
        <w:gridCol w:w="140"/>
        <w:gridCol w:w="560"/>
        <w:gridCol w:w="75"/>
      </w:tblGrid>
      <w:tr>
        <w:trPr/>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12" w:name="xdx_497_20250630_z0LSDe43U6L"/>
            <w:bookmarkEnd w:id="412"/>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3" w:name="xdx_400_eus-gaap--FiniteLivedIntangibleA"/>
            <w:bookmarkEnd w:id="413"/>
          </w:p>
        </w:tc>
      </w:tr>
      <w:tr>
        <w:trPr/>
        <w:tc>
          <w:tcPr>
            <w:tcW w:w="1595" w:type="dxa"/>
            <w:tcBorders/>
            <w:shd w:fill="CCEEFF" w:val="clear"/>
            <w:vAlign w:val="center"/>
          </w:tcPr>
          <w:p>
            <w:pPr>
              <w:pStyle w:val="TableContents"/>
              <w:bidi w:val="0"/>
              <w:spacing w:before="0" w:after="283"/>
              <w:jc w:val="left"/>
              <w:rPr/>
            </w:pPr>
            <w:r>
              <w:rPr/>
              <w:t>2025 (6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234</w:t>
            </w:r>
          </w:p>
        </w:tc>
        <w:tc>
          <w:tcPr>
            <w:tcW w:w="75" w:type="dxa"/>
            <w:tcBorders/>
            <w:shd w:fill="CCEEFF" w:val="clear"/>
            <w:vAlign w:val="center"/>
          </w:tcPr>
          <w:p>
            <w:pPr>
              <w:pStyle w:val="TableContents"/>
              <w:bidi w:val="0"/>
              <w:spacing w:before="0" w:after="283"/>
              <w:jc w:val="left"/>
              <w:rPr/>
            </w:pPr>
            <w:r>
              <w:rPr/>
              <w:t> </w:t>
            </w:r>
            <w:bookmarkStart w:id="414" w:name="xdx_40B_eus-gaap--FiniteLivedIntangibleA"/>
            <w:bookmarkEnd w:id="414"/>
          </w:p>
        </w:tc>
      </w:tr>
      <w:tr>
        <w:trPr/>
        <w:tc>
          <w:tcPr>
            <w:tcW w:w="159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368</w:t>
            </w:r>
          </w:p>
        </w:tc>
        <w:tc>
          <w:tcPr>
            <w:tcW w:w="75" w:type="dxa"/>
            <w:tcBorders/>
            <w:shd w:fill="FFFFFF" w:val="clear"/>
            <w:vAlign w:val="center"/>
          </w:tcPr>
          <w:p>
            <w:pPr>
              <w:pStyle w:val="TableContents"/>
              <w:bidi w:val="0"/>
              <w:spacing w:before="0" w:after="283"/>
              <w:jc w:val="left"/>
              <w:rPr/>
            </w:pPr>
            <w:r>
              <w:rPr/>
              <w:t> </w:t>
            </w:r>
            <w:bookmarkStart w:id="415" w:name="xdx_40A_eus-gaap--FiniteLivedIntangibleA"/>
            <w:bookmarkEnd w:id="415"/>
          </w:p>
        </w:tc>
      </w:tr>
      <w:tr>
        <w:trPr/>
        <w:tc>
          <w:tcPr>
            <w:tcW w:w="159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226</w:t>
            </w:r>
          </w:p>
        </w:tc>
        <w:tc>
          <w:tcPr>
            <w:tcW w:w="75" w:type="dxa"/>
            <w:tcBorders/>
            <w:shd w:fill="CCEEFF" w:val="clear"/>
            <w:vAlign w:val="center"/>
          </w:tcPr>
          <w:p>
            <w:pPr>
              <w:pStyle w:val="TableContents"/>
              <w:bidi w:val="0"/>
              <w:spacing w:before="0" w:after="283"/>
              <w:jc w:val="left"/>
              <w:rPr/>
            </w:pPr>
            <w:r>
              <w:rPr/>
              <w:t> </w:t>
            </w:r>
            <w:bookmarkStart w:id="416" w:name="xdx_402_eus-gaap--FiniteLivedIntangibleA"/>
            <w:bookmarkEnd w:id="416"/>
          </w:p>
        </w:tc>
      </w:tr>
      <w:tr>
        <w:trPr/>
        <w:tc>
          <w:tcPr>
            <w:tcW w:w="159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217</w:t>
            </w:r>
          </w:p>
        </w:tc>
        <w:tc>
          <w:tcPr>
            <w:tcW w:w="75" w:type="dxa"/>
            <w:tcBorders/>
            <w:shd w:fill="FFFFFF" w:val="clear"/>
            <w:vAlign w:val="center"/>
          </w:tcPr>
          <w:p>
            <w:pPr>
              <w:pStyle w:val="TableContents"/>
              <w:bidi w:val="0"/>
              <w:spacing w:before="0" w:after="283"/>
              <w:jc w:val="left"/>
              <w:rPr/>
            </w:pPr>
            <w:r>
              <w:rPr/>
              <w:t> </w:t>
            </w:r>
            <w:bookmarkStart w:id="417" w:name="xdx_402_eus-gaap--FiniteLivedIntangibleA"/>
            <w:bookmarkEnd w:id="417"/>
          </w:p>
        </w:tc>
      </w:tr>
      <w:tr>
        <w:trPr/>
        <w:tc>
          <w:tcPr>
            <w:tcW w:w="1595"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176</w:t>
            </w:r>
          </w:p>
        </w:tc>
        <w:tc>
          <w:tcPr>
            <w:tcW w:w="75" w:type="dxa"/>
            <w:tcBorders/>
            <w:shd w:fill="CCEEFF" w:val="clear"/>
            <w:vAlign w:val="center"/>
          </w:tcPr>
          <w:p>
            <w:pPr>
              <w:pStyle w:val="TableContents"/>
              <w:bidi w:val="0"/>
              <w:spacing w:before="0" w:after="283"/>
              <w:jc w:val="left"/>
              <w:rPr/>
            </w:pPr>
            <w:r>
              <w:rPr/>
              <w:t> </w:t>
            </w:r>
            <w:bookmarkStart w:id="418" w:name="xdx_400_ecustom--FiniteLivedIntangibleAs"/>
            <w:bookmarkEnd w:id="418"/>
          </w:p>
        </w:tc>
      </w:tr>
      <w:tr>
        <w:trPr/>
        <w:tc>
          <w:tcPr>
            <w:tcW w:w="159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620</w:t>
            </w:r>
          </w:p>
        </w:tc>
        <w:tc>
          <w:tcPr>
            <w:tcW w:w="75" w:type="dxa"/>
            <w:tcBorders/>
            <w:shd w:fill="FFFFFF" w:val="clear"/>
            <w:vAlign w:val="center"/>
          </w:tcPr>
          <w:p>
            <w:pPr>
              <w:pStyle w:val="TableContents"/>
              <w:bidi w:val="0"/>
              <w:spacing w:before="0" w:after="283"/>
              <w:jc w:val="left"/>
              <w:rPr/>
            </w:pPr>
            <w:r>
              <w:rPr/>
              <w:t> </w:t>
            </w:r>
            <w:bookmarkStart w:id="419" w:name="xdx_40C_eus-gaap--FiniteLivedIntangibleA"/>
            <w:bookmarkEnd w:id="419"/>
          </w:p>
        </w:tc>
      </w:tr>
      <w:tr>
        <w:trPr/>
        <w:tc>
          <w:tcPr>
            <w:tcW w:w="15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1,841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20" w:name="xdx_8A4_zU9qbSEOw7Lk"/>
      <w:bookmarkEnd w:id="420"/>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21" w:name="xdx_80A_eus-gaap--AccountsPayableAndAccr"/>
      <w:bookmarkEnd w:id="421"/>
      <w:r>
        <w:rPr>
          <w:rFonts w:ascii="Times New Roman;Times;Serif" w:hAnsi="Times New Roman;Times;Serif"/>
          <w:b/>
          <w:i w:val="false"/>
          <w:caps w:val="false"/>
          <w:smallCaps w:val="false"/>
          <w:sz w:val="20"/>
        </w:rPr>
        <w:t xml:space="preserve">7. </w:t>
      </w:r>
      <w:bookmarkStart w:id="422" w:name="xdx_82C_zZcXiusnwfl6"/>
      <w:bookmarkEnd w:id="422"/>
      <w:r>
        <w:rPr>
          <w:rFonts w:ascii="Times New Roman;Times;Serif" w:hAnsi="Times New Roman;Times;Serif"/>
          <w:b/>
          <w:i w:val="false"/>
          <w:caps w:val="false"/>
          <w:smallCaps w:val="false"/>
          <w:sz w:val="20"/>
        </w:rPr>
        <w:t>ACCOUNTS PAYABLE AND ACCRUED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23" w:name="xdx_89C_eus-gaap--ScheduleOfAccruedLiabi"/>
      <w:bookmarkEnd w:id="423"/>
      <w:r>
        <w:rPr>
          <w:rFonts w:ascii="Times New Roman;Times;Serif" w:hAnsi="Times New Roman;Times;Serif"/>
          <w:b w:val="false"/>
          <w:i w:val="false"/>
          <w:caps w:val="false"/>
          <w:smallCaps w:val="false"/>
          <w:sz w:val="20"/>
        </w:rPr>
        <w:t>Accrued liabilities consist of the following:</w:t>
      </w:r>
    </w:p>
    <w:p>
      <w:pPr>
        <w:pStyle w:val="TextBody"/>
        <w:bidi w:val="0"/>
        <w:spacing w:before="0" w:after="0"/>
        <w:jc w:val="both"/>
        <w:rPr>
          <w:caps w:val="false"/>
          <w:smallCaps w:val="false"/>
        </w:rPr>
      </w:pPr>
      <w:r>
        <w:rPr>
          <w:caps w:val="false"/>
          <w:smallCaps w:val="false"/>
        </w:rPr>
        <w:t> </w:t>
      </w:r>
      <w:bookmarkStart w:id="424" w:name="xdx_8B0_zfFT9EO9wmKl"/>
      <w:bookmarkEnd w:id="424"/>
      <w:r>
        <w:rPr>
          <w:rFonts w:ascii="Times New Roman;Times;Serif" w:hAnsi="Times New Roman;Times;Serif"/>
          <w:b w:val="false"/>
          <w:i w:val="false"/>
          <w:caps w:val="false"/>
          <w:smallCaps w:val="false"/>
          <w:sz w:val="20"/>
        </w:rPr>
        <w:t>SCHEDULE OF ACCRUED LIABILITIES</w:t>
      </w:r>
    </w:p>
    <w:tbl>
      <w:tblPr>
        <w:tblW w:w="5834" w:type="dxa"/>
        <w:jc w:val="left"/>
        <w:tblInd w:w="0" w:type="dxa"/>
        <w:tblLayout w:type="fixed"/>
        <w:tblCellMar>
          <w:top w:w="0" w:type="dxa"/>
          <w:left w:w="0" w:type="dxa"/>
          <w:bottom w:w="0" w:type="dxa"/>
          <w:right w:w="0" w:type="dxa"/>
        </w:tblCellMar>
      </w:tblPr>
      <w:tblGrid>
        <w:gridCol w:w="2210"/>
        <w:gridCol w:w="60"/>
        <w:gridCol w:w="380"/>
        <w:gridCol w:w="1034"/>
        <w:gridCol w:w="60"/>
        <w:gridCol w:w="60"/>
        <w:gridCol w:w="391"/>
        <w:gridCol w:w="1564"/>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5" w:name="xdx_495_20250630_zS2KqthLrbq2"/>
            <w:bookmarkEnd w:id="425"/>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B_20241231_zE2KNxSQ4Si6"/>
            <w:bookmarkEnd w:id="426"/>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427" w:name="xdx_401_ecustom--AccruedPatentAndLegalCo"/>
            <w:bookmarkEnd w:id="427"/>
          </w:p>
        </w:tc>
      </w:tr>
      <w:tr>
        <w:trPr/>
        <w:tc>
          <w:tcPr>
            <w:tcW w:w="2210" w:type="dxa"/>
            <w:tcBorders/>
            <w:shd w:fill="CCEEFF" w:val="clear"/>
            <w:vAlign w:val="center"/>
          </w:tcPr>
          <w:p>
            <w:pPr>
              <w:pStyle w:val="TableContents"/>
              <w:bidi w:val="0"/>
              <w:spacing w:before="0" w:after="283"/>
              <w:jc w:val="left"/>
              <w:rPr/>
            </w:pPr>
            <w:r>
              <w:rPr/>
              <w:t>Patent and legal costs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bookmarkStart w:id="428" w:name="xdx_401_eus-gaap--EmployeeRelatedLiabili"/>
            <w:bookmarkEnd w:id="428"/>
          </w:p>
        </w:tc>
      </w:tr>
      <w:tr>
        <w:trPr/>
        <w:tc>
          <w:tcPr>
            <w:tcW w:w="2210" w:type="dxa"/>
            <w:tcBorders/>
            <w:shd w:fill="FFFFFF" w:val="clear"/>
            <w:vAlign w:val="center"/>
          </w:tcPr>
          <w:p>
            <w:pPr>
              <w:pStyle w:val="TableContents"/>
              <w:bidi w:val="0"/>
              <w:spacing w:before="0" w:after="283"/>
              <w:jc w:val="left"/>
              <w:rPr/>
            </w:pPr>
            <w:r>
              <w:rPr/>
              <w:t>Accrued compensation</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121</w:t>
            </w:r>
          </w:p>
        </w:tc>
        <w:tc>
          <w:tcPr>
            <w:tcW w:w="75" w:type="dxa"/>
            <w:tcBorders/>
            <w:shd w:fill="FFFFFF" w:val="clear"/>
            <w:vAlign w:val="center"/>
          </w:tcPr>
          <w:p>
            <w:pPr>
              <w:pStyle w:val="TableContents"/>
              <w:bidi w:val="0"/>
              <w:spacing w:before="0" w:after="283"/>
              <w:jc w:val="left"/>
              <w:rPr/>
            </w:pPr>
            <w:r>
              <w:rPr/>
              <w:t> </w:t>
            </w:r>
            <w:bookmarkStart w:id="429" w:name="xdx_40E_eus-gaap--ProductWarrantyAccrual"/>
            <w:bookmarkEnd w:id="429"/>
          </w:p>
        </w:tc>
      </w:tr>
      <w:tr>
        <w:trPr/>
        <w:tc>
          <w:tcPr>
            <w:tcW w:w="2210" w:type="dxa"/>
            <w:tcBorders/>
            <w:shd w:fill="CCEEFF" w:val="clear"/>
            <w:vAlign w:val="center"/>
          </w:tcPr>
          <w:p>
            <w:pPr>
              <w:pStyle w:val="TableContents"/>
              <w:bidi w:val="0"/>
              <w:spacing w:before="0" w:after="283"/>
              <w:jc w:val="left"/>
              <w:rPr/>
            </w:pPr>
            <w:r>
              <w:rPr/>
              <w:t>Warranty costs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jc w:val="left"/>
              <w:rPr/>
            </w:pPr>
            <w:r>
              <w:rPr/>
              <w:t> </w:t>
            </w:r>
            <w:bookmarkStart w:id="430" w:name="xdx_404_eus-gaap--AccruedRoyaltiesCurren"/>
            <w:bookmarkEnd w:id="430"/>
          </w:p>
        </w:tc>
      </w:tr>
      <w:tr>
        <w:trPr/>
        <w:tc>
          <w:tcPr>
            <w:tcW w:w="2210" w:type="dxa"/>
            <w:tcBorders/>
            <w:shd w:fill="FFFFFF" w:val="clear"/>
            <w:vAlign w:val="center"/>
          </w:tcPr>
          <w:p>
            <w:pPr>
              <w:pStyle w:val="TableContents"/>
              <w:bidi w:val="0"/>
              <w:spacing w:before="0" w:after="283"/>
              <w:jc w:val="left"/>
              <w:rPr/>
            </w:pPr>
            <w:r>
              <w:rPr/>
              <w:t>Royalty</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81</w:t>
            </w:r>
          </w:p>
        </w:tc>
        <w:tc>
          <w:tcPr>
            <w:tcW w:w="75" w:type="dxa"/>
            <w:tcBorders/>
            <w:shd w:fill="FFFFFF" w:val="clear"/>
            <w:vAlign w:val="center"/>
          </w:tcPr>
          <w:p>
            <w:pPr>
              <w:pStyle w:val="TableContents"/>
              <w:bidi w:val="0"/>
              <w:spacing w:before="0" w:after="283"/>
              <w:jc w:val="left"/>
              <w:rPr/>
            </w:pPr>
            <w:r>
              <w:rPr/>
              <w:t> </w:t>
            </w:r>
            <w:bookmarkStart w:id="431" w:name="xdx_40D_ecustom--ContractSettlement_iI_p"/>
            <w:bookmarkEnd w:id="431"/>
          </w:p>
        </w:tc>
      </w:tr>
      <w:tr>
        <w:trPr/>
        <w:tc>
          <w:tcPr>
            <w:tcW w:w="2210" w:type="dxa"/>
            <w:tcBorders/>
            <w:shd w:fill="CCEEFF" w:val="clear"/>
            <w:vAlign w:val="center"/>
          </w:tcPr>
          <w:p>
            <w:pPr>
              <w:pStyle w:val="TableContents"/>
              <w:bidi w:val="0"/>
              <w:spacing w:before="0" w:after="283"/>
              <w:jc w:val="left"/>
              <w:rPr/>
            </w:pPr>
            <w:r>
              <w:rPr/>
              <w:t>Contract settlement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bookmarkStart w:id="432" w:name="xdx_406_ecustom--AccruedPurchaseCurrent_"/>
            <w:bookmarkEnd w:id="432"/>
          </w:p>
        </w:tc>
      </w:tr>
      <w:tr>
        <w:trPr/>
        <w:tc>
          <w:tcPr>
            <w:tcW w:w="2210" w:type="dxa"/>
            <w:tcBorders/>
            <w:shd w:fill="FFFFFF" w:val="clear"/>
            <w:vAlign w:val="center"/>
          </w:tcPr>
          <w:p>
            <w:pPr>
              <w:pStyle w:val="TableContents"/>
              <w:bidi w:val="0"/>
              <w:spacing w:before="0" w:after="283"/>
              <w:jc w:val="left"/>
              <w:rPr/>
            </w:pPr>
            <w:r>
              <w:rPr/>
              <w:t>Accrued purchases</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584</w:t>
            </w:r>
          </w:p>
        </w:tc>
        <w:tc>
          <w:tcPr>
            <w:tcW w:w="75" w:type="dxa"/>
            <w:tcBorders/>
            <w:shd w:fill="FFFFFF" w:val="clear"/>
            <w:vAlign w:val="center"/>
          </w:tcPr>
          <w:p>
            <w:pPr>
              <w:pStyle w:val="TableContents"/>
              <w:bidi w:val="0"/>
              <w:spacing w:before="0" w:after="283"/>
              <w:jc w:val="left"/>
              <w:rPr/>
            </w:pPr>
            <w:r>
              <w:rPr/>
              <w:t> </w:t>
            </w:r>
            <w:bookmarkStart w:id="433" w:name="xdx_40E_ecustom--AccruedLeasePayable_iI_"/>
            <w:bookmarkEnd w:id="433"/>
          </w:p>
        </w:tc>
      </w:tr>
      <w:tr>
        <w:trPr/>
        <w:tc>
          <w:tcPr>
            <w:tcW w:w="2210" w:type="dxa"/>
            <w:tcBorders/>
            <w:shd w:fill="CCEEFF" w:val="clear"/>
            <w:vAlign w:val="center"/>
          </w:tcPr>
          <w:p>
            <w:pPr>
              <w:pStyle w:val="TableContents"/>
              <w:bidi w:val="0"/>
              <w:spacing w:before="0" w:after="283"/>
              <w:jc w:val="left"/>
              <w:rPr/>
            </w:pPr>
            <w:r>
              <w:rPr/>
              <w:t>Accrued lease payable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4" w:name="xdx_400_eus-gaap--OtherAccruedLiabilitie"/>
            <w:bookmarkEnd w:id="434"/>
          </w:p>
        </w:tc>
      </w:tr>
      <w:tr>
        <w:trPr/>
        <w:tc>
          <w:tcPr>
            <w:tcW w:w="2210" w:type="dxa"/>
            <w:tcBorders/>
            <w:shd w:fill="FFFFFF" w:val="clear"/>
            <w:vAlign w:val="center"/>
          </w:tcPr>
          <w:p>
            <w:pPr>
              <w:pStyle w:val="TableContents"/>
              <w:bidi w:val="0"/>
              <w:spacing w:before="0" w:after="283"/>
              <w:jc w:val="left"/>
              <w:rPr/>
            </w:pPr>
            <w:r>
              <w:rPr/>
              <w:t>Taxes and other</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bookmarkStart w:id="435" w:name="xdx_408_eus-gaap--AccruedLiabilitiesCurr"/>
            <w:bookmarkEnd w:id="435"/>
          </w:p>
        </w:tc>
      </w:tr>
      <w:tr>
        <w:trPr/>
        <w:tc>
          <w:tcPr>
            <w:tcW w:w="22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1,403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36" w:name="xdx_8AA_z3biZYskGHw1"/>
      <w:bookmarkEnd w:id="43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37" w:name="xdx_891_eus-gaap--ScheduleOfProductWarra"/>
      <w:bookmarkEnd w:id="437"/>
      <w:r>
        <w:rPr>
          <w:rFonts w:ascii="Times New Roman;Times;Serif" w:hAnsi="Times New Roman;Times;Serif"/>
          <w:b w:val="false"/>
          <w:i w:val="false"/>
          <w:caps w:val="false"/>
          <w:smallCaps w:val="false"/>
          <w:sz w:val="20"/>
        </w:rPr>
        <w:t>Changes in our estimated product warranty costs were as follows:</w:t>
      </w:r>
    </w:p>
    <w:p>
      <w:pPr>
        <w:pStyle w:val="TextBody"/>
        <w:bidi w:val="0"/>
        <w:spacing w:before="0" w:after="0"/>
        <w:jc w:val="both"/>
        <w:rPr>
          <w:caps w:val="false"/>
          <w:smallCaps w:val="false"/>
        </w:rPr>
      </w:pPr>
      <w:r>
        <w:rPr>
          <w:caps w:val="false"/>
          <w:smallCaps w:val="false"/>
        </w:rPr>
        <w:t> </w:t>
      </w:r>
      <w:bookmarkStart w:id="438" w:name="xdx_8B3_zrytWJQdisca"/>
      <w:bookmarkEnd w:id="438"/>
      <w:r>
        <w:rPr>
          <w:rFonts w:ascii="Times New Roman;Times;Serif" w:hAnsi="Times New Roman;Times;Serif"/>
          <w:b w:val="false"/>
          <w:i w:val="false"/>
          <w:caps w:val="false"/>
          <w:smallCaps w:val="false"/>
          <w:sz w:val="20"/>
        </w:rPr>
        <w:t>SCHEDULE OF PRODUCT WARRANTY LIABILITY</w:t>
      </w:r>
    </w:p>
    <w:tbl>
      <w:tblPr>
        <w:tblW w:w="5771" w:type="dxa"/>
        <w:jc w:val="left"/>
        <w:tblInd w:w="0" w:type="dxa"/>
        <w:tblLayout w:type="fixed"/>
        <w:tblCellMar>
          <w:top w:w="0" w:type="dxa"/>
          <w:left w:w="0" w:type="dxa"/>
          <w:bottom w:w="0" w:type="dxa"/>
          <w:right w:w="0" w:type="dxa"/>
        </w:tblCellMar>
      </w:tblPr>
      <w:tblGrid>
        <w:gridCol w:w="2780"/>
        <w:gridCol w:w="60"/>
        <w:gridCol w:w="357"/>
        <w:gridCol w:w="856"/>
        <w:gridCol w:w="242"/>
        <w:gridCol w:w="153"/>
        <w:gridCol w:w="357"/>
        <w:gridCol w:w="856"/>
        <w:gridCol w:w="11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bookmarkStart w:id="439" w:name="xdx_980_eus-gaap--ProductWarrantyAccrual"/>
            <w:bookmarkEnd w:id="439"/>
          </w:p>
        </w:tc>
        <w:tc>
          <w:tcPr>
            <w:tcW w:w="856" w:type="dxa"/>
            <w:tcBorders/>
            <w:shd w:fill="CCEEFF" w:val="clear"/>
            <w:vAlign w:val="center"/>
          </w:tcPr>
          <w:p>
            <w:pPr>
              <w:pStyle w:val="TableContents"/>
              <w:bidi w:val="0"/>
              <w:spacing w:before="0" w:after="283"/>
              <w:jc w:val="right"/>
              <w:rPr/>
            </w:pPr>
            <w:r>
              <w:rPr/>
              <w:t>83</w:t>
            </w:r>
          </w:p>
        </w:tc>
        <w:tc>
          <w:tcPr>
            <w:tcW w:w="24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bookmarkStart w:id="440" w:name="xdx_980_eus-gaap--ProductWarrantyAccrual"/>
            <w:bookmarkEnd w:id="440"/>
          </w:p>
        </w:tc>
        <w:tc>
          <w:tcPr>
            <w:tcW w:w="856" w:type="dxa"/>
            <w:tcBorders/>
            <w:shd w:fill="CCEEFF" w:val="clear"/>
            <w:vAlign w:val="center"/>
          </w:tcPr>
          <w:p>
            <w:pPr>
              <w:pStyle w:val="TableContents"/>
              <w:bidi w:val="0"/>
              <w:spacing w:before="0" w:after="283"/>
              <w:jc w:val="right"/>
              <w:rPr/>
            </w:pPr>
            <w:r>
              <w:rPr/>
              <w:t>72</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Warranty settlements</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bookmarkStart w:id="441" w:name="xdx_987_eus-gaap--ProductWarrantyAccrual"/>
            <w:bookmarkEnd w:id="441"/>
          </w:p>
        </w:tc>
        <w:tc>
          <w:tcPr>
            <w:tcW w:w="856" w:type="dxa"/>
            <w:tcBorders/>
            <w:shd w:fill="FFFFFF" w:val="clear"/>
            <w:vAlign w:val="center"/>
          </w:tcPr>
          <w:p>
            <w:pPr>
              <w:pStyle w:val="TableContents"/>
              <w:bidi w:val="0"/>
              <w:spacing w:before="0" w:after="283"/>
              <w:jc w:val="right"/>
              <w:rPr/>
            </w:pPr>
            <w:r>
              <w:rPr/>
              <w:t>(10</w:t>
            </w:r>
          </w:p>
        </w:tc>
        <w:tc>
          <w:tcPr>
            <w:tcW w:w="242" w:type="dxa"/>
            <w:tcBorders/>
            <w:shd w:fill="FFFFFF" w:val="clear"/>
            <w:vAlign w:val="center"/>
          </w:tcPr>
          <w:p>
            <w:pPr>
              <w:pStyle w:val="TableContents"/>
              <w:bidi w:val="0"/>
              <w:spacing w:before="0" w:after="283"/>
              <w:jc w:val="left"/>
              <w:rPr/>
            </w:pPr>
            <w:r>
              <w:rPr/>
              <w:t>)</w:t>
            </w:r>
          </w:p>
        </w:tc>
        <w:tc>
          <w:tcPr>
            <w:tcW w:w="153"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bookmarkStart w:id="442" w:name="xdx_989_eus-gaap--ProductWarrantyAccrual"/>
            <w:bookmarkEnd w:id="442"/>
          </w:p>
        </w:tc>
        <w:tc>
          <w:tcPr>
            <w:tcW w:w="856"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Warranty provision</w:t>
            </w:r>
          </w:p>
        </w:tc>
        <w:tc>
          <w:tcPr>
            <w:tcW w:w="60" w:type="dxa"/>
            <w:tcBorders/>
            <w:shd w:fill="CCEEFF" w:val="clear"/>
            <w:vAlign w:val="center"/>
          </w:tcPr>
          <w:p>
            <w:pPr>
              <w:pStyle w:val="TableContents"/>
              <w:bidi w:val="0"/>
              <w:spacing w:before="0" w:after="283"/>
              <w:jc w:val="left"/>
              <w:rPr/>
            </w:pPr>
            <w:r>
              <w:rPr/>
              <w:t> </w:t>
            </w:r>
          </w:p>
        </w:tc>
        <w:tc>
          <w:tcPr>
            <w:tcW w:w="3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3" w:name="xdx_98E_eus-gaap--ProductWarrantyAccrual"/>
            <w:bookmarkEnd w:id="443"/>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24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44" w:name="xdx_98C_eus-gaap--ProductWarrantyAccrual"/>
            <w:bookmarkEnd w:id="444"/>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5" w:name="xdx_987_eus-gaap--ProductWarrantyAccrual"/>
            <w:bookmarkEnd w:id="445"/>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75</w:t>
            </w:r>
          </w:p>
        </w:tc>
        <w:tc>
          <w:tcPr>
            <w:tcW w:w="24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46" w:name="xdx_988_eus-gaap--ProductWarrantyAccrual"/>
            <w:bookmarkEnd w:id="446"/>
          </w:p>
        </w:tc>
        <w:tc>
          <w:tcPr>
            <w:tcW w:w="856" w:type="dxa"/>
            <w:tcBorders>
              <w:bottom w:val="double" w:sz="6" w:space="0" w:color="000000"/>
            </w:tcBorders>
            <w:shd w:fill="FFFFFF" w:val="clear"/>
            <w:tcMar>
              <w:bottom w:w="28" w:type="dxa"/>
            </w:tcMar>
            <w:vAlign w:val="center"/>
          </w:tcPr>
          <w:p>
            <w:pPr>
              <w:pStyle w:val="TableContents"/>
              <w:bidi w:val="0"/>
              <w:spacing w:before="0" w:after="283"/>
              <w:jc w:val="right"/>
              <w:rPr/>
            </w:pPr>
            <w:r>
              <w:rPr/>
              <w:t>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47" w:name="xdx_8A9_zU1UD8cN4vpi"/>
      <w:bookmarkEnd w:id="4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48" w:name="xdx_80F_ecustom--WarrantsTextBlock_zBHPm"/>
      <w:bookmarkEnd w:id="448"/>
      <w:r>
        <w:rPr>
          <w:rFonts w:ascii="Times New Roman;Times;Serif" w:hAnsi="Times New Roman;Times;Serif"/>
          <w:b/>
          <w:i w:val="false"/>
          <w:caps w:val="false"/>
          <w:smallCaps w:val="false"/>
          <w:sz w:val="20"/>
        </w:rPr>
        <w:t xml:space="preserve">8. </w:t>
      </w:r>
      <w:bookmarkStart w:id="449" w:name="xdx_820_zXFhFI4K2Bma"/>
      <w:bookmarkEnd w:id="449"/>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w:t>
      </w:r>
      <w:bookmarkStart w:id="450" w:name="xdx_901_eus-gaap--StockIssuedDuringPerio"/>
      <w:bookmarkEnd w:id="450"/>
      <w:r>
        <w:rPr>
          <w:rFonts w:ascii="Times New Roman;Times;Serif" w:hAnsi="Times New Roman;Times;Serif"/>
          <w:b w:val="false"/>
          <w:i w:val="false"/>
          <w:caps w:val="false"/>
          <w:smallCaps w:val="false"/>
          <w:sz w:val="20"/>
        </w:rPr>
        <w:t>10,000 shares of the Company’s newly-designated Series A Convertible Preferred Stock, with par value $</w:t>
      </w:r>
      <w:bookmarkStart w:id="451" w:name="xdx_904_eus-gaap--PreferredStockParOrSta"/>
      <w:bookmarkEnd w:id="451"/>
      <w:r>
        <w:rPr>
          <w:rFonts w:ascii="Times New Roman;Times;Serif" w:hAnsi="Times New Roman;Times;Serif"/>
          <w:b w:val="false"/>
          <w:i w:val="false"/>
          <w:caps w:val="false"/>
          <w:smallCaps w:val="false"/>
          <w:sz w:val="20"/>
        </w:rPr>
        <w:t>0.0001 per share and a stated value of $</w:t>
      </w:r>
      <w:bookmarkStart w:id="452" w:name="xdx_901_ecustom--PreferredStockStatedVal"/>
      <w:bookmarkEnd w:id="452"/>
      <w:r>
        <w:rPr>
          <w:rFonts w:ascii="Times New Roman;Times;Serif" w:hAnsi="Times New Roman;Times;Serif"/>
          <w:b w:val="false"/>
          <w:i w:val="false"/>
          <w:caps w:val="false"/>
          <w:smallCaps w:val="false"/>
          <w:sz w:val="20"/>
        </w:rPr>
        <w:t xml:space="preserve">1,000 per share (the “Series A Preferred Stock”), initially convertible into up to </w:t>
      </w:r>
      <w:bookmarkStart w:id="453" w:name="xdx_90D_eus-gaap--PreferredStockConverti"/>
      <w:bookmarkEnd w:id="453"/>
      <w:r>
        <w:rPr>
          <w:rFonts w:ascii="Times New Roman;Times;Serif" w:hAnsi="Times New Roman;Times;Serif"/>
          <w:b w:val="false"/>
          <w:i w:val="false"/>
          <w:caps w:val="false"/>
          <w:smallCaps w:val="false"/>
          <w:sz w:val="20"/>
        </w:rPr>
        <w:t>6,896,553 shares of Common Stock, at an initial conversion price of $</w:t>
      </w:r>
      <w:bookmarkStart w:id="454" w:name="xdx_90B_eus-gaap--PreferredStockConverti"/>
      <w:bookmarkEnd w:id="454"/>
      <w:r>
        <w:rPr>
          <w:rFonts w:ascii="Times New Roman;Times;Serif" w:hAnsi="Times New Roman;Times;Serif"/>
          <w:b w:val="false"/>
          <w:i w:val="false"/>
          <w:caps w:val="false"/>
          <w:smallCaps w:val="false"/>
          <w:sz w:val="20"/>
        </w:rPr>
        <w:t xml:space="preserve">1.45 per share (the “Conversion Price”), and (ii) warrants to acquire up to an aggregate of </w:t>
      </w:r>
      <w:bookmarkStart w:id="455" w:name="xdx_90B_eus-gaap--ClassOfWarrantOrRightN"/>
      <w:bookmarkEnd w:id="455"/>
      <w:r>
        <w:rPr>
          <w:rFonts w:ascii="Times New Roman;Times;Serif" w:hAnsi="Times New Roman;Times;Serif"/>
          <w:b w:val="false"/>
          <w:i w:val="false"/>
          <w:caps w:val="false"/>
          <w:smallCaps w:val="false"/>
          <w:sz w:val="20"/>
        </w:rPr>
        <w:t>6,896,553 shares of Common Stock (the “Series A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 Warrant has an exercise price of $</w:t>
      </w:r>
      <w:bookmarkStart w:id="456" w:name="xdx_90B_eus-gaap--ClassOfWarrantOrRightE"/>
      <w:bookmarkEnd w:id="456"/>
      <w:r>
        <w:rPr>
          <w:rFonts w:ascii="Times New Roman;Times;Serif" w:hAnsi="Times New Roman;Times;Serif"/>
          <w:b w:val="false"/>
          <w:i w:val="false"/>
          <w:caps w:val="false"/>
          <w:smallCaps w:val="false"/>
          <w:sz w:val="20"/>
        </w:rPr>
        <w:t xml:space="preserve">1.45 per share, became exercisable after the date that was six months from the date of issuance and will expire </w:t>
      </w:r>
      <w:bookmarkStart w:id="457" w:name="xdx_901_eus-gaap--WarrantsAndRightsOutst"/>
      <w:bookmarkEnd w:id="457"/>
      <w:r>
        <w:rPr>
          <w:rFonts w:ascii="Times New Roman;Times;Serif" w:hAnsi="Times New Roman;Times;Serif"/>
          <w:b w:val="false"/>
          <w:i w:val="false"/>
          <w:caps w:val="false"/>
          <w:smallCaps w:val="false"/>
          <w:sz w:val="20"/>
        </w:rPr>
        <w:t>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Series A Offering occurred on July 3, 2023. The aggregate gross proceeds from the Series A Offering were $</w:t>
      </w:r>
      <w:bookmarkStart w:id="458" w:name="xdx_90A_eus-gaap--ProceedsFromIssuanceOr"/>
      <w:bookmarkEnd w:id="458"/>
      <w:r>
        <w:rPr>
          <w:rFonts w:ascii="Times New Roman;Times;Serif" w:hAnsi="Times New Roman;Times;Serif"/>
          <w:b w:val="false"/>
          <w:i w:val="false"/>
          <w:caps w:val="false"/>
          <w:smallCaps w:val="false"/>
          <w:sz w:val="20"/>
        </w:rPr>
        <w:t>10,000, of which $</w:t>
      </w:r>
      <w:bookmarkStart w:id="459" w:name="xdx_90A_eus-gaap--ProceedsFromIssuanceOf"/>
      <w:bookmarkEnd w:id="459"/>
      <w:r>
        <w:rPr>
          <w:rFonts w:ascii="Times New Roman;Times;Serif" w:hAnsi="Times New Roman;Times;Serif"/>
          <w:b w:val="false"/>
          <w:i w:val="false"/>
          <w:caps w:val="false"/>
          <w:smallCaps w:val="false"/>
          <w:sz w:val="20"/>
        </w:rPr>
        <w:t>7,717 was allocated to the Series A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the Company entered into a securities purchase agreement (the “PIPE Purchase Agreement”) with certain accredited investors (collectively, the “PIPE Purchasers”) for the issuance and sale in a private placement (the “Private Placement”) of an aggregate of </w:t>
      </w:r>
      <w:bookmarkStart w:id="460" w:name="xdx_90C_eus-gaap--SaleOfStockNumberOfSha"/>
      <w:bookmarkEnd w:id="460"/>
      <w:r>
        <w:rPr>
          <w:rFonts w:ascii="Times New Roman;Times;Serif" w:hAnsi="Times New Roman;Times;Serif"/>
          <w:b w:val="false"/>
          <w:i w:val="false"/>
          <w:caps w:val="false"/>
          <w:smallCaps w:val="false"/>
          <w:sz w:val="20"/>
        </w:rPr>
        <w:t xml:space="preserve">3,216,666 shares (the “Common Shares”) of Common Stock and accompanying warrants (“PIPE Warrants”) to purchase up to </w:t>
      </w:r>
      <w:bookmarkStart w:id="461" w:name="xdx_906_eus-gaap--ClassOfWarrantOrRightN"/>
      <w:bookmarkEnd w:id="461"/>
      <w:r>
        <w:rPr>
          <w:rFonts w:ascii="Times New Roman;Times;Serif" w:hAnsi="Times New Roman;Times;Serif"/>
          <w:b w:val="false"/>
          <w:i w:val="false"/>
          <w:caps w:val="false"/>
          <w:smallCaps w:val="false"/>
          <w:sz w:val="20"/>
        </w:rPr>
        <w:t>3,216,666 shares of Common Stock, with an exercise price of $</w:t>
      </w:r>
      <w:bookmarkStart w:id="462" w:name="xdx_906_eus-gaap--ClassOfWarrantOrRightE"/>
      <w:bookmarkEnd w:id="462"/>
      <w:r>
        <w:rPr>
          <w:rFonts w:ascii="Times New Roman;Times;Serif" w:hAnsi="Times New Roman;Times;Serif"/>
          <w:b w:val="false"/>
          <w:i w:val="false"/>
          <w:caps w:val="false"/>
          <w:smallCaps w:val="false"/>
          <w:sz w:val="20"/>
        </w:rPr>
        <w:t>1.80 per share. The purchase price for one Common Share and accompanying PIPE Warrant was $</w:t>
      </w:r>
      <w:bookmarkStart w:id="463" w:name="xdx_904_eus-gaap--ClassOfWarrantOrRightE"/>
      <w:bookmarkEnd w:id="463"/>
      <w:r>
        <w:rPr>
          <w:rFonts w:ascii="Times New Roman;Times;Serif" w:hAnsi="Times New Roman;Times;Serif"/>
          <w:b w:val="false"/>
          <w:i w:val="false"/>
          <w:caps w:val="false"/>
          <w:smallCaps w:val="false"/>
          <w:sz w:val="20"/>
        </w:rPr>
        <w:t>1.80. The gross proceeds to the Company were $</w:t>
      </w:r>
      <w:bookmarkStart w:id="464" w:name="xdx_90D_eus-gaap--ProceedsFromIssuanceOf"/>
      <w:bookmarkEnd w:id="464"/>
      <w:r>
        <w:rPr>
          <w:rFonts w:ascii="Times New Roman;Times;Serif" w:hAnsi="Times New Roman;Times;Serif"/>
          <w:b w:val="false"/>
          <w:i w:val="false"/>
          <w:caps w:val="false"/>
          <w:smallCaps w:val="false"/>
          <w:sz w:val="20"/>
        </w:rPr>
        <w:t>5,790 before estimated offering expenses payable by the Company, of which $</w:t>
      </w:r>
      <w:bookmarkStart w:id="465" w:name="xdx_902_eus-gaap--ProceedsFromIssuanceIn"/>
      <w:bookmarkEnd w:id="465"/>
      <w:r>
        <w:rPr>
          <w:rFonts w:ascii="Times New Roman;Times;Serif" w:hAnsi="Times New Roman;Times;Serif"/>
          <w:b w:val="false"/>
          <w:i w:val="false"/>
          <w:caps w:val="false"/>
          <w:smallCaps w:val="false"/>
          <w:sz w:val="20"/>
        </w:rPr>
        <w:t>5,185 was allocated to the PIPE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2025 Warrants to be five and one-half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815-40-35-10, upon effective amendment on June 30, 2025, each of the Series A Warrants and PIPE Warrants qualify for equity-classification. Immediately before the equity reclassification, such warrants were each revalued at fair value with the resulting gain or loss being recorded in the Statement of Operations. After fair value remeasurement, the reclassification from warrant liabilities to additional paid-in capital was completed. See Footnote 3: Financial Instruments for details of the fair value measurement and impact on the Statement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66" w:name="xdx_80E_eus-gaap--LesseeOperatingLeasesT"/>
      <w:bookmarkEnd w:id="466"/>
      <w:r>
        <w:rPr>
          <w:rFonts w:ascii="Times New Roman;Times;Serif" w:hAnsi="Times New Roman;Times;Serif"/>
          <w:b/>
          <w:i w:val="false"/>
          <w:caps w:val="false"/>
          <w:smallCaps w:val="false"/>
          <w:sz w:val="20"/>
        </w:rPr>
        <w:t xml:space="preserve">9. </w:t>
      </w:r>
      <w:bookmarkStart w:id="467" w:name="xdx_82E_zTvE6DD3mySk"/>
      <w:bookmarkEnd w:id="467"/>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The guidance in FASB ASC Topic 842, Leases defines a lease as a contract, or part of a contract, that conveys the right to control the use of identified property, plant, or equipment (an identified asset) for a period of time in exchange for consideration. Operating lease right of use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leases beginning on or after January 1, 2019, lease components are accounted for separately from non-lease components for all asset classes. On January 21, 2023,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w:t>
      </w:r>
      <w:bookmarkStart w:id="468" w:name="xdx_902_eus-gaap--OperatingLeaseRightOfU"/>
      <w:bookmarkEnd w:id="468"/>
      <w:r>
        <w:rPr>
          <w:rFonts w:ascii="Times New Roman;Times;Serif" w:hAnsi="Times New Roman;Times;Serif"/>
          <w:b w:val="false"/>
          <w:i w:val="false"/>
          <w:caps w:val="false"/>
          <w:smallCaps w:val="false"/>
          <w:sz w:val="20"/>
        </w:rPr>
        <w:t>84 and $</w:t>
      </w:r>
      <w:bookmarkStart w:id="469" w:name="xdx_903_eus-gaap--OperatingLeaseRightOfU"/>
      <w:bookmarkEnd w:id="469"/>
      <w:r>
        <w:rPr>
          <w:rFonts w:ascii="Times New Roman;Times;Serif" w:hAnsi="Times New Roman;Times;Serif"/>
          <w:b w:val="false"/>
          <w:i w:val="false"/>
          <w:caps w:val="false"/>
          <w:smallCaps w:val="false"/>
          <w:sz w:val="20"/>
        </w:rPr>
        <w:t>151 for the three and six months ended June 30, 2025, respectively, and $</w:t>
      </w:r>
      <w:bookmarkStart w:id="470" w:name="xdx_906_eus-gaap--OperatingLeaseRightOfU"/>
      <w:bookmarkEnd w:id="470"/>
      <w:r>
        <w:rPr>
          <w:rFonts w:ascii="Times New Roman;Times;Serif" w:hAnsi="Times New Roman;Times;Serif"/>
          <w:b w:val="false"/>
          <w:i w:val="false"/>
          <w:caps w:val="false"/>
          <w:smallCaps w:val="false"/>
          <w:sz w:val="20"/>
        </w:rPr>
        <w:t>72 and $</w:t>
      </w:r>
      <w:bookmarkStart w:id="471" w:name="xdx_903_eus-gaap--OperatingLeaseRightOfU"/>
      <w:bookmarkEnd w:id="471"/>
      <w:r>
        <w:rPr>
          <w:rFonts w:ascii="Times New Roman;Times;Serif" w:hAnsi="Times New Roman;Times;Serif"/>
          <w:b w:val="false"/>
          <w:i w:val="false"/>
          <w:caps w:val="false"/>
          <w:smallCaps w:val="false"/>
          <w:sz w:val="20"/>
        </w:rPr>
        <w:t>143 for the three and six months ended June 30, 2024, respectively. Operating lease expense for capitalized operating leases included in operating activities was $</w:t>
      </w:r>
      <w:bookmarkStart w:id="472" w:name="xdx_906_eus-gaap--OperatingLeaseCost_pn3"/>
      <w:bookmarkEnd w:id="472"/>
      <w:r>
        <w:rPr>
          <w:rFonts w:ascii="Times New Roman;Times;Serif" w:hAnsi="Times New Roman;Times;Serif"/>
          <w:b w:val="false"/>
          <w:i w:val="false"/>
          <w:caps w:val="false"/>
          <w:smallCaps w:val="false"/>
          <w:sz w:val="20"/>
        </w:rPr>
        <w:t>156 and $</w:t>
      </w:r>
      <w:bookmarkStart w:id="473" w:name="xdx_909_eus-gaap--OperatingLeaseCost_pn3"/>
      <w:bookmarkEnd w:id="473"/>
      <w:r>
        <w:rPr>
          <w:rFonts w:ascii="Times New Roman;Times;Serif" w:hAnsi="Times New Roman;Times;Serif"/>
          <w:b w:val="false"/>
          <w:i w:val="false"/>
          <w:caps w:val="false"/>
          <w:smallCaps w:val="false"/>
          <w:sz w:val="20"/>
        </w:rPr>
        <w:t>313 for the three and six months ended June 30, 2025, respectively, and $</w:t>
      </w:r>
      <w:bookmarkStart w:id="474" w:name="xdx_90F_eus-gaap--OperatingLeaseCost_pn3"/>
      <w:bookmarkEnd w:id="474"/>
      <w:r>
        <w:rPr>
          <w:rFonts w:ascii="Times New Roman;Times;Serif" w:hAnsi="Times New Roman;Times;Serif"/>
          <w:b w:val="false"/>
          <w:i w:val="false"/>
          <w:caps w:val="false"/>
          <w:smallCaps w:val="false"/>
          <w:sz w:val="20"/>
        </w:rPr>
        <w:t>166 and $</w:t>
      </w:r>
      <w:bookmarkStart w:id="475" w:name="xdx_90E_eus-gaap--OperatingLeaseCost_pn3"/>
      <w:bookmarkEnd w:id="475"/>
      <w:r>
        <w:rPr>
          <w:rFonts w:ascii="Times New Roman;Times;Serif" w:hAnsi="Times New Roman;Times;Serif"/>
          <w:b w:val="false"/>
          <w:i w:val="false"/>
          <w:caps w:val="false"/>
          <w:smallCaps w:val="false"/>
          <w:sz w:val="20"/>
        </w:rPr>
        <w:t>415 for the three months and six months ended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76" w:name="xdx_89F_ecustom--LesseeOperatingLeaseDis"/>
      <w:bookmarkEnd w:id="476"/>
      <w:r>
        <w:rPr>
          <w:rFonts w:ascii="Times New Roman;Times;Serif" w:hAnsi="Times New Roman;Times;Serif"/>
          <w:b w:val="false"/>
          <w:i w:val="false"/>
          <w:caps w:val="false"/>
          <w:smallCaps w:val="false"/>
          <w:sz w:val="20"/>
        </w:rPr>
        <w:t>Operating lease obligations recorded on the balance sheet at June 30, 2025 are:</w:t>
      </w:r>
    </w:p>
    <w:p>
      <w:pPr>
        <w:pStyle w:val="TextBody"/>
        <w:bidi w:val="0"/>
        <w:spacing w:before="0" w:after="0"/>
        <w:jc w:val="left"/>
        <w:rPr>
          <w:caps w:val="false"/>
          <w:smallCaps w:val="false"/>
        </w:rPr>
      </w:pPr>
      <w:r>
        <w:rPr>
          <w:caps w:val="false"/>
          <w:smallCaps w:val="false"/>
        </w:rPr>
        <w:t> </w:t>
      </w:r>
      <w:bookmarkStart w:id="477" w:name="xdx_8B8_zsredrK4Lttl"/>
      <w:bookmarkEnd w:id="477"/>
      <w:r>
        <w:rPr>
          <w:rFonts w:ascii="Times New Roman;Times;Serif" w:hAnsi="Times New Roman;Times;Serif"/>
          <w:b w:val="false"/>
          <w:i w:val="false"/>
          <w:caps w:val="false"/>
          <w:smallCaps w:val="false"/>
          <w:sz w:val="20"/>
        </w:rPr>
        <w:t>SCHEDULE OF OPERATING LEASE OBLIGATIONS</w:t>
      </w:r>
    </w:p>
    <w:tbl>
      <w:tblPr>
        <w:tblW w:w="4200" w:type="dxa"/>
        <w:jc w:val="left"/>
        <w:tblInd w:w="0" w:type="dxa"/>
        <w:tblLayout w:type="fixed"/>
        <w:tblCellMar>
          <w:top w:w="0" w:type="dxa"/>
          <w:left w:w="0" w:type="dxa"/>
          <w:bottom w:w="0" w:type="dxa"/>
          <w:right w:w="0" w:type="dxa"/>
        </w:tblCellMar>
      </w:tblPr>
      <w:tblGrid>
        <w:gridCol w:w="3365"/>
        <w:gridCol w:w="60"/>
        <w:gridCol w:w="140"/>
        <w:gridCol w:w="560"/>
        <w:gridCol w:w="75"/>
      </w:tblGrid>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8" w:name="xdx_493_20250630_zhT73WD3JZN5"/>
            <w:bookmarkEnd w:id="478"/>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79" w:name="xdx_406_eus-gaap--OperatingLeaseLiabilit"/>
            <w:bookmarkEnd w:id="479"/>
          </w:p>
        </w:tc>
      </w:tr>
      <w:tr>
        <w:trPr/>
        <w:tc>
          <w:tcPr>
            <w:tcW w:w="3365" w:type="dxa"/>
            <w:tcBorders/>
            <w:shd w:fill="CCEEFF" w:val="clear"/>
            <w:vAlign w:val="center"/>
          </w:tcPr>
          <w:p>
            <w:pPr>
              <w:pStyle w:val="TableContents"/>
              <w:bidi w:val="0"/>
              <w:spacing w:before="0" w:after="283"/>
              <w:jc w:val="left"/>
              <w:rPr/>
            </w:pPr>
            <w:r>
              <w:rPr/>
              <w:t>Operating lease liability- short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218</w:t>
            </w:r>
          </w:p>
        </w:tc>
        <w:tc>
          <w:tcPr>
            <w:tcW w:w="75" w:type="dxa"/>
            <w:tcBorders/>
            <w:shd w:fill="CCEEFF" w:val="clear"/>
            <w:vAlign w:val="center"/>
          </w:tcPr>
          <w:p>
            <w:pPr>
              <w:pStyle w:val="TableContents"/>
              <w:bidi w:val="0"/>
              <w:spacing w:before="0" w:after="283"/>
              <w:jc w:val="left"/>
              <w:rPr/>
            </w:pPr>
            <w:r>
              <w:rPr/>
              <w:t> </w:t>
            </w:r>
            <w:bookmarkStart w:id="480" w:name="xdx_402_eus-gaap--OperatingLeaseLiabilit"/>
            <w:bookmarkEnd w:id="480"/>
          </w:p>
        </w:tc>
      </w:tr>
      <w:tr>
        <w:trPr/>
        <w:tc>
          <w:tcPr>
            <w:tcW w:w="3365" w:type="dxa"/>
            <w:tcBorders/>
            <w:shd w:fill="FFFFFF" w:val="clear"/>
            <w:vAlign w:val="center"/>
          </w:tcPr>
          <w:p>
            <w:pPr>
              <w:pStyle w:val="TableContents"/>
              <w:bidi w:val="0"/>
              <w:spacing w:before="0" w:after="283"/>
              <w:jc w:val="left"/>
              <w:rPr/>
            </w:pPr>
            <w:r>
              <w:rPr/>
              <w:t>Operating lease liability - long term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1,826</w:t>
            </w:r>
          </w:p>
        </w:tc>
        <w:tc>
          <w:tcPr>
            <w:tcW w:w="75" w:type="dxa"/>
            <w:tcBorders/>
            <w:shd w:fill="FFFFFF" w:val="clear"/>
            <w:vAlign w:val="center"/>
          </w:tcPr>
          <w:p>
            <w:pPr>
              <w:pStyle w:val="TableContents"/>
              <w:bidi w:val="0"/>
              <w:spacing w:before="0" w:after="283"/>
              <w:jc w:val="left"/>
              <w:rPr/>
            </w:pPr>
            <w:r>
              <w:rPr/>
              <w:t> </w:t>
            </w:r>
            <w:bookmarkStart w:id="481" w:name="xdx_40F_eus-gaap--OperatingLeaseLiabilit"/>
            <w:bookmarkEnd w:id="481"/>
          </w:p>
        </w:tc>
      </w:tr>
      <w:tr>
        <w:trPr/>
        <w:tc>
          <w:tcPr>
            <w:tcW w:w="3365" w:type="dxa"/>
            <w:tcBorders/>
            <w:shd w:fill="CCEEFF" w:val="clear"/>
            <w:vAlign w:val="center"/>
          </w:tcPr>
          <w:p>
            <w:pPr>
              <w:pStyle w:val="TableContents"/>
              <w:bidi w:val="0"/>
              <w:spacing w:before="0" w:after="283"/>
              <w:jc w:val="left"/>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82" w:name="xdx_8A4_zYzguQ3dL2Q8"/>
      <w:bookmarkEnd w:id="48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83" w:name="xdx_890_eus-gaap--LesseeOperatingLeaseLi"/>
      <w:bookmarkEnd w:id="483"/>
      <w:r>
        <w:rPr>
          <w:rFonts w:ascii="Times New Roman;Times;Serif" w:hAnsi="Times New Roman;Times;Serif"/>
          <w:b w:val="false"/>
          <w:i w:val="false"/>
          <w:caps w:val="false"/>
          <w:smallCaps w:val="false"/>
          <w:sz w:val="20"/>
        </w:rPr>
        <w:t>Future lease payments included in the measurement of lease liabilities on the balance sheet at June 30, 2025 for future periods are as follows:</w:t>
      </w:r>
    </w:p>
    <w:p>
      <w:pPr>
        <w:pStyle w:val="TextBody"/>
        <w:bidi w:val="0"/>
        <w:spacing w:before="0" w:after="0"/>
        <w:jc w:val="both"/>
        <w:rPr>
          <w:caps w:val="false"/>
          <w:smallCaps w:val="false"/>
        </w:rPr>
      </w:pPr>
      <w:r>
        <w:rPr>
          <w:caps w:val="false"/>
          <w:smallCaps w:val="false"/>
        </w:rPr>
        <w:t> </w:t>
      </w:r>
      <w:bookmarkStart w:id="484" w:name="xdx_8BE_zxg6qcodM2Tk"/>
      <w:bookmarkEnd w:id="484"/>
      <w:r>
        <w:rPr>
          <w:rFonts w:ascii="Times New Roman;Times;Serif" w:hAnsi="Times New Roman;Times;Serif"/>
          <w:b w:val="false"/>
          <w:i w:val="false"/>
          <w:caps w:val="false"/>
          <w:smallCaps w:val="false"/>
          <w:sz w:val="20"/>
        </w:rPr>
        <w:t>SCHEDULE OF OPERATING LEASE, LIABILITY, TO BE PAID, MATURITY</w:t>
      </w:r>
    </w:p>
    <w:tbl>
      <w:tblPr>
        <w:tblW w:w="4535" w:type="dxa"/>
        <w:jc w:val="left"/>
        <w:tblInd w:w="0" w:type="dxa"/>
        <w:tblLayout w:type="fixed"/>
        <w:tblCellMar>
          <w:top w:w="0" w:type="dxa"/>
          <w:left w:w="0" w:type="dxa"/>
          <w:bottom w:w="0" w:type="dxa"/>
          <w:right w:w="0" w:type="dxa"/>
        </w:tblCellMar>
      </w:tblPr>
      <w:tblGrid>
        <w:gridCol w:w="3590"/>
        <w:gridCol w:w="60"/>
        <w:gridCol w:w="140"/>
        <w:gridCol w:w="635"/>
        <w:gridCol w:w="110"/>
      </w:tblGrid>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5" w:name="xdx_49F_20250630_z3K1ypo7DXBe"/>
            <w:bookmarkEnd w:id="485"/>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86" w:name="xdx_40E_ecustom--LesseeOperatingLeaseLia"/>
            <w:bookmarkEnd w:id="486"/>
          </w:p>
        </w:tc>
      </w:tr>
      <w:tr>
        <w:trPr/>
        <w:tc>
          <w:tcPr>
            <w:tcW w:w="3590" w:type="dxa"/>
            <w:tcBorders/>
            <w:shd w:fill="CCEEFF" w:val="clear"/>
            <w:vAlign w:val="center"/>
          </w:tcPr>
          <w:p>
            <w:pPr>
              <w:pStyle w:val="TableContents"/>
              <w:bidi w:val="0"/>
              <w:spacing w:before="0" w:after="283"/>
              <w:jc w:val="left"/>
              <w:rPr/>
            </w:pPr>
            <w:r>
              <w:rPr/>
              <w:t>2025 (6 months)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258</w:t>
            </w:r>
          </w:p>
        </w:tc>
        <w:tc>
          <w:tcPr>
            <w:tcW w:w="110" w:type="dxa"/>
            <w:tcBorders/>
            <w:shd w:fill="CCEEFF" w:val="clear"/>
            <w:vAlign w:val="center"/>
          </w:tcPr>
          <w:p>
            <w:pPr>
              <w:pStyle w:val="TableContents"/>
              <w:bidi w:val="0"/>
              <w:spacing w:before="0" w:after="283"/>
              <w:jc w:val="left"/>
              <w:rPr/>
            </w:pPr>
            <w:r>
              <w:rPr/>
              <w:t> </w:t>
            </w:r>
            <w:bookmarkStart w:id="487" w:name="xdx_40D_eus-gaap--LesseeOperatingLeaseLi"/>
            <w:bookmarkEnd w:id="487"/>
          </w:p>
        </w:tc>
      </w:tr>
      <w:tr>
        <w:trPr/>
        <w:tc>
          <w:tcPr>
            <w:tcW w:w="359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507</w:t>
            </w:r>
          </w:p>
        </w:tc>
        <w:tc>
          <w:tcPr>
            <w:tcW w:w="110" w:type="dxa"/>
            <w:tcBorders/>
            <w:shd w:fill="FFFFFF" w:val="clear"/>
            <w:vAlign w:val="center"/>
          </w:tcPr>
          <w:p>
            <w:pPr>
              <w:pStyle w:val="TableContents"/>
              <w:bidi w:val="0"/>
              <w:spacing w:before="0" w:after="283"/>
              <w:jc w:val="left"/>
              <w:rPr/>
            </w:pPr>
            <w:r>
              <w:rPr/>
              <w:t> </w:t>
            </w:r>
            <w:bookmarkStart w:id="488" w:name="xdx_401_eus-gaap--LesseeOperatingLeaseLi"/>
            <w:bookmarkEnd w:id="488"/>
          </w:p>
        </w:tc>
      </w:tr>
      <w:tr>
        <w:trPr/>
        <w:tc>
          <w:tcPr>
            <w:tcW w:w="359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522</w:t>
            </w:r>
          </w:p>
        </w:tc>
        <w:tc>
          <w:tcPr>
            <w:tcW w:w="110" w:type="dxa"/>
            <w:tcBorders/>
            <w:shd w:fill="CCEEFF" w:val="clear"/>
            <w:vAlign w:val="center"/>
          </w:tcPr>
          <w:p>
            <w:pPr>
              <w:pStyle w:val="TableContents"/>
              <w:bidi w:val="0"/>
              <w:spacing w:before="0" w:after="283"/>
              <w:jc w:val="left"/>
              <w:rPr/>
            </w:pPr>
            <w:r>
              <w:rPr/>
              <w:t> </w:t>
            </w:r>
            <w:bookmarkStart w:id="489" w:name="xdx_40D_eus-gaap--LesseeOperatingLeaseLi"/>
            <w:bookmarkEnd w:id="489"/>
          </w:p>
        </w:tc>
      </w:tr>
      <w:tr>
        <w:trPr/>
        <w:tc>
          <w:tcPr>
            <w:tcW w:w="359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538</w:t>
            </w:r>
          </w:p>
        </w:tc>
        <w:tc>
          <w:tcPr>
            <w:tcW w:w="110" w:type="dxa"/>
            <w:tcBorders/>
            <w:shd w:fill="FFFFFF" w:val="clear"/>
            <w:vAlign w:val="center"/>
          </w:tcPr>
          <w:p>
            <w:pPr>
              <w:pStyle w:val="TableContents"/>
              <w:bidi w:val="0"/>
              <w:spacing w:before="0" w:after="283"/>
              <w:jc w:val="left"/>
              <w:rPr/>
            </w:pPr>
            <w:r>
              <w:rPr/>
              <w:t> </w:t>
            </w:r>
            <w:bookmarkStart w:id="490" w:name="xdx_404_eus-gaap--LesseeOperatingLeaseLi"/>
            <w:bookmarkEnd w:id="490"/>
          </w:p>
        </w:tc>
      </w:tr>
      <w:tr>
        <w:trPr/>
        <w:tc>
          <w:tcPr>
            <w:tcW w:w="359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554</w:t>
            </w:r>
          </w:p>
        </w:tc>
        <w:tc>
          <w:tcPr>
            <w:tcW w:w="110" w:type="dxa"/>
            <w:tcBorders/>
            <w:shd w:fill="CCEEFF" w:val="clear"/>
            <w:vAlign w:val="center"/>
          </w:tcPr>
          <w:p>
            <w:pPr>
              <w:pStyle w:val="TableContents"/>
              <w:bidi w:val="0"/>
              <w:spacing w:before="0" w:after="283"/>
              <w:jc w:val="left"/>
              <w:rPr/>
            </w:pPr>
            <w:r>
              <w:rPr/>
              <w:t> </w:t>
            </w:r>
            <w:bookmarkStart w:id="491" w:name="xdx_40D_ecustom--LesseeOperatingLeaseLia"/>
            <w:bookmarkEnd w:id="491"/>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717</w:t>
            </w:r>
          </w:p>
        </w:tc>
        <w:tc>
          <w:tcPr>
            <w:tcW w:w="110" w:type="dxa"/>
            <w:tcBorders/>
            <w:shd w:fill="FFFFFF" w:val="clear"/>
            <w:vAlign w:val="center"/>
          </w:tcPr>
          <w:p>
            <w:pPr>
              <w:pStyle w:val="TableContents"/>
              <w:bidi w:val="0"/>
              <w:spacing w:before="0" w:after="283"/>
              <w:jc w:val="left"/>
              <w:rPr/>
            </w:pPr>
            <w:r>
              <w:rPr/>
              <w:t> </w:t>
            </w:r>
            <w:bookmarkStart w:id="492" w:name="xdx_405_eus-gaap--LesseeOperatingLeaseLi"/>
            <w:bookmarkEnd w:id="492"/>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3,096</w:t>
            </w:r>
          </w:p>
        </w:tc>
        <w:tc>
          <w:tcPr>
            <w:tcW w:w="110" w:type="dxa"/>
            <w:tcBorders/>
            <w:shd w:fill="CCEEFF" w:val="clear"/>
            <w:vAlign w:val="center"/>
          </w:tcPr>
          <w:p>
            <w:pPr>
              <w:pStyle w:val="TableContents"/>
              <w:bidi w:val="0"/>
              <w:spacing w:before="0" w:after="283"/>
              <w:jc w:val="left"/>
              <w:rPr/>
            </w:pPr>
            <w:r>
              <w:rPr/>
              <w:t> </w:t>
            </w:r>
            <w:bookmarkStart w:id="493" w:name="xdx_400_eus-gaap--LesseeOperatingLeaseLi"/>
            <w:bookmarkEnd w:id="493"/>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(1,052</w:t>
            </w:r>
          </w:p>
        </w:tc>
        <w:tc>
          <w:tcPr>
            <w:tcW w:w="110" w:type="dxa"/>
            <w:tcBorders/>
            <w:shd w:fill="FFFFFF" w:val="clear"/>
            <w:vAlign w:val="center"/>
          </w:tcPr>
          <w:p>
            <w:pPr>
              <w:pStyle w:val="TableContents"/>
              <w:bidi w:val="0"/>
              <w:spacing w:before="0" w:after="283"/>
              <w:jc w:val="left"/>
              <w:rPr/>
            </w:pPr>
            <w:r>
              <w:rPr/>
              <w:t>)</w:t>
            </w:r>
            <w:bookmarkStart w:id="494" w:name="xdx_40D_eus-gaap--OperatingLeaseLiabilit"/>
            <w:bookmarkEnd w:id="494"/>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2,044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95" w:name="xdx_8AD_zNrL2X5DtjEf"/>
      <w:bookmarkEnd w:id="49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remaining lease term is </w:t>
      </w:r>
      <w:bookmarkStart w:id="496" w:name="xdx_900_eus-gaap--OperatingLeaseWeighted"/>
      <w:bookmarkEnd w:id="496"/>
      <w:r>
        <w:rPr>
          <w:rFonts w:ascii="Times New Roman;Times;Serif" w:hAnsi="Times New Roman;Times;Serif"/>
          <w:b w:val="false"/>
          <w:i w:val="false"/>
          <w:caps w:val="false"/>
          <w:smallCaps w:val="false"/>
          <w:sz w:val="20"/>
        </w:rPr>
        <w:t xml:space="preserve">5.73 years, and the weighted average discount rate is </w:t>
      </w:r>
      <w:bookmarkStart w:id="497" w:name="xdx_901_eus-gaap--OperatingLeaseWeighted"/>
      <w:bookmarkEnd w:id="497"/>
      <w:r>
        <w:rPr>
          <w:rFonts w:ascii="Times New Roman;Times;Serif" w:hAnsi="Times New Roman;Times;Serif"/>
          <w:b w:val="false"/>
          <w:i w:val="false"/>
          <w:caps w:val="false"/>
          <w:smallCaps w:val="false"/>
          <w:sz w:val="20"/>
        </w:rPr>
        <w:t>15.00%</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leases contain provisions for payment of real estate taxes, insurance and maintenance costs by the Company. These expenses are treated as variable lease payments and recognized in the period in which the obligation for those payments was incurred. The Company had $</w:t>
      </w:r>
      <w:bookmarkStart w:id="498" w:name="xdx_90C_eus-gaap--VariableLeaseCost_pn3n"/>
      <w:bookmarkEnd w:id="498"/>
      <w:r>
        <w:rPr>
          <w:rFonts w:ascii="Times New Roman;Times;Serif" w:hAnsi="Times New Roman;Times;Serif"/>
          <w:b w:val="false"/>
          <w:i w:val="false"/>
          <w:caps w:val="false"/>
          <w:smallCaps w:val="false"/>
          <w:sz w:val="20"/>
        </w:rPr>
        <w:t>17 and $</w:t>
      </w:r>
      <w:bookmarkStart w:id="499" w:name="xdx_907_eus-gaap--VariableLeaseCost_pn3n"/>
      <w:bookmarkEnd w:id="499"/>
      <w:r>
        <w:rPr>
          <w:rFonts w:ascii="Times New Roman;Times;Serif" w:hAnsi="Times New Roman;Times;Serif"/>
          <w:b w:val="false"/>
          <w:i w:val="false"/>
          <w:caps w:val="false"/>
          <w:smallCaps w:val="false"/>
          <w:sz w:val="20"/>
        </w:rPr>
        <w:t>31 variable lease expenses for the three and six months ended June 30, 2025, respectively, and $</w:t>
      </w:r>
      <w:bookmarkStart w:id="500" w:name="xdx_907_eus-gaap--VariableLeaseCost_pn3n"/>
      <w:bookmarkEnd w:id="500"/>
      <w:r>
        <w:rPr>
          <w:rFonts w:ascii="Times New Roman;Times;Serif" w:hAnsi="Times New Roman;Times;Serif"/>
          <w:b w:val="false"/>
          <w:i w:val="false"/>
          <w:caps w:val="false"/>
          <w:smallCaps w:val="false"/>
          <w:sz w:val="20"/>
        </w:rPr>
        <w:t>14 and $</w:t>
      </w:r>
      <w:bookmarkStart w:id="501" w:name="xdx_90F_eus-gaap--VariableLeaseCost_pn3n"/>
      <w:bookmarkEnd w:id="501"/>
      <w:r>
        <w:rPr>
          <w:rFonts w:ascii="Times New Roman;Times;Serif" w:hAnsi="Times New Roman;Times;Serif"/>
          <w:b w:val="false"/>
          <w:i w:val="false"/>
          <w:caps w:val="false"/>
          <w:smallCaps w:val="false"/>
          <w:sz w:val="20"/>
        </w:rPr>
        <w:t>24 for the three and six months ended June 30,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502" w:name="xdx_90E_eus-gaap--ShortTermLeaseCost_pn3"/>
      <w:bookmarkEnd w:id="502"/>
      <w:r>
        <w:rPr>
          <w:rFonts w:ascii="Times New Roman;Times;Serif" w:hAnsi="Times New Roman;Times;Serif"/>
          <w:b w:val="false"/>
          <w:i w:val="false"/>
          <w:caps w:val="false"/>
          <w:smallCaps w:val="false"/>
          <w:sz w:val="20"/>
        </w:rPr>
        <w:t>0 and $</w:t>
      </w:r>
      <w:bookmarkStart w:id="503" w:name="xdx_90E_eus-gaap--ShortTermLeaseCost_pn3"/>
      <w:bookmarkEnd w:id="503"/>
      <w:r>
        <w:rPr>
          <w:rFonts w:ascii="Times New Roman;Times;Serif" w:hAnsi="Times New Roman;Times;Serif"/>
          <w:b w:val="false"/>
          <w:i w:val="false"/>
          <w:caps w:val="false"/>
          <w:smallCaps w:val="false"/>
          <w:sz w:val="20"/>
        </w:rPr>
        <w:t>0 short-term lease expense for the three and six months ended June 30, 2025, respectively, and $</w:t>
      </w:r>
      <w:bookmarkStart w:id="504" w:name="xdx_903_eus-gaap--ShortTermLeaseCost_pn3"/>
      <w:bookmarkEnd w:id="504"/>
      <w:r>
        <w:rPr>
          <w:rFonts w:ascii="Times New Roman;Times;Serif" w:hAnsi="Times New Roman;Times;Serif"/>
          <w:b w:val="false"/>
          <w:i w:val="false"/>
          <w:caps w:val="false"/>
          <w:smallCaps w:val="false"/>
          <w:sz w:val="20"/>
        </w:rPr>
        <w:t>4 and $</w:t>
      </w:r>
      <w:bookmarkStart w:id="505" w:name="xdx_908_eus-gaap--ShortTermLeaseCost_pn3"/>
      <w:bookmarkEnd w:id="505"/>
      <w:r>
        <w:rPr>
          <w:rFonts w:ascii="Times New Roman;Times;Serif" w:hAnsi="Times New Roman;Times;Serif"/>
          <w:b w:val="false"/>
          <w:i w:val="false"/>
          <w:caps w:val="false"/>
          <w:smallCaps w:val="false"/>
          <w:sz w:val="20"/>
        </w:rPr>
        <w:t>15 for the three and six months ended June 30, 2024, respectively. The Company does not have any finance leases.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06" w:name="xdx_80A_eus-gaap--StockholdersEquityNote"/>
      <w:bookmarkEnd w:id="506"/>
      <w:r>
        <w:rPr>
          <w:rFonts w:ascii="Times New Roman;Times;Serif" w:hAnsi="Times New Roman;Times;Serif"/>
          <w:b/>
          <w:i w:val="false"/>
          <w:caps w:val="false"/>
          <w:smallCaps w:val="false"/>
          <w:sz w:val="20"/>
        </w:rPr>
        <w:t xml:space="preserve">10. </w:t>
      </w:r>
      <w:bookmarkStart w:id="507" w:name="xdx_827_zr8JJlKe54Vb"/>
      <w:bookmarkEnd w:id="507"/>
      <w:r>
        <w:rPr>
          <w:rFonts w:ascii="Times New Roman;Times;Serif" w:hAnsi="Times New Roman;Times;Serif"/>
          <w:b/>
          <w:i w:val="false"/>
          <w:caps w:val="false"/>
          <w:smallCaps w:val="false"/>
          <w:sz w:val="20"/>
        </w:rPr>
        <w:t>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authorized capital consists of </w:t>
      </w:r>
      <w:bookmarkStart w:id="508" w:name="xdx_90B_eus-gaap--CommonStockSharesAutho"/>
      <w:bookmarkEnd w:id="508"/>
      <w:r>
        <w:rPr>
          <w:rFonts w:ascii="Times New Roman;Times;Serif" w:hAnsi="Times New Roman;Times;Serif"/>
          <w:b w:val="false"/>
          <w:i w:val="false"/>
          <w:caps w:val="false"/>
          <w:smallCaps w:val="false"/>
          <w:sz w:val="20"/>
        </w:rPr>
        <w:t xml:space="preserve">150,000,000 shares of Common Stock and </w:t>
      </w:r>
      <w:bookmarkStart w:id="509" w:name="xdx_90B_eus-gaap--PreferredStockSharesAu"/>
      <w:bookmarkEnd w:id="509"/>
      <w:r>
        <w:rPr>
          <w:rFonts w:ascii="Times New Roman;Times;Serif" w:hAnsi="Times New Roman;Times;Serif"/>
          <w:b w:val="false"/>
          <w:i w:val="false"/>
          <w:caps w:val="false"/>
          <w:smallCaps w:val="false"/>
          <w:sz w:val="20"/>
        </w:rPr>
        <w:t>5,000,000 shares of preferred stock, par value $</w:t>
      </w:r>
      <w:bookmarkStart w:id="510" w:name="xdx_90D_eus-gaap--PreferredStockParOrSta"/>
      <w:bookmarkEnd w:id="510"/>
      <w:r>
        <w:rPr>
          <w:rFonts w:ascii="Times New Roman;Times;Serif" w:hAnsi="Times New Roman;Times;Serif"/>
          <w:b w:val="false"/>
          <w:i w:val="false"/>
          <w:caps w:val="false"/>
          <w:smallCaps w:val="false"/>
          <w:sz w:val="20"/>
        </w:rPr>
        <w:t xml:space="preserve">0.0001 per share (“Preferred Stock”), of which </w:t>
      </w:r>
      <w:bookmarkStart w:id="511" w:name="xdx_90B_eus-gaap--PreferredStockSharesAu"/>
      <w:bookmarkEnd w:id="511"/>
      <w:r>
        <w:rPr>
          <w:rFonts w:ascii="Times New Roman;Times;Serif" w:hAnsi="Times New Roman;Times;Serif"/>
          <w:b w:val="false"/>
          <w:i w:val="false"/>
          <w:caps w:val="false"/>
          <w:smallCaps w:val="false"/>
          <w:sz w:val="20"/>
        </w:rPr>
        <w:t>10,000 are designated as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 2023, the Company filed the Certificate of Designations of the Series a Preferred Stock (the “Certificate of Designations”) with the Secretary of State of the State of Delaware, designating </w:t>
      </w:r>
      <w:bookmarkStart w:id="512" w:name="xdx_905_eus-gaap--PreferredStockSharesAu"/>
      <w:bookmarkEnd w:id="512"/>
      <w:r>
        <w:rPr>
          <w:rFonts w:ascii="Times New Roman;Times;Serif" w:hAnsi="Times New Roman;Times;Serif"/>
          <w:b w:val="false"/>
          <w:i w:val="false"/>
          <w:caps w:val="false"/>
          <w:smallCaps w:val="false"/>
          <w:sz w:val="20"/>
        </w:rPr>
        <w:t>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w:t>
      </w:r>
      <w:bookmarkStart w:id="513" w:name="xdx_90D_eus-gaap--PreferredStockConverti"/>
      <w:bookmarkEnd w:id="513"/>
      <w:r>
        <w:rPr>
          <w:rFonts w:ascii="Times New Roman;Times;Serif" w:hAnsi="Times New Roman;Times;Serif"/>
          <w:b w:val="false"/>
          <w:i w:val="false"/>
          <w:caps w:val="false"/>
          <w:smallCaps w:val="false"/>
          <w:sz w:val="20"/>
        </w:rPr>
        <w:t>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Series A Preferred Stock are entitled to dividends of </w:t>
      </w:r>
      <w:bookmarkStart w:id="514" w:name="xdx_90C_eus-gaap--PreferredStockDividend"/>
      <w:bookmarkEnd w:id="514"/>
      <w:r>
        <w:rPr>
          <w:rFonts w:ascii="Times New Roman;Times;Serif" w:hAnsi="Times New Roman;Times;Serif"/>
          <w:b w:val="false"/>
          <w:i w:val="false"/>
          <w:caps w:val="false"/>
          <w:smallCaps w:val="false"/>
          <w:sz w:val="20"/>
        </w:rPr>
        <w:t xml:space="preserve">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w:t>
      </w:r>
      <w:bookmarkStart w:id="515" w:name="xdx_902_eus-gaap--PreferredStockDividend"/>
      <w:bookmarkEnd w:id="515"/>
      <w:r>
        <w:rPr>
          <w:rFonts w:ascii="Times New Roman;Times;Serif" w:hAnsi="Times New Roman;Times;Serif"/>
          <w:b w:val="false"/>
          <w:i w:val="false"/>
          <w:caps w:val="false"/>
          <w:smallCaps w:val="false"/>
          <w:sz w:val="20"/>
        </w:rPr>
        <w:t xml:space="preserve">20% per annum. If the Company elects to pay any dividends in shares of Common Stock, </w:t>
      </w:r>
      <w:bookmarkStart w:id="516" w:name="xdx_90D_eus-gaap--CommonStockConversionF"/>
      <w:bookmarkEnd w:id="516"/>
      <w:r>
        <w:rPr>
          <w:rFonts w:ascii="Times New Roman;Times;Serif" w:hAnsi="Times New Roman;Times;Serif"/>
          <w:b w:val="false"/>
          <w:i w:val="false"/>
          <w:caps w:val="false"/>
          <w:smallCaps w:val="false"/>
          <w:sz w:val="20"/>
        </w:rPr>
        <w:t>the Conversion Price used to calculate the number of shares issuable will be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w:t>
      </w:r>
      <w:bookmarkStart w:id="517" w:name="xdx_900_eus-gaap--CommonStockConvertible"/>
      <w:bookmarkEnd w:id="517"/>
      <w:r>
        <w:rPr>
          <w:rFonts w:ascii="Times New Roman;Times;Serif" w:hAnsi="Times New Roman;Times;Serif"/>
          <w:b w:val="false"/>
          <w:i w:val="false"/>
          <w:caps w:val="false"/>
          <w:smallCaps w:val="false"/>
          <w:sz w:val="20"/>
        </w:rPr>
        <w:t>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(as described below), and (ii) the Company’s right to redeem, all or a portion, of the Series A Preferred Stock outstanding pursuant to an optional redemption (as described below), in each case, pursuant to the terms of the Certificate of Designations.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August 2024 Certificate of Amendment, the Company may require holders to convert their shares of Series A Preferred Stock into shares of Common Stock if the closing price of the Company’s Common Stock exceeds $</w:t>
      </w:r>
      <w:bookmarkStart w:id="518" w:name="xdx_900_ecustom--PreferredStockConvertib"/>
      <w:bookmarkEnd w:id="518"/>
      <w:r>
        <w:rPr>
          <w:rFonts w:ascii="Times New Roman;Times;Serif" w:hAnsi="Times New Roman;Times;Serif"/>
          <w:b w:val="false"/>
          <w:i w:val="false"/>
          <w:caps w:val="false"/>
          <w:smallCaps w:val="false"/>
          <w:sz w:val="20"/>
        </w:rPr>
        <w:t>8.00 per share (subject to adjustment for stock splits, stock dividends, stock combinations, recapitalizations or other similar events) for 20 consecutive trading days and the daily dollar trading volume of the Common Stock exceeds $</w:t>
      </w:r>
      <w:bookmarkStart w:id="519" w:name="xdx_90A_ecustom--PreferredStockConvertib"/>
      <w:bookmarkEnd w:id="519"/>
      <w:r>
        <w:rPr>
          <w:rFonts w:ascii="Times New Roman;Times;Serif" w:hAnsi="Times New Roman;Times;Serif"/>
          <w:b w:val="false"/>
          <w:i w:val="false"/>
          <w:caps w:val="false"/>
          <w:smallCaps w:val="false"/>
          <w:sz w:val="20"/>
        </w:rPr>
        <w:t>2,000,000 per day during the same period, provided that certain equity conditions described in the Certificate of Designations are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August 2024 Certificate of Amendment, 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Certificate of Designations are satisfied, </w:t>
      </w:r>
      <w:bookmarkStart w:id="520" w:name="xdx_903_eus-gaap--PreferredStockRedempti"/>
      <w:bookmarkEnd w:id="520"/>
      <w:r>
        <w:rPr>
          <w:rFonts w:ascii="Times New Roman;Times;Serif" w:hAnsi="Times New Roman;Times;Serif"/>
          <w:b w:val="false"/>
          <w:i w:val="false"/>
          <w:caps w:val="false"/>
          <w:smallCaps w:val="false"/>
          <w:sz w:val="20"/>
        </w:rPr>
        <w:t>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w:t>
      </w:r>
      <w:bookmarkStart w:id="521" w:name="xdx_905_eus-gaap--PreferredStockConverti"/>
      <w:bookmarkEnd w:id="521"/>
      <w:r>
        <w:rPr>
          <w:rFonts w:ascii="Times New Roman;Times;Serif" w:hAnsi="Times New Roman;Times;Serif"/>
          <w:b w:val="false"/>
          <w:i w:val="false"/>
          <w:caps w:val="false"/>
          <w:smallCaps w:val="false"/>
          <w:sz w:val="20"/>
        </w:rPr>
        <w:t>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w:t>
      </w:r>
      <w:bookmarkStart w:id="522" w:name="xdx_90F_eus-gaap--PreferredStockDividend"/>
      <w:bookmarkEnd w:id="522"/>
      <w:r>
        <w:rPr>
          <w:rFonts w:ascii="Times New Roman;Times;Serif" w:hAnsi="Times New Roman;Times;Serif"/>
          <w:b w:val="false"/>
          <w:i w:val="false"/>
          <w:caps w:val="false"/>
          <w:smallCaps w:val="false"/>
          <w:sz w:val="20"/>
        </w:rPr>
        <w:t>20% per annum. The Certificate of Amendment became effective with the Secretary of State on December 6,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issuance, $</w:t>
      </w:r>
      <w:bookmarkStart w:id="523" w:name="xdx_90B_eus-gaap--ProceedsFromIssuanceOf"/>
      <w:bookmarkEnd w:id="523"/>
      <w:r>
        <w:rPr>
          <w:rFonts w:ascii="Times New Roman;Times;Serif" w:hAnsi="Times New Roman;Times;Serif"/>
          <w:b w:val="false"/>
          <w:i w:val="false"/>
          <w:caps w:val="false"/>
          <w:smallCaps w:val="false"/>
          <w:sz w:val="20"/>
        </w:rPr>
        <w:t xml:space="preserve">2,036 of the net proceeds less transaction cost of the Series A Purchase Agreement was allocated to the </w:t>
      </w:r>
      <w:bookmarkStart w:id="524" w:name="xdx_908_eus-gaap--SharesIssued_iI_pid_c2"/>
      <w:bookmarkEnd w:id="524"/>
      <w:r>
        <w:rPr>
          <w:rFonts w:ascii="Times New Roman;Times;Serif" w:hAnsi="Times New Roman;Times;Serif"/>
          <w:b w:val="false"/>
          <w:i w:val="false"/>
          <w:caps w:val="false"/>
          <w:smallCaps w:val="false"/>
          <w:sz w:val="20"/>
        </w:rPr>
        <w:t xml:space="preserve">10,000 shares of Series A Preferred Stock initially issued. As of December 31, 2024, a total of </w:t>
      </w:r>
      <w:bookmarkStart w:id="525" w:name="xdx_902_eus-gaap--ConversionOfStockShare"/>
      <w:bookmarkEnd w:id="525"/>
      <w:r>
        <w:rPr>
          <w:rFonts w:ascii="Times New Roman;Times;Serif" w:hAnsi="Times New Roman;Times;Serif"/>
          <w:b w:val="false"/>
          <w:i w:val="false"/>
          <w:caps w:val="false"/>
          <w:smallCaps w:val="false"/>
          <w:sz w:val="20"/>
        </w:rPr>
        <w:t xml:space="preserve">1,793 shares of Series A Preferred Stock were converted into approximately </w:t>
      </w:r>
      <w:bookmarkStart w:id="526" w:name="xdx_907_eus-gaap--ConversionOfStockShare"/>
      <w:bookmarkEnd w:id="526"/>
      <w:r>
        <w:rPr>
          <w:rFonts w:ascii="Times New Roman;Times;Serif" w:hAnsi="Times New Roman;Times;Serif"/>
          <w:b w:val="false"/>
          <w:i w:val="false"/>
          <w:caps w:val="false"/>
          <w:smallCaps w:val="false"/>
          <w:sz w:val="20"/>
        </w:rPr>
        <w:t xml:space="preserve">1,468,000 shares of Common Stock. There were </w:t>
      </w:r>
      <w:bookmarkStart w:id="527" w:name="xdx_90A_eus-gaap--ConversionOfStockShare"/>
      <w:bookmarkEnd w:id="527"/>
      <w:r>
        <w:rPr>
          <w:rFonts w:ascii="Times New Roman;Times;Serif" w:hAnsi="Times New Roman;Times;Serif"/>
          <w:b w:val="false"/>
          <w:i w:val="false"/>
          <w:caps w:val="false"/>
          <w:smallCaps w:val="false"/>
          <w:sz w:val="20"/>
        </w:rPr>
        <w:t>no additional conversions in the six months end June 30, 2025. As of June 30, 2025, the Company has authorized, declared and paid $</w:t>
      </w:r>
      <w:bookmarkStart w:id="528" w:name="xdx_900_eus-gaap--Dividends_pn3n3_c20250"/>
      <w:bookmarkEnd w:id="528"/>
      <w:r>
        <w:rPr>
          <w:rFonts w:ascii="Times New Roman;Times;Serif" w:hAnsi="Times New Roman;Times;Serif"/>
          <w:b w:val="false"/>
          <w:i w:val="false"/>
          <w:caps w:val="false"/>
          <w:smallCaps w:val="false"/>
          <w:sz w:val="20"/>
        </w:rPr>
        <w:t>328 in dividends in the form of shares of the Company’s Common Stock during the six months ended June 30, 2025. For the six months ended June 30, 2024, authorized and declared dividends totaling $</w:t>
      </w:r>
      <w:bookmarkStart w:id="529" w:name="xdx_907_eus-gaap--Dividends_pn3n3_c20240"/>
      <w:bookmarkEnd w:id="529"/>
      <w:r>
        <w:rPr>
          <w:rFonts w:ascii="Times New Roman;Times;Serif" w:hAnsi="Times New Roman;Times;Serif"/>
          <w:b w:val="false"/>
          <w:i w:val="false"/>
          <w:caps w:val="false"/>
          <w:smallCaps w:val="false"/>
          <w:sz w:val="20"/>
        </w:rPr>
        <w:t>189, of which $</w:t>
      </w:r>
      <w:bookmarkStart w:id="530" w:name="xdx_904_eus-gaap--DividendsPreferredStoc"/>
      <w:bookmarkEnd w:id="530"/>
      <w:r>
        <w:rPr>
          <w:rFonts w:ascii="Times New Roman;Times;Serif" w:hAnsi="Times New Roman;Times;Serif"/>
          <w:b w:val="false"/>
          <w:i w:val="false"/>
          <w:caps w:val="false"/>
          <w:smallCaps w:val="false"/>
          <w:sz w:val="20"/>
        </w:rPr>
        <w:t>60 was paid in cash, $</w:t>
      </w:r>
      <w:bookmarkStart w:id="531" w:name="xdx_900_eus-gaap--DividendsCommonStockSt"/>
      <w:bookmarkEnd w:id="531"/>
      <w:r>
        <w:rPr>
          <w:rFonts w:ascii="Times New Roman;Times;Serif" w:hAnsi="Times New Roman;Times;Serif"/>
          <w:b w:val="false"/>
          <w:i w:val="false"/>
          <w:caps w:val="false"/>
          <w:smallCaps w:val="false"/>
          <w:sz w:val="20"/>
        </w:rPr>
        <w:t>129 was paid in shares of the Company’s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2" w:name="xdx_808_eus-gaap--DisclosureOfCompensati"/>
      <w:bookmarkEnd w:id="532"/>
      <w:r>
        <w:rPr>
          <w:rFonts w:ascii="Times New Roman;Times;Serif" w:hAnsi="Times New Roman;Times;Serif"/>
          <w:b/>
          <w:i w:val="false"/>
          <w:caps w:val="false"/>
          <w:smallCaps w:val="false"/>
          <w:sz w:val="20"/>
        </w:rPr>
        <w:t xml:space="preserve">11. </w:t>
      </w:r>
      <w:bookmarkStart w:id="533" w:name="xdx_825_z6m0XaeclZqe"/>
      <w:bookmarkEnd w:id="533"/>
      <w:r>
        <w:rPr>
          <w:rFonts w:ascii="Times New Roman;Times;Serif" w:hAnsi="Times New Roman;Times;Serif"/>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2017</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adopted, and the Company’s stockholders approved, the Wrap Technologies, Inc. 2017 Equity Incentive Plan (the “2017 Plan”), which was adopted by the Board on November 12, 2024, subject to stockholder approval. Under the 2017 Plan as originally adopted, the Company initially reserved </w:t>
      </w:r>
      <w:bookmarkStart w:id="534" w:name="xdx_90E_eus-gaap--SharesIssued_iI_pid_c2"/>
      <w:bookmarkEnd w:id="534"/>
      <w:r>
        <w:rPr>
          <w:rFonts w:ascii="Times New Roman;Times;Serif" w:hAnsi="Times New Roman;Times;Serif"/>
          <w:b w:val="false"/>
          <w:i w:val="false"/>
          <w:caps w:val="false"/>
          <w:smallCaps w:val="false"/>
          <w:sz w:val="20"/>
        </w:rPr>
        <w:t xml:space="preserve">2,000,000 shares of Common Stock for issuance as awards under the 2017 Plan. The 2017 Plan was amended by the First Amendment to the 2017 Plan to increase the total number of shares of Common Stock for issuance under the 2017 Plan to </w:t>
      </w:r>
      <w:bookmarkStart w:id="535" w:name="xdx_90D_eus-gaap--SharesIssued_iI_pid_c2"/>
      <w:bookmarkEnd w:id="535"/>
      <w:r>
        <w:rPr>
          <w:rFonts w:ascii="Times New Roman;Times;Serif" w:hAnsi="Times New Roman;Times;Serif"/>
          <w:b w:val="false"/>
          <w:i w:val="false"/>
          <w:caps w:val="false"/>
          <w:smallCaps w:val="false"/>
          <w:sz w:val="20"/>
        </w:rPr>
        <w:t xml:space="preserve">4,100,000 shares, which was adopted by the Board on March 16, 2019, and by stockholders on May 23, 2019. The 2017 Plan was also amended by the Second Amendment to the 2017 Plan to increase the total number of shares of Common Stock for issuance under the 2017 Plan to </w:t>
      </w:r>
      <w:bookmarkStart w:id="536" w:name="xdx_90B_eus-gaap--SharesIssued_iI_pid_c2"/>
      <w:bookmarkEnd w:id="536"/>
      <w:r>
        <w:rPr>
          <w:rFonts w:ascii="Times New Roman;Times;Serif" w:hAnsi="Times New Roman;Times;Serif"/>
          <w:b w:val="false"/>
          <w:i w:val="false"/>
          <w:caps w:val="false"/>
          <w:smallCaps w:val="false"/>
          <w:sz w:val="20"/>
        </w:rPr>
        <w:t xml:space="preserve">6,000,000 shares which was adopted by the Board on April 8, 2020, and by stockholders on June 5, 2020. The 2017 Plan was also amended by the Third Amendment to the 2017 Plan to increase the total number of shares of Common Stock for issuance under the 2017 Plan to </w:t>
      </w:r>
      <w:bookmarkStart w:id="537" w:name="xdx_907_eus-gaap--SharesIssued_iI_pid_c2"/>
      <w:bookmarkEnd w:id="537"/>
      <w:r>
        <w:rPr>
          <w:rFonts w:ascii="Times New Roman;Times;Serif" w:hAnsi="Times New Roman;Times;Serif"/>
          <w:b w:val="false"/>
          <w:i w:val="false"/>
          <w:caps w:val="false"/>
          <w:smallCaps w:val="false"/>
          <w:sz w:val="20"/>
        </w:rPr>
        <w:t xml:space="preserve">7,500,000 shares which was adopted by the Board on April 23, 2021, and by stockholders on June 22, 2021. The 2017 Plan was also amended by the Fourth Amendment to the 2017 Plan to increase the total number of shares of Common Stock for issuance under the 2017 Plan to </w:t>
      </w:r>
      <w:bookmarkStart w:id="538" w:name="xdx_90B_eus-gaap--SharesIssued_iI_pid_c2"/>
      <w:bookmarkEnd w:id="538"/>
      <w:r>
        <w:rPr>
          <w:rFonts w:ascii="Times New Roman;Times;Serif" w:hAnsi="Times New Roman;Times;Serif"/>
          <w:b w:val="false"/>
          <w:i w:val="false"/>
          <w:caps w:val="false"/>
          <w:smallCaps w:val="false"/>
          <w:sz w:val="20"/>
        </w:rPr>
        <w:t xml:space="preserve">9,000,000 shares which was adopted by the Board on April 22, 2022, and by our stockholders on June 23, 2022.The 2017 Plan was amended by the Fifth Amendment to the 2017 Plan to increase the total number of shares of Common Stock for issuance under the 2017 Plan to </w:t>
      </w:r>
      <w:bookmarkStart w:id="539" w:name="xdx_908_eus-gaap--SharesIssued_iI_pid_c2"/>
      <w:bookmarkEnd w:id="539"/>
      <w:r>
        <w:rPr>
          <w:rFonts w:ascii="Times New Roman;Times;Serif" w:hAnsi="Times New Roman;Times;Serif"/>
          <w:b w:val="false"/>
          <w:i w:val="false"/>
          <w:caps w:val="false"/>
          <w:smallCaps w:val="false"/>
          <w:sz w:val="20"/>
        </w:rPr>
        <w:t>16,500,000 shares which was adopted by the Board on November 12, 2024, and by our stockholders on December 23, 2024.</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there were </w:t>
      </w:r>
      <w:bookmarkStart w:id="540" w:name="xdx_90B_eus-gaap--ShareBasedCompensation"/>
      <w:bookmarkEnd w:id="540"/>
      <w:r>
        <w:rPr>
          <w:rFonts w:ascii="Times New Roman;Times;Serif" w:hAnsi="Times New Roman;Times;Serif"/>
          <w:b w:val="false"/>
          <w:i w:val="false"/>
          <w:caps w:val="false"/>
          <w:smallCaps w:val="false"/>
          <w:sz w:val="20"/>
        </w:rPr>
        <w:t>4,004,187 shares of Common Stock remaining available for grant under the 2017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41" w:name="xdx_899_eus-gaap--ScheduleOfShareBasedCo"/>
      <w:bookmarkEnd w:id="541"/>
      <w:r>
        <w:rPr>
          <w:rFonts w:ascii="Times New Roman;Times;Serif" w:hAnsi="Times New Roman;Times;Serif"/>
          <w:b w:val="false"/>
          <w:i w:val="false"/>
          <w:caps w:val="false"/>
          <w:smallCaps w:val="false"/>
          <w:sz w:val="20"/>
        </w:rPr>
        <w:t>The following table summarizes stock option activity for the six months ended June 30, 2025:</w:t>
      </w:r>
    </w:p>
    <w:p>
      <w:pPr>
        <w:pStyle w:val="TextBody"/>
        <w:bidi w:val="0"/>
        <w:spacing w:before="0" w:after="0"/>
        <w:jc w:val="both"/>
        <w:rPr>
          <w:caps w:val="false"/>
          <w:smallCaps w:val="false"/>
        </w:rPr>
      </w:pPr>
      <w:r>
        <w:rPr>
          <w:caps w:val="false"/>
          <w:smallCaps w:val="false"/>
        </w:rPr>
        <w:t> </w:t>
      </w:r>
      <w:bookmarkStart w:id="542" w:name="xdx_8B9_zrolGS3h8LVj"/>
      <w:bookmarkEnd w:id="542"/>
      <w:r>
        <w:rPr>
          <w:rFonts w:ascii="Times New Roman;Times;Serif" w:hAnsi="Times New Roman;Times;Serif"/>
          <w:b w:val="false"/>
          <w:i w:val="false"/>
          <w:caps w:val="false"/>
          <w:smallCaps w:val="false"/>
          <w:sz w:val="20"/>
        </w:rPr>
        <w:t>SCHEDULE OF STOCK OPTION ACTIVITY</w:t>
      </w:r>
    </w:p>
    <w:tbl>
      <w:tblPr>
        <w:tblW w:w="7272" w:type="dxa"/>
        <w:jc w:val="left"/>
        <w:tblInd w:w="0" w:type="dxa"/>
        <w:tblLayout w:type="fixed"/>
        <w:tblCellMar>
          <w:top w:w="0" w:type="dxa"/>
          <w:left w:w="0" w:type="dxa"/>
          <w:bottom w:w="0" w:type="dxa"/>
          <w:right w:w="0" w:type="dxa"/>
        </w:tblCellMar>
      </w:tblPr>
      <w:tblGrid>
        <w:gridCol w:w="2765"/>
        <w:gridCol w:w="60"/>
        <w:gridCol w:w="60"/>
        <w:gridCol w:w="980"/>
        <w:gridCol w:w="95"/>
        <w:gridCol w:w="60"/>
        <w:gridCol w:w="222"/>
        <w:gridCol w:w="700"/>
        <w:gridCol w:w="95"/>
        <w:gridCol w:w="95"/>
        <w:gridCol w:w="124"/>
        <w:gridCol w:w="916"/>
        <w:gridCol w:w="60"/>
        <w:gridCol w:w="60"/>
        <w:gridCol w:w="181"/>
        <w:gridCol w:w="724"/>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Weighted 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3" w:name="xdx_98E_eus-gaap--ShareBasedCompensation"/>
            <w:bookmarkEnd w:id="543"/>
          </w:p>
        </w:tc>
        <w:tc>
          <w:tcPr>
            <w:tcW w:w="980" w:type="dxa"/>
            <w:tcBorders/>
            <w:shd w:fill="CCEEFF" w:val="clear"/>
            <w:vAlign w:val="center"/>
          </w:tcPr>
          <w:p>
            <w:pPr>
              <w:pStyle w:val="TableContents"/>
              <w:bidi w:val="0"/>
              <w:spacing w:before="0" w:after="283"/>
              <w:jc w:val="right"/>
              <w:rPr/>
            </w:pPr>
            <w:r>
              <w:rPr/>
              <w:t>3,944,284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bookmarkStart w:id="544" w:name="xdx_984_eus-gaap--ShareBasedCompensation"/>
            <w:bookmarkEnd w:id="544"/>
          </w:p>
        </w:tc>
        <w:tc>
          <w:tcPr>
            <w:tcW w:w="700"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bookmarkStart w:id="545" w:name="xdx_903_eus-gaap--SharebasedCompensation"/>
            <w:bookmarkEnd w:id="545"/>
            <w:r>
              <w:rPr/>
              <w:t>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bookmarkStart w:id="546" w:name="xdx_98D_eus-gaap--ShareBasedCompensation"/>
            <w:bookmarkEnd w:id="546"/>
          </w:p>
        </w:tc>
        <w:tc>
          <w:tcPr>
            <w:tcW w:w="724" w:type="dxa"/>
            <w:tcBorders/>
            <w:shd w:fill="CCEEFF" w:val="clear"/>
            <w:vAlign w:val="center"/>
          </w:tcPr>
          <w:p>
            <w:pPr>
              <w:pStyle w:val="TableContents"/>
              <w:bidi w:val="0"/>
              <w:spacing w:before="0" w:after="283"/>
              <w:jc w:val="right"/>
              <w:rPr/>
            </w:pPr>
            <w:r>
              <w:rPr/>
              <w:t>1,486</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7" w:name="xdx_98B_eus-gaap--ShareBasedCompensation"/>
            <w:bookmarkEnd w:id="547"/>
          </w:p>
        </w:tc>
        <w:tc>
          <w:tcPr>
            <w:tcW w:w="980" w:type="dxa"/>
            <w:tcBorders/>
            <w:shd w:fill="FFFFFF" w:val="clear"/>
            <w:vAlign w:val="center"/>
          </w:tcPr>
          <w:p>
            <w:pPr>
              <w:pStyle w:val="TableContents"/>
              <w:bidi w:val="0"/>
              <w:spacing w:before="0" w:after="283"/>
              <w:jc w:val="right"/>
              <w:rPr/>
            </w:pPr>
            <w:r>
              <w:rPr/>
              <w:t>3,453,927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bookmarkStart w:id="548" w:name="xdx_983_eus-gaap--ShareBasedCompensation"/>
            <w:bookmarkEnd w:id="548"/>
          </w:p>
        </w:tc>
        <w:tc>
          <w:tcPr>
            <w:tcW w:w="700" w:type="dxa"/>
            <w:tcBorders/>
            <w:shd w:fill="FFFFFF" w:val="cle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9" w:name="xdx_980_eus-gaap--StockIssuedDuringPerio"/>
            <w:bookmarkEnd w:id="549"/>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bookmarkStart w:id="550" w:name="xdx_980_eus-gaap--ShareBasedCompensation"/>
            <w:bookmarkEnd w:id="550"/>
          </w:p>
        </w:tc>
        <w:tc>
          <w:tcPr>
            <w:tcW w:w="7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Forfeited, cancelled,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1" w:name="xdx_982_eus-gaap--ShareBasedCompensation"/>
            <w:bookmarkEnd w:id="55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(536,500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2" w:name="xdx_98B_eus-gaap--ShareBasedCompensation"/>
            <w:bookmarkEnd w:id="552"/>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Outstanding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3" w:name="xdx_981_eus-gaap--ShareBasedCompensation"/>
            <w:bookmarkEnd w:id="55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6,861,711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4" w:name="xdx_985_eus-gaap--ShareBasedCompensation"/>
            <w:bookmarkEnd w:id="554"/>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55" w:name="xdx_907_eus-gaap--SharebasedCompensation"/>
            <w:bookmarkEnd w:id="555"/>
            <w:r>
              <w:rPr/>
              <w:t>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6" w:name="xdx_98F_eus-gaap--ShareBasedCompensation"/>
            <w:bookmarkEnd w:id="556"/>
          </w:p>
        </w:tc>
        <w:tc>
          <w:tcPr>
            <w:tcW w:w="724" w:type="dxa"/>
            <w:tcBorders>
              <w:bottom w:val="double" w:sz="6" w:space="0" w:color="000000"/>
            </w:tcBorders>
            <w:shd w:fill="CCEEFF" w:val="clear"/>
            <w:tcMar>
              <w:bottom w:w="28" w:type="dxa"/>
            </w:tcMar>
            <w:vAlign w:val="center"/>
          </w:tcPr>
          <w:p>
            <w:pPr>
              <w:pStyle w:val="TableContents"/>
              <w:bidi w:val="0"/>
              <w:spacing w:before="0" w:after="283"/>
              <w:jc w:val="right"/>
              <w:rPr/>
            </w:pPr>
            <w:r>
              <w:rPr/>
              <w:t>541</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Exercisable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57" w:name="xdx_987_eus-gaap--ShareBasedCompensation"/>
            <w:bookmarkEnd w:id="55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1,419,164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58" w:name="xdx_98E_eus-gaap--ShareBasedCompensation"/>
            <w:bookmarkEnd w:id="558"/>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59" w:name="xdx_904_eus-gaap--SharebasedCompensation"/>
            <w:bookmarkEnd w:id="559"/>
            <w:r>
              <w:rPr/>
              <w:t>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60" w:name="xdx_982_eus-gaap--SharebasedCompensation"/>
            <w:bookmarkEnd w:id="560"/>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pPr>
            <w:r>
              <w:rPr/>
              <w:t>142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61" w:name="xdx_8A9_zPezSlskSJSe"/>
      <w:bookmarkEnd w:id="561"/>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there were </w:t>
      </w:r>
      <w:bookmarkStart w:id="562" w:name="xdx_902_eus-gaap--ShareBasedCompensation"/>
      <w:bookmarkEnd w:id="562"/>
      <w:r>
        <w:rPr>
          <w:rFonts w:ascii="Times New Roman;Times;Serif" w:hAnsi="Times New Roman;Times;Serif"/>
          <w:b w:val="false"/>
          <w:i w:val="false"/>
          <w:caps w:val="false"/>
          <w:smallCaps w:val="false"/>
          <w:sz w:val="20"/>
        </w:rPr>
        <w:t xml:space="preserve">5,571,545 service-based stock options outstanding, and </w:t>
      </w:r>
      <w:bookmarkStart w:id="563" w:name="xdx_90F_eus-gaap--ShareBasedCompensation"/>
      <w:bookmarkEnd w:id="563"/>
      <w:r>
        <w:rPr>
          <w:rFonts w:ascii="Times New Roman;Times;Serif" w:hAnsi="Times New Roman;Times;Serif"/>
          <w:b w:val="false"/>
          <w:i w:val="false"/>
          <w:caps w:val="false"/>
          <w:smallCaps w:val="false"/>
          <w:sz w:val="20"/>
        </w:rPr>
        <w:t>1,290,166 performance-based stock options outstanding which were granted in October 2023 to the Company’s current Chief Executive Officer, subject to vesting based on future market capitalization targets.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64" w:name="xdx_89C_eus-gaap--ScheduleOfShareBasedPa"/>
      <w:bookmarkEnd w:id="564"/>
      <w:r>
        <w:rPr>
          <w:rFonts w:ascii="Times New Roman;Times;Serif" w:hAnsi="Times New Roman;Times;Serif"/>
          <w:b w:val="false"/>
          <w:i w:val="false"/>
          <w:caps w:val="false"/>
          <w:smallCaps w:val="false"/>
          <w:sz w:val="20"/>
        </w:rPr>
        <w:t>The Company uses the Black-Scholes option pricing model to determine the fair value of the service-based options that have been granted. The following table summarizes the assumptions used to compute the fair value of options granted to employees and non-employees:</w:t>
      </w:r>
    </w:p>
    <w:p>
      <w:pPr>
        <w:pStyle w:val="TextBody"/>
        <w:bidi w:val="0"/>
        <w:spacing w:before="0" w:after="0"/>
        <w:jc w:val="both"/>
        <w:rPr>
          <w:caps w:val="false"/>
          <w:smallCaps w:val="false"/>
        </w:rPr>
      </w:pPr>
      <w:r>
        <w:rPr>
          <w:caps w:val="false"/>
          <w:smallCaps w:val="false"/>
        </w:rPr>
        <w:t> </w:t>
      </w:r>
      <w:bookmarkStart w:id="565" w:name="xdx_8B2_zmFsQMJ3Zfhc"/>
      <w:bookmarkEnd w:id="565"/>
      <w:r>
        <w:rPr>
          <w:rFonts w:ascii="Times New Roman;Times;Serif" w:hAnsi="Times New Roman;Times;Serif"/>
          <w:b w:val="false"/>
          <w:i w:val="false"/>
          <w:caps w:val="false"/>
          <w:smallCaps w:val="false"/>
          <w:sz w:val="20"/>
        </w:rPr>
        <w:t>SCHEDULE OF STOCK OPTION ACTIVITY, FAIR VALUE OF ASSUMPTIONS</w:t>
      </w:r>
    </w:p>
    <w:tbl>
      <w:tblPr>
        <w:tblW w:w="8396" w:type="dxa"/>
        <w:jc w:val="left"/>
        <w:tblInd w:w="0" w:type="dxa"/>
        <w:tblLayout w:type="fixed"/>
        <w:tblCellMar>
          <w:top w:w="0" w:type="dxa"/>
          <w:left w:w="0" w:type="dxa"/>
          <w:bottom w:w="0" w:type="dxa"/>
          <w:right w:w="0" w:type="dxa"/>
        </w:tblCellMar>
      </w:tblPr>
      <w:tblGrid>
        <w:gridCol w:w="4475"/>
        <w:gridCol w:w="60"/>
        <w:gridCol w:w="354"/>
        <w:gridCol w:w="1114"/>
        <w:gridCol w:w="544"/>
        <w:gridCol w:w="151"/>
        <w:gridCol w:w="354"/>
        <w:gridCol w:w="1114"/>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3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54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bookmarkStart w:id="566" w:name="xdx_98A_eus-gaap--ShareBasedCompensation"/>
            <w:bookmarkEnd w:id="566"/>
          </w:p>
        </w:tc>
        <w:tc>
          <w:tcPr>
            <w:tcW w:w="1114" w:type="dxa"/>
            <w:tcBorders/>
            <w:shd w:fill="CCEEFF" w:val="clear"/>
            <w:vAlign w:val="center"/>
          </w:tcPr>
          <w:p>
            <w:pPr>
              <w:pStyle w:val="TableContents"/>
              <w:bidi w:val="0"/>
              <w:spacing w:before="0" w:after="283"/>
              <w:jc w:val="right"/>
              <w:rPr/>
            </w:pPr>
            <w:r>
              <w:rPr/>
              <w:t>76</w:t>
            </w:r>
          </w:p>
        </w:tc>
        <w:tc>
          <w:tcPr>
            <w:tcW w:w="544"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bookmarkStart w:id="567" w:name="xdx_98F_eus-gaap--ShareBasedCompensation"/>
            <w:bookmarkEnd w:id="567"/>
          </w:p>
        </w:tc>
        <w:tc>
          <w:tcPr>
            <w:tcW w:w="1114"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bookmarkStart w:id="568" w:name="xdx_98A_eus-gaap--ShareBasedCompensation"/>
            <w:bookmarkEnd w:id="568"/>
          </w:p>
        </w:tc>
        <w:tc>
          <w:tcPr>
            <w:tcW w:w="1114" w:type="dxa"/>
            <w:tcBorders/>
            <w:shd w:fill="FFFFFF" w:val="clear"/>
            <w:vAlign w:val="center"/>
          </w:tcPr>
          <w:p>
            <w:pPr>
              <w:pStyle w:val="TableContents"/>
              <w:bidi w:val="0"/>
              <w:spacing w:before="0" w:after="283"/>
              <w:jc w:val="right"/>
              <w:rPr/>
            </w:pPr>
            <w:r>
              <w:rPr/>
              <w:t>4.06</w:t>
            </w:r>
          </w:p>
        </w:tc>
        <w:tc>
          <w:tcPr>
            <w:tcW w:w="544" w:type="dxa"/>
            <w:tcBorders/>
            <w:shd w:fill="FFFFFF" w:val="clear"/>
            <w:vAlign w:val="center"/>
          </w:tcPr>
          <w:p>
            <w:pPr>
              <w:pStyle w:val="TableContents"/>
              <w:bidi w:val="0"/>
              <w:spacing w:before="0" w:after="283"/>
              <w:jc w:val="left"/>
              <w:rPr/>
            </w:pPr>
            <w:r>
              <w:rPr/>
              <w:t>%</w:t>
            </w:r>
          </w:p>
        </w:tc>
        <w:tc>
          <w:tcPr>
            <w:tcW w:w="15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bookmarkStart w:id="569" w:name="xdx_988_eus-gaap--ShareBasedCompensation"/>
            <w:bookmarkEnd w:id="569"/>
          </w:p>
        </w:tc>
        <w:tc>
          <w:tcPr>
            <w:tcW w:w="1114" w:type="dxa"/>
            <w:tcBorders/>
            <w:shd w:fill="FFFFFF" w:val="clear"/>
            <w:vAlign w:val="center"/>
          </w:tcPr>
          <w:p>
            <w:pPr>
              <w:pStyle w:val="TableContents"/>
              <w:bidi w:val="0"/>
              <w:spacing w:before="0" w:after="283"/>
              <w:jc w:val="right"/>
              <w:rPr/>
            </w:pPr>
            <w:r>
              <w:rPr/>
              <w:t>3.97</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bookmarkStart w:id="570" w:name="xdx_980_eus-gaap--ShareBasedCompensation"/>
            <w:bookmarkEnd w:id="570"/>
          </w:p>
        </w:tc>
        <w:tc>
          <w:tcPr>
            <w:tcW w:w="1114" w:type="dxa"/>
            <w:tcBorders/>
            <w:shd w:fill="CCEEFF" w:val="clear"/>
            <w:vAlign w:val="center"/>
          </w:tcPr>
          <w:p>
            <w:pPr>
              <w:pStyle w:val="TableContents"/>
              <w:bidi w:val="0"/>
              <w:spacing w:before="0" w:after="283"/>
              <w:jc w:val="right"/>
              <w:rPr/>
            </w:pPr>
            <w:r>
              <w:rPr/>
              <w:t>0</w:t>
            </w:r>
          </w:p>
        </w:tc>
        <w:tc>
          <w:tcPr>
            <w:tcW w:w="544"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bookmarkStart w:id="571" w:name="xdx_981_eus-gaap--ShareBasedCompensation"/>
            <w:bookmarkEnd w:id="571"/>
          </w:p>
        </w:tc>
        <w:tc>
          <w:tcPr>
            <w:tcW w:w="1114"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Expected life of options</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bookmarkStart w:id="572" w:name="xdx_90F_eus-gaap--SharebasedCompensation"/>
            <w:bookmarkEnd w:id="572"/>
            <w:r>
              <w:rPr/>
              <w:t>6.00</w:t>
            </w:r>
          </w:p>
        </w:tc>
        <w:tc>
          <w:tcPr>
            <w:tcW w:w="54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bookmarkStart w:id="573" w:name="xdx_902_eus-gaap--SharebasedCompensation"/>
            <w:bookmarkEnd w:id="573"/>
            <w:r>
              <w:rPr/>
              <w:t>6.00</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74" w:name="xdx_90D_eus-gaap--ShareBasedCompensation"/>
            <w:bookmarkEnd w:id="574"/>
            <w:r>
              <w:rPr/>
              <w:t>1.05</w:t>
            </w:r>
          </w:p>
        </w:tc>
        <w:tc>
          <w:tcPr>
            <w:tcW w:w="54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75" w:name="xdx_907_eus-gaap--ShareBasedCompensation"/>
            <w:bookmarkEnd w:id="575"/>
            <w:r>
              <w:rPr/>
              <w:t>2.90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76" w:name="xdx_8A8_zHpBN7ai0JF6"/>
      <w:bookmarkEnd w:id="57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the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risk-free interest rate assumption is based upon observed interest rates on zero coupon U.S. Treasury bonds whose maturity period is appropriate for the term of the options. The dividend yield of zero </w:t>
      </w:r>
      <w:bookmarkStart w:id="577" w:name="xdx_909_eus-gaap--ShareBasedCompensation"/>
      <w:bookmarkEnd w:id="577"/>
      <w:r>
        <w:rPr>
          <w:rFonts w:ascii="Times New Roman;Times;Serif" w:hAnsi="Times New Roman;Times;Serif"/>
          <w:b w:val="false"/>
          <w:i w:val="false"/>
          <w:caps w:val="false"/>
          <w:smallCaps w:val="false"/>
          <w:sz w:val="20"/>
        </w:rPr>
        <w:t>0 is based on the fact that the Company has never paid cash dividends and has no present intention of paying cash dividends. The Company calculates the expected life of the options using the Simplified Method for the employee stock options as the Company does not have sufficient historical exercise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expense was $</w:t>
      </w:r>
      <w:bookmarkStart w:id="578" w:name="xdx_90A_eus-gaap--AllocatedShareBasedCom"/>
      <w:bookmarkEnd w:id="578"/>
      <w:r>
        <w:rPr>
          <w:rFonts w:ascii="Times New Roman;Times;Serif" w:hAnsi="Times New Roman;Times;Serif"/>
          <w:b w:val="false"/>
          <w:i w:val="false"/>
          <w:caps w:val="false"/>
          <w:smallCaps w:val="false"/>
          <w:sz w:val="20"/>
        </w:rPr>
        <w:t xml:space="preserve">477 and </w:t>
      </w:r>
      <w:bookmarkStart w:id="579" w:name="xdx_908_eus-gaap--AllocatedShareBasedCom"/>
      <w:bookmarkEnd w:id="579"/>
      <w:r>
        <w:rPr>
          <w:rFonts w:ascii="Times New Roman;Times;Serif" w:hAnsi="Times New Roman;Times;Serif"/>
          <w:b w:val="false"/>
          <w:i w:val="false"/>
          <w:caps w:val="false"/>
          <w:smallCaps w:val="false"/>
          <w:sz w:val="20"/>
        </w:rPr>
        <w:t>($33) for the three months ended June 30, 2025 and 2024, respectively. Stock option expense was $</w:t>
      </w:r>
      <w:bookmarkStart w:id="580" w:name="xdx_902_eus-gaap--AllocatedShareBasedCom"/>
      <w:bookmarkEnd w:id="580"/>
      <w:r>
        <w:rPr>
          <w:rFonts w:ascii="Times New Roman;Times;Serif" w:hAnsi="Times New Roman;Times;Serif"/>
          <w:b w:val="false"/>
          <w:i w:val="false"/>
          <w:caps w:val="false"/>
          <w:smallCaps w:val="false"/>
          <w:sz w:val="20"/>
        </w:rPr>
        <w:t>864 and $</w:t>
      </w:r>
      <w:bookmarkStart w:id="581" w:name="xdx_90B_eus-gaap--AllocatedShareBasedCom"/>
      <w:bookmarkEnd w:id="581"/>
      <w:r>
        <w:rPr>
          <w:rFonts w:ascii="Times New Roman;Times;Serif" w:hAnsi="Times New Roman;Times;Serif"/>
          <w:b w:val="false"/>
          <w:i w:val="false"/>
          <w:caps w:val="false"/>
          <w:smallCaps w:val="false"/>
          <w:sz w:val="20"/>
        </w:rPr>
        <w:t>434 for the six months ended June 30, 2025 and 2024,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82" w:name="xdx_89C_eus-gaap--ScheduleOfNonvestedRes"/>
      <w:bookmarkEnd w:id="582"/>
      <w:r>
        <w:rPr>
          <w:rFonts w:ascii="Times New Roman;Times;Serif" w:hAnsi="Times New Roman;Times;Serif"/>
          <w:b w:val="false"/>
          <w:i w:val="false"/>
          <w:caps w:val="false"/>
          <w:smallCaps w:val="false"/>
          <w:sz w:val="20"/>
        </w:rPr>
        <w:t>The Plan provides for the grant of restricted stock units (“RSUs”). RSUs are settled in shares of the Company’s Common Stock as the RSUs vest. The following table summarizes RSU activity for the six months ended June 30, 2025:</w:t>
      </w:r>
    </w:p>
    <w:p>
      <w:pPr>
        <w:pStyle w:val="TextBody"/>
        <w:bidi w:val="0"/>
        <w:spacing w:before="0" w:after="0"/>
        <w:jc w:val="both"/>
        <w:rPr>
          <w:caps w:val="false"/>
          <w:smallCaps w:val="false"/>
        </w:rPr>
      </w:pPr>
      <w:r>
        <w:rPr>
          <w:caps w:val="false"/>
          <w:smallCaps w:val="false"/>
        </w:rPr>
        <w:t> </w:t>
      </w:r>
      <w:bookmarkStart w:id="583" w:name="xdx_8B7_zlICt5T0wdJ2"/>
      <w:bookmarkEnd w:id="583"/>
      <w:r>
        <w:rPr>
          <w:rFonts w:ascii="Times New Roman;Times;Serif" w:hAnsi="Times New Roman;Times;Serif"/>
          <w:b w:val="false"/>
          <w:i w:val="false"/>
          <w:caps w:val="false"/>
          <w:smallCaps w:val="false"/>
          <w:sz w:val="20"/>
        </w:rPr>
        <w:t>SCHEDULE OF RESTRICTED STOCK UNITS ACTIVITY</w:t>
      </w:r>
    </w:p>
    <w:tbl>
      <w:tblPr>
        <w:tblW w:w="7148" w:type="dxa"/>
        <w:jc w:val="left"/>
        <w:tblInd w:w="0" w:type="dxa"/>
        <w:tblLayout w:type="fixed"/>
        <w:tblCellMar>
          <w:top w:w="0" w:type="dxa"/>
          <w:left w:w="0" w:type="dxa"/>
          <w:bottom w:w="0" w:type="dxa"/>
          <w:right w:w="0" w:type="dxa"/>
        </w:tblCellMar>
      </w:tblPr>
      <w:tblGrid>
        <w:gridCol w:w="2735"/>
        <w:gridCol w:w="60"/>
        <w:gridCol w:w="78"/>
        <w:gridCol w:w="1142"/>
        <w:gridCol w:w="95"/>
        <w:gridCol w:w="60"/>
        <w:gridCol w:w="330"/>
        <w:gridCol w:w="1039"/>
        <w:gridCol w:w="60"/>
        <w:gridCol w:w="60"/>
        <w:gridCol w:w="168"/>
        <w:gridCol w:w="1246"/>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Service-Based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Grant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(Years)</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Unvested at January 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84" w:name="xdx_98A_eus-gaap--ShareBasedCompensation"/>
            <w:bookmarkEnd w:id="584"/>
          </w:p>
        </w:tc>
        <w:tc>
          <w:tcPr>
            <w:tcW w:w="1142" w:type="dxa"/>
            <w:tcBorders/>
            <w:shd w:fill="CCEEFF" w:val="clear"/>
            <w:vAlign w:val="center"/>
          </w:tcPr>
          <w:p>
            <w:pPr>
              <w:pStyle w:val="TableContents"/>
              <w:bidi w:val="0"/>
              <w:spacing w:before="0" w:after="283"/>
              <w:jc w:val="right"/>
              <w:rPr/>
            </w:pPr>
            <w:r>
              <w:rPr/>
              <w:t>988,102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bookmarkStart w:id="585" w:name="xdx_98C_eus-gaap--ShareBasedCompensation"/>
            <w:bookmarkEnd w:id="585"/>
          </w:p>
        </w:tc>
        <w:tc>
          <w:tcPr>
            <w:tcW w:w="1039" w:type="dxa"/>
            <w:tcBorders/>
            <w:shd w:fill="CCEEFF" w:val="cle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bookmarkStart w:id="586" w:name="xdx_90A_eus-gaap--ShareBasedCompensation"/>
            <w:bookmarkEnd w:id="586"/>
            <w:r>
              <w:rPr/>
              <w:t>3.67</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Granted - service based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87" w:name="xdx_98B_eus-gaap--ShareBasedCompensation"/>
            <w:bookmarkEnd w:id="587"/>
          </w:p>
        </w:tc>
        <w:tc>
          <w:tcPr>
            <w:tcW w:w="1142" w:type="dxa"/>
            <w:tcBorders/>
            <w:shd w:fill="FFFFFF" w:val="clear"/>
            <w:vAlign w:val="center"/>
          </w:tcPr>
          <w:p>
            <w:pPr>
              <w:pStyle w:val="TableContents"/>
              <w:bidi w:val="0"/>
              <w:spacing w:before="0" w:after="283"/>
              <w:jc w:val="right"/>
              <w:rPr/>
            </w:pPr>
            <w:r>
              <w:rPr/>
              <w:t>663,931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bookmarkStart w:id="588" w:name="xdx_989_eus-gaap--ShareBasedCompensation"/>
            <w:bookmarkEnd w:id="588"/>
          </w:p>
        </w:tc>
        <w:tc>
          <w:tcPr>
            <w:tcW w:w="1039" w:type="dxa"/>
            <w:tcBorders/>
            <w:shd w:fill="FFFFFF" w:val="clear"/>
            <w:vAlign w:val="center"/>
          </w:tcPr>
          <w:p>
            <w:pPr>
              <w:pStyle w:val="TableContents"/>
              <w:bidi w:val="0"/>
              <w:spacing w:before="0" w:after="283"/>
              <w:jc w:val="right"/>
              <w:rPr/>
            </w:pPr>
            <w:r>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89" w:name="xdx_982_eus-gaap--ShareBasedCompensation"/>
            <w:bookmarkEnd w:id="589"/>
          </w:p>
        </w:tc>
        <w:tc>
          <w:tcPr>
            <w:tcW w:w="1142" w:type="dxa"/>
            <w:tcBorders/>
            <w:shd w:fill="CCEEFF" w:val="clear"/>
            <w:vAlign w:val="center"/>
          </w:tcPr>
          <w:p>
            <w:pPr>
              <w:pStyle w:val="TableContents"/>
              <w:bidi w:val="0"/>
              <w:spacing w:before="0" w:after="283"/>
              <w:jc w:val="right"/>
              <w:rPr/>
            </w:pPr>
            <w:r>
              <w:rPr/>
              <w:t>(657,602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bookmarkStart w:id="590" w:name="xdx_989_eus-gaap--ShareBasedCompensation"/>
            <w:bookmarkEnd w:id="590"/>
          </w:p>
        </w:tc>
        <w:tc>
          <w:tcPr>
            <w:tcW w:w="1039" w:type="dxa"/>
            <w:tcBorders/>
            <w:shd w:fill="CCEEFF" w:val="clear"/>
            <w:vAlign w:val="center"/>
          </w:tcPr>
          <w:p>
            <w:pPr>
              <w:pStyle w:val="TableContents"/>
              <w:bidi w:val="0"/>
              <w:spacing w:before="0" w:after="283"/>
              <w:jc w:val="right"/>
              <w:rPr/>
            </w:pPr>
            <w:r>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Forfeited and cancelled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1" w:name="xdx_988_eus-gaap--ShareBasedCompensation"/>
            <w:bookmarkEnd w:id="591"/>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2" w:name="xdx_981_eus-gaap--ShareBasedCompensation"/>
            <w:bookmarkEnd w:id="592"/>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Unvested at June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3" w:name="xdx_98A_eus-gaap--ShareBasedCompensation"/>
            <w:bookmarkEnd w:id="593"/>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994,431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4" w:name="xdx_98A_eus-gaap--ShareBasedCompensation"/>
            <w:bookmarkEnd w:id="594"/>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95" w:name="xdx_902_eus-gaap--ShareBasedCompensation"/>
            <w:bookmarkEnd w:id="595"/>
            <w:r>
              <w:rPr/>
              <w:t>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96" w:name="xdx_8A2_zAKmxHvNGLa3"/>
      <w:bookmarkEnd w:id="59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used the Monte Carlo Simulation Model to value at the grant date the aggregate of </w:t>
      </w:r>
      <w:bookmarkStart w:id="597" w:name="xdx_903_eus-gaap--ShareBasedCompensation"/>
      <w:bookmarkEnd w:id="597"/>
      <w:r>
        <w:rPr>
          <w:rFonts w:ascii="Times New Roman;Times;Serif" w:hAnsi="Times New Roman;Times;Serif"/>
          <w:b w:val="false"/>
          <w:i w:val="false"/>
          <w:caps w:val="false"/>
          <w:smallCaps w:val="false"/>
          <w:sz w:val="20"/>
        </w:rPr>
        <w:t>632,911 market condition performance RSUs granted in January 2024 to the Company’s Chief Executive Officer. The assumptions used in the Monte Carlo Simulation were stock price on the date of grant equal to $</w:t>
      </w:r>
      <w:bookmarkStart w:id="598" w:name="xdx_909_eus-gaap--SharePrice_iI_pid_c202"/>
      <w:bookmarkEnd w:id="598"/>
      <w:r>
        <w:rPr>
          <w:rFonts w:ascii="Times New Roman;Times;Serif" w:hAnsi="Times New Roman;Times;Serif"/>
          <w:b w:val="false"/>
          <w:i w:val="false"/>
          <w:caps w:val="false"/>
          <w:smallCaps w:val="false"/>
          <w:sz w:val="20"/>
        </w:rPr>
        <w:t xml:space="preserve">3.40, a contract term of </w:t>
      </w:r>
      <w:bookmarkStart w:id="599" w:name="xdx_90D_eus-gaap--SharebasedCompensation"/>
      <w:bookmarkEnd w:id="599"/>
      <w:r>
        <w:rPr>
          <w:rFonts w:ascii="Times New Roman;Times;Serif" w:hAnsi="Times New Roman;Times;Serif"/>
          <w:b w:val="false"/>
          <w:i w:val="false"/>
          <w:caps w:val="false"/>
          <w:smallCaps w:val="false"/>
          <w:sz w:val="20"/>
        </w:rPr>
        <w:t xml:space="preserve">10 years, expected volatility of </w:t>
      </w:r>
      <w:bookmarkStart w:id="600" w:name="xdx_90A_eus-gaap--ShareBasedCompensation"/>
      <w:bookmarkEnd w:id="600"/>
      <w:r>
        <w:rPr>
          <w:rFonts w:ascii="Times New Roman;Times;Serif" w:hAnsi="Times New Roman;Times;Serif"/>
          <w:b w:val="false"/>
          <w:i w:val="false"/>
          <w:caps w:val="false"/>
          <w:smallCaps w:val="false"/>
          <w:sz w:val="20"/>
        </w:rPr>
        <w:t xml:space="preserve">78% and risk-free interest rate of </w:t>
      </w:r>
      <w:bookmarkStart w:id="601" w:name="xdx_90A_eus-gaap--ShareBasedCompensation"/>
      <w:bookmarkEnd w:id="601"/>
      <w:r>
        <w:rPr>
          <w:rFonts w:ascii="Times New Roman;Times;Serif" w:hAnsi="Times New Roman;Times;Serif"/>
          <w:b w:val="false"/>
          <w:i w:val="false"/>
          <w:caps w:val="false"/>
          <w:smallCaps w:val="false"/>
          <w:sz w:val="20"/>
        </w:rPr>
        <w:t>4.10%. Vesting is based on sustained market capitalization of $</w:t>
      </w:r>
      <w:bookmarkStart w:id="602" w:name="xdx_906_ecustom--MarketCapital_iI_pn9n9_"/>
      <w:bookmarkEnd w:id="602"/>
      <w:r>
        <w:rPr>
          <w:rFonts w:ascii="Times New Roman;Times;Serif" w:hAnsi="Times New Roman;Times;Serif"/>
          <w:b w:val="false"/>
          <w:i w:val="false"/>
          <w:caps w:val="false"/>
          <w:smallCaps w:val="false"/>
          <w:sz w:val="20"/>
        </w:rPr>
        <w:t xml:space="preserve">1 billion, and the derived service period is </w:t>
      </w:r>
      <w:bookmarkStart w:id="603" w:name="xdx_905_ecustom--ShareBasedCompensationA"/>
      <w:bookmarkEnd w:id="603"/>
      <w:r>
        <w:rPr>
          <w:rFonts w:ascii="Times New Roman;Times;Serif" w:hAnsi="Times New Roman;Times;Serif"/>
          <w:b w:val="false"/>
          <w:i w:val="false"/>
          <w:caps w:val="false"/>
          <w:smallCaps w:val="false"/>
          <w:sz w:val="20"/>
        </w:rPr>
        <w:t>4.3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expense was $</w:t>
      </w:r>
      <w:bookmarkStart w:id="604" w:name="xdx_906_eus-gaap--AllocatedShareBasedCom"/>
      <w:bookmarkEnd w:id="604"/>
      <w:r>
        <w:rPr>
          <w:rFonts w:ascii="Times New Roman;Times;Serif" w:hAnsi="Times New Roman;Times;Serif"/>
          <w:b w:val="false"/>
          <w:i w:val="false"/>
          <w:caps w:val="false"/>
          <w:smallCaps w:val="false"/>
          <w:sz w:val="20"/>
        </w:rPr>
        <w:t>293 and $</w:t>
      </w:r>
      <w:bookmarkStart w:id="605" w:name="xdx_90D_eus-gaap--AllocatedShareBasedCom"/>
      <w:bookmarkEnd w:id="605"/>
      <w:r>
        <w:rPr>
          <w:rFonts w:ascii="Times New Roman;Times;Serif" w:hAnsi="Times New Roman;Times;Serif"/>
          <w:b w:val="false"/>
          <w:i w:val="false"/>
          <w:caps w:val="false"/>
          <w:smallCaps w:val="false"/>
          <w:sz w:val="20"/>
        </w:rPr>
        <w:t>275 for the three months ended June 30, 2025 and 2024, respectively. RSU expense was $</w:t>
      </w:r>
      <w:bookmarkStart w:id="606" w:name="xdx_908_eus-gaap--AllocatedShareBasedCom"/>
      <w:bookmarkEnd w:id="606"/>
      <w:r>
        <w:rPr>
          <w:rFonts w:ascii="Times New Roman;Times;Serif" w:hAnsi="Times New Roman;Times;Serif"/>
          <w:b w:val="false"/>
          <w:i w:val="false"/>
          <w:caps w:val="false"/>
          <w:smallCaps w:val="false"/>
          <w:sz w:val="20"/>
        </w:rPr>
        <w:t>1,571 and $</w:t>
      </w:r>
      <w:bookmarkStart w:id="607" w:name="xdx_905_eus-gaap--AllocatedShareBasedCom"/>
      <w:bookmarkEnd w:id="607"/>
      <w:r>
        <w:rPr>
          <w:rFonts w:ascii="Times New Roman;Times;Serif" w:hAnsi="Times New Roman;Times;Serif"/>
          <w:b w:val="false"/>
          <w:i w:val="false"/>
          <w:caps w:val="false"/>
          <w:smallCaps w:val="false"/>
          <w:sz w:val="20"/>
        </w:rPr>
        <w:t>484 for the six months ended June 30,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08" w:name="xdx_89D_eus-gaap--DisclosureOfShareBased"/>
      <w:bookmarkEnd w:id="608"/>
      <w:r>
        <w:rPr>
          <w:rFonts w:ascii="Times New Roman;Times;Serif" w:hAnsi="Times New Roman;Times;Serif"/>
          <w:b w:val="false"/>
          <w:i w:val="false"/>
          <w:caps w:val="false"/>
          <w:smallCaps w:val="false"/>
          <w:sz w:val="20"/>
        </w:rPr>
        <w:t>The Company recorded share-based compensation for options and RSUs in its statements of operations for the relevant periods as follows:</w:t>
      </w:r>
    </w:p>
    <w:p>
      <w:pPr>
        <w:pStyle w:val="TextBody"/>
        <w:bidi w:val="0"/>
        <w:spacing w:before="0" w:after="0"/>
        <w:jc w:val="both"/>
        <w:rPr>
          <w:caps w:val="false"/>
          <w:smallCaps w:val="false"/>
        </w:rPr>
      </w:pPr>
      <w:r>
        <w:rPr>
          <w:caps w:val="false"/>
          <w:smallCaps w:val="false"/>
        </w:rPr>
        <w:t> </w:t>
      </w:r>
      <w:bookmarkStart w:id="609" w:name="xdx_8BC_zyaVeOEOBwu4"/>
      <w:bookmarkEnd w:id="609"/>
      <w:r>
        <w:rPr>
          <w:rFonts w:ascii="Times New Roman;Times;Serif" w:hAnsi="Times New Roman;Times;Serif"/>
          <w:b w:val="false"/>
          <w:i w:val="false"/>
          <w:caps w:val="false"/>
          <w:smallCaps w:val="false"/>
          <w:sz w:val="20"/>
        </w:rPr>
        <w:t>SCHEDULE OF SHARE-BASED COMPENSATION FOR OPTIONS AND RESTRICTED STOCK UNITS</w:t>
      </w:r>
    </w:p>
    <w:tbl>
      <w:tblPr>
        <w:tblW w:w="9490" w:type="dxa"/>
        <w:jc w:val="left"/>
        <w:tblInd w:w="0" w:type="dxa"/>
        <w:tblLayout w:type="fixed"/>
        <w:tblCellMar>
          <w:top w:w="0" w:type="dxa"/>
          <w:left w:w="0" w:type="dxa"/>
          <w:bottom w:w="0" w:type="dxa"/>
          <w:right w:w="0" w:type="dxa"/>
        </w:tblCellMar>
      </w:tblPr>
      <w:tblGrid>
        <w:gridCol w:w="3290"/>
        <w:gridCol w:w="60"/>
        <w:gridCol w:w="377"/>
        <w:gridCol w:w="1023"/>
        <w:gridCol w:w="161"/>
        <w:gridCol w:w="161"/>
        <w:gridCol w:w="377"/>
        <w:gridCol w:w="1023"/>
        <w:gridCol w:w="60"/>
        <w:gridCol w:w="60"/>
        <w:gridCol w:w="295"/>
        <w:gridCol w:w="1180"/>
        <w:gridCol w:w="126"/>
        <w:gridCol w:w="126"/>
        <w:gridCol w:w="295"/>
        <w:gridCol w:w="801"/>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0" w:name="xdx_494_20250401__20250630_zpitYs1Xp0o1"/>
            <w:bookmarkEnd w:id="610"/>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bookmarkStart w:id="611" w:name="xdx_491_20240401__20240630_zs4u9DU0LL77"/>
            <w:bookmarkEnd w:id="611"/>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2" w:name="xdx_49C_20250101__20250630_zEB4oakmTxzb"/>
            <w:bookmarkEnd w:id="612"/>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bookmarkStart w:id="613" w:name="xdx_49F_20240101__20240630_zIw1wp9qyBod"/>
            <w:bookmarkEnd w:id="613"/>
          </w:p>
        </w:tc>
        <w:tc>
          <w:tcPr>
            <w:tcW w:w="10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4" w:name="xdx_408_eus-gaap--AllocatedShareBasedCom"/>
            <w:bookmarkEnd w:id="614"/>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755</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2,358</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856</w:t>
            </w:r>
          </w:p>
        </w:tc>
        <w:tc>
          <w:tcPr>
            <w:tcW w:w="75" w:type="dxa"/>
            <w:tcBorders/>
            <w:shd w:fill="CCEEFF" w:val="clear"/>
            <w:vAlign w:val="center"/>
          </w:tcPr>
          <w:p>
            <w:pPr>
              <w:pStyle w:val="TableContents"/>
              <w:bidi w:val="0"/>
              <w:spacing w:before="0" w:after="283"/>
              <w:jc w:val="left"/>
              <w:rPr/>
            </w:pPr>
            <w:r>
              <w:rPr/>
              <w:t> </w:t>
            </w:r>
            <w:bookmarkStart w:id="615" w:name="xdx_40C_eus-gaap--AllocatedShareBasedCom"/>
            <w:bookmarkEnd w:id="615"/>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77</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62</w:t>
            </w:r>
          </w:p>
        </w:tc>
        <w:tc>
          <w:tcPr>
            <w:tcW w:w="75" w:type="dxa"/>
            <w:tcBorders/>
            <w:shd w:fill="FFFFFF" w:val="clear"/>
            <w:vAlign w:val="center"/>
          </w:tcPr>
          <w:p>
            <w:pPr>
              <w:pStyle w:val="TableContents"/>
              <w:bidi w:val="0"/>
              <w:spacing w:before="0" w:after="283"/>
              <w:jc w:val="left"/>
              <w:rPr/>
            </w:pPr>
            <w:r>
              <w:rPr/>
              <w:t> </w:t>
            </w:r>
            <w:bookmarkStart w:id="616" w:name="xdx_406_eus-gaap--AllocatedShareBasedCom"/>
            <w:bookmarkEnd w:id="616"/>
          </w:p>
        </w:tc>
      </w:tr>
      <w:tr>
        <w:trPr/>
        <w:tc>
          <w:tcPr>
            <w:tcW w:w="3290" w:type="dxa"/>
            <w:tcBorders/>
            <w:shd w:fill="CCEEFF" w:val="clear"/>
            <w:vAlign w:val="center"/>
          </w:tcPr>
          <w:p>
            <w:pPr>
              <w:pStyle w:val="TableContents"/>
              <w:bidi w:val="0"/>
              <w:spacing w:before="0" w:after="283"/>
              <w:jc w:val="left"/>
              <w:rPr/>
            </w:pPr>
            <w:r>
              <w:rPr/>
              <w:t>Total share-based expense</w:t>
            </w:r>
          </w:p>
        </w:tc>
        <w:tc>
          <w:tcPr>
            <w:tcW w:w="60"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770</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pPr>
            <w:r>
              <w:rPr/>
              <w:t>2,435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17" w:name="xdx_8A6_zGFsUEt6dBp3"/>
      <w:bookmarkEnd w:id="61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total estimated compensation cost of stock options granted and outstanding but not yet vested was $</w:t>
      </w:r>
      <w:bookmarkStart w:id="618" w:name="xdx_90B_eus-gaap--EmployeeServiceShareBa"/>
      <w:bookmarkEnd w:id="618"/>
      <w:r>
        <w:rPr>
          <w:rFonts w:ascii="Times New Roman;Times;Serif" w:hAnsi="Times New Roman;Times;Serif"/>
          <w:b w:val="false"/>
          <w:i w:val="false"/>
          <w:caps w:val="false"/>
          <w:smallCaps w:val="false"/>
          <w:sz w:val="20"/>
        </w:rPr>
        <w:t xml:space="preserve">5,591 which is expected to be recognized over the weighted average period of </w:t>
      </w:r>
      <w:bookmarkStart w:id="619" w:name="xdx_90D_eus-gaap--EmployeeServiceShareBa"/>
      <w:bookmarkEnd w:id="619"/>
      <w:r>
        <w:rPr>
          <w:rFonts w:ascii="Times New Roman;Times;Serif" w:hAnsi="Times New Roman;Times;Serif"/>
          <w:b w:val="false"/>
          <w:i w:val="false"/>
          <w:caps w:val="false"/>
          <w:smallCaps w:val="false"/>
          <w:sz w:val="20"/>
        </w:rPr>
        <w:t>3.03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total estimated compensation cost of RSUs granted and outstanding but not yet vested was $</w:t>
      </w:r>
      <w:bookmarkStart w:id="620" w:name="xdx_908_eus-gaap--EmployeeServiceShareBa"/>
      <w:bookmarkEnd w:id="620"/>
      <w:r>
        <w:rPr>
          <w:rFonts w:ascii="Times New Roman;Times;Serif" w:hAnsi="Times New Roman;Times;Serif"/>
          <w:b w:val="false"/>
          <w:i w:val="false"/>
          <w:caps w:val="false"/>
          <w:smallCaps w:val="false"/>
          <w:sz w:val="20"/>
        </w:rPr>
        <w:t xml:space="preserve">1,368, which is expected to be recognized over the weighted average period of </w:t>
      </w:r>
      <w:bookmarkStart w:id="621" w:name="xdx_901_eus-gaap--EmployeeServiceShareBa"/>
      <w:bookmarkEnd w:id="621"/>
      <w:r>
        <w:rPr>
          <w:rFonts w:ascii="Times New Roman;Times;Serif" w:hAnsi="Times New Roman;Times;Serif"/>
          <w:b w:val="false"/>
          <w:i w:val="false"/>
          <w:caps w:val="false"/>
          <w:smallCaps w:val="false"/>
          <w:sz w:val="20"/>
        </w:rPr>
        <w:t>2.56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2" w:name="xdx_802_eus-gaap--DefinedContributionPla"/>
      <w:bookmarkEnd w:id="622"/>
      <w:r>
        <w:rPr>
          <w:rFonts w:ascii="Times New Roman;Times;Serif" w:hAnsi="Times New Roman;Times;Serif"/>
          <w:b/>
          <w:i w:val="false"/>
          <w:caps w:val="false"/>
          <w:smallCaps w:val="false"/>
          <w:sz w:val="20"/>
        </w:rPr>
        <w:t xml:space="preserve">12. </w:t>
      </w:r>
      <w:bookmarkStart w:id="623" w:name="xdx_82B_z4WSwaEGOQ56"/>
      <w:bookmarkEnd w:id="623"/>
      <w:r>
        <w:rPr>
          <w:rFonts w:ascii="Times New Roman;Times;Serif" w:hAnsi="Times New Roman;Times;Serif"/>
          <w:b/>
          <w:i w:val="false"/>
          <w:caps w:val="false"/>
          <w:smallCaps w:val="false"/>
          <w:sz w:val="20"/>
        </w:rPr>
        <w:t>DEFINED CONTRIBUTION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each of the six months ended June 30, 2025 and 2024 was $</w:t>
      </w:r>
      <w:bookmarkStart w:id="624" w:name="xdx_90B_eus-gaap--DefinedBenefitPlanCont"/>
      <w:bookmarkEnd w:id="624"/>
      <w:r>
        <w:rPr>
          <w:rFonts w:ascii="Times New Roman;Times;Serif" w:hAnsi="Times New Roman;Times;Serif"/>
          <w:b w:val="false"/>
          <w:i w:val="false"/>
          <w:caps w:val="false"/>
          <w:smallCaps w:val="false"/>
          <w:sz w:val="20"/>
        </w:rPr>
        <w:t>23 and $</w:t>
      </w:r>
      <w:bookmarkStart w:id="625" w:name="xdx_90B_eus-gaap--DefinedBenefitPlanCont"/>
      <w:bookmarkEnd w:id="625"/>
      <w:r>
        <w:rPr>
          <w:rFonts w:ascii="Times New Roman;Times;Serif" w:hAnsi="Times New Roman;Times;Serif"/>
          <w:b w:val="false"/>
          <w:i w:val="false"/>
          <w:caps w:val="false"/>
          <w:smallCaps w:val="false"/>
          <w:sz w:val="20"/>
        </w:rPr>
        <w:t>0,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6" w:name="xdx_809_eus-gaap--CommitmentsAndContinge"/>
      <w:bookmarkEnd w:id="626"/>
      <w:r>
        <w:rPr>
          <w:rFonts w:ascii="Times New Roman;Times;Serif" w:hAnsi="Times New Roman;Times;Serif"/>
          <w:b/>
          <w:i w:val="false"/>
          <w:caps w:val="false"/>
          <w:smallCaps w:val="false"/>
          <w:sz w:val="20"/>
        </w:rPr>
        <w:t xml:space="preserve">13. </w:t>
      </w:r>
      <w:bookmarkStart w:id="627" w:name="xdx_82C_zRShBvGxVuzd"/>
      <w:bookmarkEnd w:id="627"/>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was committed for approximately $</w:t>
      </w:r>
      <w:bookmarkStart w:id="628" w:name="xdx_904_eus-gaap--ContractualObligation_"/>
      <w:bookmarkEnd w:id="628"/>
      <w:r>
        <w:rPr>
          <w:rFonts w:ascii="Times New Roman;Times;Serif" w:hAnsi="Times New Roman;Times;Serif"/>
          <w:b w:val="false"/>
          <w:i w:val="false"/>
          <w:caps w:val="false"/>
          <w:smallCaps w:val="false"/>
          <w:sz w:val="20"/>
        </w:rPr>
        <w:t>508 for future component deliveries that are generally subject to modification or rescheduling in the normal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Indemnifications and Guarantees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are indemnified as to personal liability as provided by Delaware law and the Company’s articles of incorporation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Regulatory Agencies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oversight from regulatory agencies regarding firearms that arise in the ordinary course of its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As of June 30, 2025, the Company had no provision for liability under existing 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Facility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facility lease agreement for its new production facility based in Norton, Virginia. </w:t>
      </w:r>
      <w:bookmarkStart w:id="629" w:name="xdx_900_eus-gaap--LessorOperatingLeaseDe"/>
      <w:bookmarkEnd w:id="629"/>
      <w:r>
        <w:rPr>
          <w:rFonts w:ascii="Times New Roman;Times;Serif" w:hAnsi="Times New Roman;Times;Serif"/>
          <w:b w:val="false"/>
          <w:i w:val="false"/>
          <w:caps w:val="false"/>
          <w:smallCaps w:val="false"/>
          <w:sz w:val="20"/>
        </w:rPr>
        <w:t>The initial term of the agreement is for five years and commences on October 1, 2025. The total cash payments to the lessor during the term are $</w:t>
      </w:r>
      <w:bookmarkStart w:id="630" w:name="xdx_907_eus-gaap--OperatingLeaseLeaseInc"/>
      <w:bookmarkEnd w:id="630"/>
      <w:r>
        <w:rPr>
          <w:rFonts w:ascii="Times New Roman;Times;Serif" w:hAnsi="Times New Roman;Times;Serif"/>
          <w:b w:val="false"/>
          <w:i w:val="false"/>
          <w:caps w:val="false"/>
          <w:smallCaps w:val="false"/>
          <w:sz w:val="20"/>
        </w:rPr>
        <w:t>600.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1" w:name="xdx_806_eus-gaap--RelatedPartyTransactio"/>
      <w:bookmarkEnd w:id="631"/>
      <w:r>
        <w:rPr>
          <w:rFonts w:ascii="Times New Roman;Times;Serif" w:hAnsi="Times New Roman;Times;Serif"/>
          <w:b/>
          <w:i w:val="false"/>
          <w:caps w:val="false"/>
          <w:smallCaps w:val="false"/>
          <w:sz w:val="20"/>
        </w:rPr>
        <w:t xml:space="preserve">14. </w:t>
      </w:r>
      <w:bookmarkStart w:id="632" w:name="xdx_823_z9i1UXXIJW2a"/>
      <w:bookmarkEnd w:id="632"/>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29, 2023, the Company entered into the Series A Purchase Agreement with certain investors, including Scot Cohen, the Company’s Chief Executive Officer, and V4 Global LLC (“V4”). Mr. Cohen has voting and dispositive control with respect to the securities and is deemed to be the beneficial owner of the securities held by V4. Pursuant to the Series A Purchase Agreement, the Company issued Mr. Cohen and V4 an aggregate of </w:t>
      </w:r>
      <w:bookmarkStart w:id="633" w:name="xdx_90A_eus-gaap--StockIssuedDuringPerio"/>
      <w:bookmarkEnd w:id="633"/>
      <w:r>
        <w:rPr>
          <w:rFonts w:ascii="Times New Roman;Times;Serif" w:hAnsi="Times New Roman;Times;Serif"/>
          <w:b w:val="false"/>
          <w:i w:val="false"/>
          <w:caps w:val="false"/>
          <w:smallCaps w:val="false"/>
          <w:sz w:val="20"/>
        </w:rPr>
        <w:t xml:space="preserve">3,000 shares of Series A Preferred Stock and Series A Warrants to purchase up to an aggregate of </w:t>
      </w:r>
      <w:bookmarkStart w:id="634" w:name="xdx_909_eus-gaap--ClassOfWarrantOrRightN"/>
      <w:bookmarkEnd w:id="634"/>
      <w:r>
        <w:rPr>
          <w:rFonts w:ascii="Times New Roman;Times;Serif" w:hAnsi="Times New Roman;Times;Serif"/>
          <w:b w:val="false"/>
          <w:i w:val="false"/>
          <w:caps w:val="false"/>
          <w:smallCaps w:val="false"/>
          <w:sz w:val="20"/>
        </w:rPr>
        <w:t>2,068,966 shares of Common Stock for aggregate gross proceeds of $</w:t>
      </w:r>
      <w:bookmarkStart w:id="635" w:name="xdx_908_eus-gaap--ProceedsFromIssuanceOr"/>
      <w:bookmarkEnd w:id="635"/>
      <w:r>
        <w:rPr>
          <w:rFonts w:ascii="Times New Roman;Times;Serif" w:hAnsi="Times New Roman;Times;Serif"/>
          <w:b w:val="false"/>
          <w:i w:val="false"/>
          <w:caps w:val="false"/>
          <w:smallCaps w:val="false"/>
          <w:sz w:val="20"/>
        </w:rPr>
        <w:t>3,000. For the six months ended June 30, 2025, Mr. Cohen earned dividends totaling $</w:t>
      </w:r>
      <w:bookmarkStart w:id="636" w:name="xdx_904_eus-gaap--Dividends_pn3n3_c20250"/>
      <w:bookmarkEnd w:id="636"/>
      <w:r>
        <w:rPr>
          <w:rFonts w:ascii="Times New Roman;Times;Serif" w:hAnsi="Times New Roman;Times;Serif"/>
          <w:b w:val="false"/>
          <w:i w:val="false"/>
          <w:caps w:val="false"/>
          <w:smallCaps w:val="false"/>
          <w:sz w:val="20"/>
        </w:rPr>
        <w:t>60 on his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the Company entered into the PIPE Purchase Agreement with certain accredited including: V4 Global, LLC (“V4”), an entity controlled by Mr. Cohen, the Company’s Chief Executive Officer; Continuum Ventures, LLC (“Continuum”), an entity controlled by Jared Novick, the Company’s President and Chief Operating Officer; and Savbo Investments LLC (“Savbo”), an entity controlled by Marc Savas, a member of the Company’s Board, pursuant to which, the Company issued and sold in a private placement an aggregate of </w:t>
      </w:r>
      <w:bookmarkStart w:id="637" w:name="xdx_90D_eus-gaap--SaleOfStockNumberOfSha"/>
      <w:bookmarkEnd w:id="637"/>
      <w:r>
        <w:rPr>
          <w:rFonts w:ascii="Times New Roman;Times;Serif" w:hAnsi="Times New Roman;Times;Serif"/>
          <w:b w:val="false"/>
          <w:i w:val="false"/>
          <w:caps w:val="false"/>
          <w:smallCaps w:val="false"/>
          <w:sz w:val="20"/>
        </w:rPr>
        <w:t>3,216,666 shares of Common Stock and PIPE Warrants with an exercise price of $</w:t>
      </w:r>
      <w:bookmarkStart w:id="638" w:name="xdx_90A_eus-gaap--ClassOfWarrantOrRightE"/>
      <w:bookmarkEnd w:id="638"/>
      <w:r>
        <w:rPr>
          <w:rFonts w:ascii="Times New Roman;Times;Serif" w:hAnsi="Times New Roman;Times;Serif"/>
          <w:b w:val="false"/>
          <w:i w:val="false"/>
          <w:caps w:val="false"/>
          <w:smallCaps w:val="false"/>
          <w:sz w:val="20"/>
        </w:rPr>
        <w:t xml:space="preserve">1.80 per share, to purchase up to </w:t>
      </w:r>
      <w:bookmarkStart w:id="639" w:name="xdx_90E_eus-gaap--SaleOfStockNumberOfSha"/>
      <w:bookmarkEnd w:id="639"/>
      <w:r>
        <w:rPr>
          <w:rFonts w:ascii="Times New Roman;Times;Serif" w:hAnsi="Times New Roman;Times;Serif"/>
          <w:b w:val="false"/>
          <w:i w:val="false"/>
          <w:caps w:val="false"/>
          <w:smallCaps w:val="false"/>
          <w:sz w:val="20"/>
        </w:rPr>
        <w:t xml:space="preserve">3,216,666 shares of Common Stock (the “Private Placement”). Pursuant to the Private Placement, the Company sold to (i) V4 </w:t>
      </w:r>
      <w:bookmarkStart w:id="640" w:name="xdx_909_eus-gaap--SaleOfStockNumberOfSha"/>
      <w:bookmarkEnd w:id="640"/>
      <w:r>
        <w:rPr>
          <w:rFonts w:ascii="Times New Roman;Times;Serif" w:hAnsi="Times New Roman;Times;Serif"/>
          <w:b w:val="false"/>
          <w:i w:val="false"/>
          <w:caps w:val="false"/>
          <w:smallCaps w:val="false"/>
          <w:sz w:val="20"/>
        </w:rPr>
        <w:t xml:space="preserve">1,100,000 shares of Common Stock and PIPE Warrants to purchase up to an aggregate of </w:t>
      </w:r>
      <w:bookmarkStart w:id="641" w:name="xdx_90D_eus-gaap--SaleOfStockNumberOfSha"/>
      <w:bookmarkEnd w:id="641"/>
      <w:r>
        <w:rPr>
          <w:rFonts w:ascii="Times New Roman;Times;Serif" w:hAnsi="Times New Roman;Times;Serif"/>
          <w:b w:val="false"/>
          <w:i w:val="false"/>
          <w:caps w:val="false"/>
          <w:smallCaps w:val="false"/>
          <w:sz w:val="20"/>
        </w:rPr>
        <w:t>1,100,000 shares of Common Stock, for aggregate gross proceeds of $</w:t>
      </w:r>
      <w:bookmarkStart w:id="642" w:name="xdx_907_eus-gaap--ProceedsFromIssuanceOf"/>
      <w:bookmarkEnd w:id="642"/>
      <w:r>
        <w:rPr>
          <w:rFonts w:ascii="Times New Roman;Times;Serif" w:hAnsi="Times New Roman;Times;Serif"/>
          <w:b w:val="false"/>
          <w:i w:val="false"/>
          <w:caps w:val="false"/>
          <w:smallCaps w:val="false"/>
          <w:sz w:val="20"/>
        </w:rPr>
        <w:t xml:space="preserve">1,980, (ii) Continuum an aggregate of </w:t>
      </w:r>
      <w:bookmarkStart w:id="643" w:name="xdx_901_eus-gaap--SaleOfStockNumberOfSha"/>
      <w:bookmarkEnd w:id="643"/>
      <w:r>
        <w:rPr>
          <w:rFonts w:ascii="Times New Roman;Times;Serif" w:hAnsi="Times New Roman;Times;Serif"/>
          <w:b w:val="false"/>
          <w:i w:val="false"/>
          <w:caps w:val="false"/>
          <w:smallCaps w:val="false"/>
          <w:sz w:val="20"/>
        </w:rPr>
        <w:t xml:space="preserve">275,000 shares of Common stock and PIPE Warrants to purchase up to an aggregate of </w:t>
      </w:r>
      <w:bookmarkStart w:id="644" w:name="xdx_90C_eus-gaap--SaleOfStockNumberOfSha"/>
      <w:bookmarkEnd w:id="644"/>
      <w:r>
        <w:rPr>
          <w:rFonts w:ascii="Times New Roman;Times;Serif" w:hAnsi="Times New Roman;Times;Serif"/>
          <w:b w:val="false"/>
          <w:i w:val="false"/>
          <w:caps w:val="false"/>
          <w:smallCaps w:val="false"/>
          <w:sz w:val="20"/>
        </w:rPr>
        <w:t>275,000 shares of Common Stock for aggregate gross proceeds of $</w:t>
      </w:r>
      <w:bookmarkStart w:id="645" w:name="xdx_907_eus-gaap--ProceedsFromIssuanceOf"/>
      <w:bookmarkEnd w:id="645"/>
      <w:r>
        <w:rPr>
          <w:rFonts w:ascii="Times New Roman;Times;Serif" w:hAnsi="Times New Roman;Times;Serif"/>
          <w:b w:val="false"/>
          <w:i w:val="false"/>
          <w:caps w:val="false"/>
          <w:smallCaps w:val="false"/>
          <w:sz w:val="20"/>
        </w:rPr>
        <w:t xml:space="preserve">495 and (iii) Savbo an aggregate of </w:t>
      </w:r>
      <w:bookmarkStart w:id="646" w:name="xdx_903_eus-gaap--SaleOfStockNumberOfSha"/>
      <w:bookmarkEnd w:id="646"/>
      <w:r>
        <w:rPr>
          <w:rFonts w:ascii="Times New Roman;Times;Serif" w:hAnsi="Times New Roman;Times;Serif"/>
          <w:b w:val="false"/>
          <w:i w:val="false"/>
          <w:caps w:val="false"/>
          <w:smallCaps w:val="false"/>
          <w:sz w:val="20"/>
        </w:rPr>
        <w:t xml:space="preserve">50,000 shares of Common stock and PIPE Warrants to purchase up to an aggregate of </w:t>
      </w:r>
      <w:bookmarkStart w:id="647" w:name="xdx_905_eus-gaap--SaleOfStockNumberOfSha"/>
      <w:bookmarkEnd w:id="647"/>
      <w:r>
        <w:rPr>
          <w:rFonts w:ascii="Times New Roman;Times;Serif" w:hAnsi="Times New Roman;Times;Serif"/>
          <w:b w:val="false"/>
          <w:i w:val="false"/>
          <w:caps w:val="false"/>
          <w:smallCaps w:val="false"/>
          <w:sz w:val="20"/>
        </w:rPr>
        <w:t>50,000 shares of Common Stock for aggregate gross proceeds of $</w:t>
      </w:r>
      <w:bookmarkStart w:id="648" w:name="xdx_90B_eus-gaap--ProceedsFromIssuanceOf"/>
      <w:bookmarkEnd w:id="648"/>
      <w:r>
        <w:rPr>
          <w:rFonts w:ascii="Times New Roman;Times;Serif" w:hAnsi="Times New Roman;Times;Serif"/>
          <w:b w:val="false"/>
          <w:i w:val="false"/>
          <w:caps w:val="false"/>
          <w:smallCaps w:val="false"/>
          <w:sz w:val="20"/>
        </w:rPr>
        <w:t>90.</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49" w:name="xdx_80E_eus-gaap--ConcentrationRiskDiscl"/>
      <w:bookmarkEnd w:id="649"/>
      <w:r>
        <w:rPr>
          <w:rFonts w:ascii="Times New Roman;Times;Serif" w:hAnsi="Times New Roman;Times;Serif"/>
          <w:b/>
          <w:i w:val="false"/>
          <w:caps w:val="false"/>
          <w:smallCaps w:val="false"/>
          <w:sz w:val="20"/>
        </w:rPr>
        <w:t xml:space="preserve">15. </w:t>
      </w:r>
      <w:bookmarkStart w:id="650" w:name="xdx_827_znMAnP8Whfr6"/>
      <w:bookmarkEnd w:id="650"/>
      <w:r>
        <w:rPr>
          <w:rFonts w:ascii="Times New Roman;Times;Serif" w:hAnsi="Times New Roman;Times;Serif"/>
          <w:b/>
          <w:i w:val="false"/>
          <w:caps w:val="false"/>
          <w:smallCaps w:val="false"/>
          <w:sz w:val="20"/>
        </w:rPr>
        <w:t>MAJOR CUSTOMERS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2025, revenue from </w:t>
      </w:r>
      <w:bookmarkStart w:id="651" w:name="xdx_906_ecustom--NumberOfMajorCustomers_"/>
      <w:bookmarkEnd w:id="651"/>
      <w:r>
        <w:rPr>
          <w:rFonts w:ascii="Times New Roman;Times;Serif" w:hAnsi="Times New Roman;Times;Serif"/>
          <w:b w:val="false"/>
          <w:i w:val="false"/>
          <w:caps w:val="false"/>
          <w:smallCaps w:val="false"/>
          <w:sz w:val="20"/>
        </w:rPr>
        <w:t xml:space="preserve">three customers accounted for approximately </w:t>
      </w:r>
      <w:bookmarkStart w:id="652" w:name="xdx_903_eus-gaap--ConcentrationRiskPerce"/>
      <w:bookmarkEnd w:id="652"/>
      <w:r>
        <w:rPr>
          <w:rFonts w:ascii="Times New Roman;Times;Serif" w:hAnsi="Times New Roman;Times;Serif"/>
          <w:b w:val="false"/>
          <w:i w:val="false"/>
          <w:caps w:val="false"/>
          <w:smallCaps w:val="false"/>
          <w:sz w:val="20"/>
        </w:rPr>
        <w:t xml:space="preserve">32%, </w:t>
      </w:r>
      <w:bookmarkStart w:id="653" w:name="xdx_90D_eus-gaap--ConcentrationRiskPerce"/>
      <w:bookmarkEnd w:id="653"/>
      <w:r>
        <w:rPr>
          <w:rFonts w:ascii="Times New Roman;Times;Serif" w:hAnsi="Times New Roman;Times;Serif"/>
          <w:b w:val="false"/>
          <w:i w:val="false"/>
          <w:caps w:val="false"/>
          <w:smallCaps w:val="false"/>
          <w:sz w:val="20"/>
        </w:rPr>
        <w:t xml:space="preserve">23% and </w:t>
      </w:r>
      <w:bookmarkStart w:id="654" w:name="xdx_90C_eus-gaap--ConcentrationRiskPerce"/>
      <w:bookmarkEnd w:id="654"/>
      <w:r>
        <w:rPr>
          <w:rFonts w:ascii="Times New Roman;Times;Serif" w:hAnsi="Times New Roman;Times;Serif"/>
          <w:b w:val="false"/>
          <w:i w:val="false"/>
          <w:caps w:val="false"/>
          <w:smallCaps w:val="false"/>
          <w:sz w:val="20"/>
        </w:rPr>
        <w:t xml:space="preserve">10% of revenue, respectively, with no other single customer accounting for more than 10% of total revenue. For the three months ended June 30, 2024, revenue from </w:t>
      </w:r>
      <w:bookmarkStart w:id="655" w:name="xdx_90D_ecustom--NumberOfMajorCustomers_"/>
      <w:bookmarkEnd w:id="655"/>
      <w:r>
        <w:rPr>
          <w:rFonts w:ascii="Times New Roman;Times;Serif" w:hAnsi="Times New Roman;Times;Serif"/>
          <w:b w:val="false"/>
          <w:i w:val="false"/>
          <w:caps w:val="false"/>
          <w:smallCaps w:val="false"/>
          <w:sz w:val="20"/>
        </w:rPr>
        <w:t xml:space="preserve">one distributor accounted for approximately </w:t>
      </w:r>
      <w:bookmarkStart w:id="656" w:name="xdx_905_eus-gaap--ConcentrationRiskPerce"/>
      <w:bookmarkEnd w:id="656"/>
      <w:r>
        <w:rPr>
          <w:rFonts w:ascii="Times New Roman;Times;Serif" w:hAnsi="Times New Roman;Times;Serif"/>
          <w:b w:val="false"/>
          <w:i w:val="false"/>
          <w:caps w:val="false"/>
          <w:smallCaps w:val="false"/>
          <w:sz w:val="20"/>
        </w:rPr>
        <w:t xml:space="preserve">39% of revenue, with no other single customer accounting for more than </w:t>
      </w:r>
      <w:bookmarkStart w:id="657" w:name="xdx_90A_eus-gaap--ConcentrationRiskPerce"/>
      <w:bookmarkEnd w:id="657"/>
      <w:r>
        <w:rPr>
          <w:rFonts w:ascii="Times New Roman;Times;Serif" w:hAnsi="Times New Roman;Times;Serif"/>
          <w:b w:val="false"/>
          <w:i w:val="false"/>
          <w:caps w:val="false"/>
          <w:smallCaps w:val="false"/>
          <w:sz w:val="20"/>
        </w:rPr>
        <w:t>10% of total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2025, revenue from </w:t>
      </w:r>
      <w:bookmarkStart w:id="658" w:name="xdx_905_ecustom--NumberOfMajorCustomers_"/>
      <w:bookmarkEnd w:id="658"/>
      <w:r>
        <w:rPr>
          <w:rFonts w:ascii="Times New Roman;Times;Serif" w:hAnsi="Times New Roman;Times;Serif"/>
          <w:b w:val="false"/>
          <w:i w:val="false"/>
          <w:caps w:val="false"/>
          <w:smallCaps w:val="false"/>
          <w:sz w:val="20"/>
        </w:rPr>
        <w:t xml:space="preserve">one customer accounted for approximately </w:t>
      </w:r>
      <w:bookmarkStart w:id="659" w:name="xdx_90B_eus-gaap--ConcentrationRiskPerce"/>
      <w:bookmarkEnd w:id="659"/>
      <w:r>
        <w:rPr>
          <w:rFonts w:ascii="Times New Roman;Times;Serif" w:hAnsi="Times New Roman;Times;Serif"/>
          <w:b w:val="false"/>
          <w:i w:val="false"/>
          <w:caps w:val="false"/>
          <w:smallCaps w:val="false"/>
          <w:sz w:val="20"/>
        </w:rPr>
        <w:t xml:space="preserve">16% of revenue, with no other single customer accounting for more than 10% of total revenue. For the six months ended June 30, 2024, revenue from </w:t>
      </w:r>
      <w:bookmarkStart w:id="660" w:name="xdx_908_ecustom--NumberOfMajorCustomers_"/>
      <w:bookmarkEnd w:id="660"/>
      <w:r>
        <w:rPr>
          <w:rFonts w:ascii="Times New Roman;Times;Serif" w:hAnsi="Times New Roman;Times;Serif"/>
          <w:b w:val="false"/>
          <w:i w:val="false"/>
          <w:caps w:val="false"/>
          <w:smallCaps w:val="false"/>
          <w:sz w:val="20"/>
        </w:rPr>
        <w:t xml:space="preserve">two distributors accounted for approximately </w:t>
      </w:r>
      <w:bookmarkStart w:id="661" w:name="xdx_90F_eus-gaap--ConcentrationRiskPerce"/>
      <w:bookmarkEnd w:id="661"/>
      <w:r>
        <w:rPr>
          <w:rFonts w:ascii="Times New Roman;Times;Serif" w:hAnsi="Times New Roman;Times;Serif"/>
          <w:b w:val="false"/>
          <w:i w:val="false"/>
          <w:caps w:val="false"/>
          <w:smallCaps w:val="false"/>
          <w:sz w:val="20"/>
        </w:rPr>
        <w:t xml:space="preserve">33% and </w:t>
      </w:r>
      <w:bookmarkStart w:id="662" w:name="xdx_903_eus-gaap--ConcentrationRiskPerce"/>
      <w:bookmarkEnd w:id="662"/>
      <w:r>
        <w:rPr>
          <w:rFonts w:ascii="Times New Roman;Times;Serif" w:hAnsi="Times New Roman;Times;Serif"/>
          <w:b w:val="false"/>
          <w:i w:val="false"/>
          <w:caps w:val="false"/>
          <w:smallCaps w:val="false"/>
          <w:sz w:val="20"/>
        </w:rPr>
        <w:t xml:space="preserve">20% of revenue, respectively, with no other single customer accounting for more than </w:t>
      </w:r>
      <w:bookmarkStart w:id="663" w:name="xdx_906_eus-gaap--ConcentrationRiskPerce"/>
      <w:bookmarkEnd w:id="663"/>
      <w:r>
        <w:rPr>
          <w:rFonts w:ascii="Times New Roman;Times;Serif" w:hAnsi="Times New Roman;Times;Serif"/>
          <w:b w:val="false"/>
          <w:i w:val="false"/>
          <w:caps w:val="false"/>
          <w:smallCaps w:val="false"/>
          <w:sz w:val="20"/>
        </w:rPr>
        <w:t>10% of total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2025, accounts receivable from </w:t>
      </w:r>
      <w:bookmarkStart w:id="664" w:name="xdx_90A_ecustom--NumberOfMajorCustomers_"/>
      <w:bookmarkEnd w:id="664"/>
      <w:r>
        <w:rPr>
          <w:rFonts w:ascii="Times New Roman;Times;Serif" w:hAnsi="Times New Roman;Times;Serif"/>
          <w:b w:val="false"/>
          <w:i w:val="false"/>
          <w:caps w:val="false"/>
          <w:smallCaps w:val="false"/>
          <w:sz w:val="20"/>
        </w:rPr>
        <w:t xml:space="preserve">four customers accounted for </w:t>
      </w:r>
      <w:bookmarkStart w:id="665" w:name="xdx_904_eus-gaap--ConcentrationRiskPerce"/>
      <w:bookmarkEnd w:id="665"/>
      <w:r>
        <w:rPr>
          <w:rFonts w:ascii="Times New Roman;Times;Serif" w:hAnsi="Times New Roman;Times;Serif"/>
          <w:b w:val="false"/>
          <w:i w:val="false"/>
          <w:caps w:val="false"/>
          <w:smallCaps w:val="false"/>
          <w:sz w:val="20"/>
        </w:rPr>
        <w:t xml:space="preserve">15%, </w:t>
      </w:r>
      <w:bookmarkStart w:id="666" w:name="xdx_90C_eus-gaap--ConcentrationRiskPerce"/>
      <w:bookmarkEnd w:id="666"/>
      <w:r>
        <w:rPr>
          <w:rFonts w:ascii="Times New Roman;Times;Serif" w:hAnsi="Times New Roman;Times;Serif"/>
          <w:b w:val="false"/>
          <w:i w:val="false"/>
          <w:caps w:val="false"/>
          <w:smallCaps w:val="false"/>
          <w:sz w:val="20"/>
        </w:rPr>
        <w:t xml:space="preserve">13%, </w:t>
      </w:r>
      <w:bookmarkStart w:id="667" w:name="xdx_908_eus-gaap--ConcentrationRiskPerce"/>
      <w:bookmarkEnd w:id="667"/>
      <w:r>
        <w:rPr>
          <w:rFonts w:ascii="Times New Roman;Times;Serif" w:hAnsi="Times New Roman;Times;Serif"/>
          <w:b w:val="false"/>
          <w:i w:val="false"/>
          <w:caps w:val="false"/>
          <w:smallCaps w:val="false"/>
          <w:sz w:val="20"/>
        </w:rPr>
        <w:t xml:space="preserve">11%, </w:t>
      </w:r>
      <w:bookmarkStart w:id="668" w:name="xdx_90A_eus-gaap--ConcentrationRiskPerce"/>
      <w:bookmarkEnd w:id="668"/>
      <w:r>
        <w:rPr>
          <w:rFonts w:ascii="Times New Roman;Times;Serif" w:hAnsi="Times New Roman;Times;Serif"/>
          <w:b w:val="false"/>
          <w:i w:val="false"/>
          <w:caps w:val="false"/>
          <w:smallCaps w:val="false"/>
          <w:sz w:val="20"/>
        </w:rPr>
        <w:t xml:space="preserve">10%, respectively, of net accounts receivable with no other single customer accounting for more than </w:t>
      </w:r>
      <w:bookmarkStart w:id="669" w:name="xdx_90A_eus-gaap--ConcentrationRiskPerce"/>
      <w:bookmarkEnd w:id="669"/>
      <w:r>
        <w:rPr>
          <w:rFonts w:ascii="Times New Roman;Times;Serif" w:hAnsi="Times New Roman;Times;Serif"/>
          <w:b w:val="false"/>
          <w:i w:val="false"/>
          <w:caps w:val="false"/>
          <w:smallCaps w:val="false"/>
          <w:sz w:val="20"/>
        </w:rPr>
        <w:t xml:space="preserve">10% of the accounts receivable balance. At December 31, 2024, accounts receivable from </w:t>
      </w:r>
      <w:bookmarkStart w:id="670" w:name="xdx_90F_ecustom--NumberOfMajorCustomers_"/>
      <w:bookmarkEnd w:id="670"/>
      <w:r>
        <w:rPr>
          <w:rFonts w:ascii="Times New Roman;Times;Serif" w:hAnsi="Times New Roman;Times;Serif"/>
          <w:b w:val="false"/>
          <w:i w:val="false"/>
          <w:caps w:val="false"/>
          <w:smallCaps w:val="false"/>
          <w:sz w:val="20"/>
        </w:rPr>
        <w:t xml:space="preserve">two distributors accounted for </w:t>
      </w:r>
      <w:bookmarkStart w:id="671" w:name="xdx_90B_eus-gaap--ConcentrationRiskPerce"/>
      <w:bookmarkEnd w:id="671"/>
      <w:r>
        <w:rPr>
          <w:rFonts w:ascii="Times New Roman;Times;Serif" w:hAnsi="Times New Roman;Times;Serif"/>
          <w:b w:val="false"/>
          <w:i w:val="false"/>
          <w:caps w:val="false"/>
          <w:smallCaps w:val="false"/>
          <w:sz w:val="20"/>
        </w:rPr>
        <w:t xml:space="preserve">11% and </w:t>
      </w:r>
      <w:bookmarkStart w:id="672" w:name="xdx_90D_eus-gaap--ConcentrationRiskPerce"/>
      <w:bookmarkEnd w:id="672"/>
      <w:r>
        <w:rPr>
          <w:rFonts w:ascii="Times New Roman;Times;Serif" w:hAnsi="Times New Roman;Times;Serif"/>
          <w:b w:val="false"/>
          <w:i w:val="false"/>
          <w:caps w:val="false"/>
          <w:smallCaps w:val="false"/>
          <w:sz w:val="20"/>
        </w:rPr>
        <w:t xml:space="preserve">10%, respectively, of net accounts receivable, with no other single customer accounting for more than </w:t>
      </w:r>
      <w:bookmarkStart w:id="673" w:name="xdx_908_eus-gaap--ConcentrationRiskPerce"/>
      <w:bookmarkEnd w:id="673"/>
      <w:r>
        <w:rPr>
          <w:rFonts w:ascii="Times New Roman;Times;Serif" w:hAnsi="Times New Roman;Times;Serif"/>
          <w:b w:val="false"/>
          <w:i w:val="false"/>
          <w:caps w:val="false"/>
          <w:smallCaps w:val="false"/>
          <w:sz w:val="20"/>
        </w:rPr>
        <w:t>10% of the accounts receivable balance.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74" w:name="xdx_898_eus-gaap--DisaggregationOfRevenu"/>
      <w:bookmarkEnd w:id="674"/>
      <w:r>
        <w:rPr>
          <w:rFonts w:ascii="Times New Roman;Times;Serif" w:hAnsi="Times New Roman;Times;Serif"/>
          <w:b w:val="false"/>
          <w:i w:val="false"/>
          <w:caps w:val="false"/>
          <w:smallCaps w:val="false"/>
          <w:sz w:val="20"/>
        </w:rPr>
        <w:t>The following table summarizes revenue by geographic region. Revenue is attributed to countries based on customer’s delivery location:</w:t>
      </w:r>
    </w:p>
    <w:p>
      <w:pPr>
        <w:pStyle w:val="TextBody"/>
        <w:bidi w:val="0"/>
        <w:spacing w:before="0" w:after="0"/>
        <w:jc w:val="both"/>
        <w:rPr>
          <w:caps w:val="false"/>
          <w:smallCaps w:val="false"/>
        </w:rPr>
      </w:pPr>
      <w:r>
        <w:rPr>
          <w:caps w:val="false"/>
          <w:smallCaps w:val="false"/>
        </w:rPr>
        <w:t> </w:t>
      </w:r>
      <w:bookmarkStart w:id="675" w:name="xdx_8BA_zptgPt2cQGr9"/>
      <w:bookmarkEnd w:id="675"/>
      <w:r>
        <w:rPr>
          <w:rFonts w:ascii="Times New Roman;Times;Serif" w:hAnsi="Times New Roman;Times;Serif"/>
          <w:b w:val="false"/>
          <w:i w:val="false"/>
          <w:caps w:val="false"/>
          <w:smallCaps w:val="false"/>
          <w:sz w:val="20"/>
        </w:rPr>
        <w:t>SCHEDULE OF DISAGGREGATION OF REVENUE</w:t>
      </w:r>
    </w:p>
    <w:tbl>
      <w:tblPr>
        <w:tblW w:w="7569" w:type="dxa"/>
        <w:jc w:val="left"/>
        <w:tblInd w:w="0" w:type="dxa"/>
        <w:tblLayout w:type="fixed"/>
        <w:tblCellMar>
          <w:top w:w="0" w:type="dxa"/>
          <w:left w:w="0" w:type="dxa"/>
          <w:bottom w:w="0" w:type="dxa"/>
          <w:right w:w="0" w:type="dxa"/>
        </w:tblCellMar>
      </w:tblPr>
      <w:tblGrid>
        <w:gridCol w:w="3050"/>
        <w:gridCol w:w="60"/>
        <w:gridCol w:w="210"/>
        <w:gridCol w:w="841"/>
        <w:gridCol w:w="90"/>
        <w:gridCol w:w="90"/>
        <w:gridCol w:w="210"/>
        <w:gridCol w:w="841"/>
        <w:gridCol w:w="60"/>
        <w:gridCol w:w="60"/>
        <w:gridCol w:w="182"/>
        <w:gridCol w:w="731"/>
        <w:gridCol w:w="78"/>
        <w:gridCol w:w="78"/>
        <w:gridCol w:w="182"/>
        <w:gridCol w:w="731"/>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6" w:name="xdx_494_20250401__20250630_zUPjIsGhJQIf"/>
            <w:bookmarkEnd w:id="676"/>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bookmarkStart w:id="677" w:name="xdx_49C_20240401__20240630_z6gGykvSBwkd"/>
            <w:bookmarkEnd w:id="677"/>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8" w:name="xdx_491_20250101__20250630_z7pzkYrjKQqe"/>
            <w:bookmarkEnd w:id="678"/>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679" w:name="xdx_496_20240101__20240630_zRNqAHQPAkf3"/>
            <w:bookmarkEnd w:id="679"/>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2" w:type="dxa"/>
            <w:gridSpan w:val="6"/>
            <w:tcBorders/>
            <w:vAlign w:val="center"/>
          </w:tcPr>
          <w:p>
            <w:pPr>
              <w:pStyle w:val="TableContents"/>
              <w:bidi w:val="0"/>
              <w:spacing w:before="0" w:after="283"/>
              <w:jc w:val="center"/>
              <w:rPr>
                <w:b/>
              </w:rPr>
            </w:pPr>
            <w:r>
              <w:rPr>
                <w:b/>
              </w:rPr>
              <w:t>For the Three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vAlign w:val="center"/>
          </w:tcPr>
          <w:p>
            <w:pPr>
              <w:pStyle w:val="TableContents"/>
              <w:bidi w:val="0"/>
              <w:spacing w:before="0" w:after="283"/>
              <w:jc w:val="center"/>
              <w:rPr>
                <w:b/>
              </w:rPr>
            </w:pPr>
            <w:r>
              <w:rPr>
                <w:b/>
              </w:rPr>
              <w:t>For the Six Months</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Ended June 30,</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80" w:name="xdx_40E_eus-gaap--Revenues_pn3n3_hsrt--S"/>
            <w:bookmarkEnd w:id="680"/>
          </w:p>
        </w:tc>
      </w:tr>
      <w:tr>
        <w:trPr/>
        <w:tc>
          <w:tcPr>
            <w:tcW w:w="3050"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1,536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1,592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2,999</w:t>
            </w:r>
          </w:p>
        </w:tc>
        <w:tc>
          <w:tcPr>
            <w:tcW w:w="75" w:type="dxa"/>
            <w:tcBorders/>
            <w:shd w:fill="CCEEFF" w:val="clear"/>
            <w:vAlign w:val="center"/>
          </w:tcPr>
          <w:p>
            <w:pPr>
              <w:pStyle w:val="TableContents"/>
              <w:bidi w:val="0"/>
              <w:spacing w:before="0" w:after="283"/>
              <w:jc w:val="left"/>
              <w:rPr/>
            </w:pPr>
            <w:r>
              <w:rPr/>
              <w:t> </w:t>
            </w:r>
            <w:bookmarkStart w:id="681" w:name="xdx_40E_eus-gaap--Revenues_pn3n3_hsrt--S"/>
            <w:bookmarkEnd w:id="681"/>
          </w:p>
        </w:tc>
      </w:tr>
      <w:tr>
        <w:trPr/>
        <w:tc>
          <w:tcPr>
            <w:tcW w:w="3050" w:type="dxa"/>
            <w:tcBorders/>
            <w:shd w:fill="FFFFFF" w:val="clear"/>
            <w:vAlign w:val="center"/>
          </w:tcPr>
          <w:p>
            <w:pPr>
              <w:pStyle w:val="TableContents"/>
              <w:bidi w:val="0"/>
              <w:spacing w:before="0" w:after="283"/>
              <w:jc w:val="left"/>
              <w:rPr/>
            </w:pPr>
            <w:r>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166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186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43</w:t>
            </w:r>
          </w:p>
        </w:tc>
        <w:tc>
          <w:tcPr>
            <w:tcW w:w="75" w:type="dxa"/>
            <w:tcBorders/>
            <w:shd w:fill="FFFFFF" w:val="clear"/>
            <w:vAlign w:val="center"/>
          </w:tcPr>
          <w:p>
            <w:pPr>
              <w:pStyle w:val="TableContents"/>
              <w:bidi w:val="0"/>
              <w:spacing w:before="0" w:after="283"/>
              <w:jc w:val="left"/>
              <w:rPr/>
            </w:pPr>
            <w:r>
              <w:rPr/>
              <w:t> </w:t>
            </w:r>
            <w:bookmarkStart w:id="682" w:name="xdx_406_eus-gaap--Revenues_pn3n3_hsrt--S"/>
            <w:bookmarkEnd w:id="682"/>
          </w:p>
        </w:tc>
      </w:tr>
      <w:tr>
        <w:trPr/>
        <w:tc>
          <w:tcPr>
            <w:tcW w:w="3050"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bookmarkStart w:id="683" w:name="xdx_40E_eus-gaap--Revenues_pn3n3_zZx8Y1E"/>
            <w:bookmarkEnd w:id="683"/>
          </w:p>
        </w:tc>
      </w:tr>
      <w:tr>
        <w:trPr/>
        <w:tc>
          <w:tcPr>
            <w:tcW w:w="305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pPr>
            <w:r>
              <w:rPr/>
              <w:t>1,012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pPr>
            <w:r>
              <w:rPr/>
              <w:t>1,573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pPr>
            <w:r>
              <w:rPr/>
              <w:t>1,778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jc w:val="right"/>
              <w:rPr/>
            </w:pPr>
            <w:r>
              <w:rPr/>
              <w:t>3,049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84" w:name="xdx_8AA_z4WZjPjqyYH2"/>
      <w:bookmarkEnd w:id="684"/>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85" w:name="xdx_801_eus-gaap--AssetAcquisitionTextBl"/>
      <w:bookmarkEnd w:id="685"/>
      <w:r>
        <w:rPr>
          <w:rFonts w:ascii="Times New Roman;Times;Serif" w:hAnsi="Times New Roman;Times;Serif"/>
          <w:b/>
          <w:i w:val="false"/>
          <w:caps w:val="false"/>
          <w:smallCaps w:val="false"/>
          <w:sz w:val="20"/>
        </w:rPr>
        <w:t xml:space="preserve">16. </w:t>
      </w:r>
      <w:bookmarkStart w:id="686" w:name="xdx_820_zfwa17HOOIKe"/>
      <w:bookmarkEnd w:id="686"/>
      <w:r>
        <w:rPr>
          <w:rFonts w:ascii="Times New Roman;Times;Serif" w:hAnsi="Times New Roman;Times;Serif"/>
          <w:b/>
          <w:i w:val="false"/>
          <w:caps w:val="false"/>
          <w:smallCaps w:val="false"/>
          <w:sz w:val="20"/>
        </w:rPr>
        <w:t>W1 ACQUISITION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and W1, entered into an Asset Purchase Agreement, dated as of February 18, 2025 pursuant which, subject to the terms and conditions set forth therein, the Company agreed to acquire substantially all the assets of W1 used in, held for use in or relating to the business of advisory and investigative professional services which related to specific identified customer contracts. The Company recorded the transaction as an Asset Acquisition in accordance with ASC 805 and recorded $</w:t>
      </w:r>
      <w:bookmarkStart w:id="687" w:name="xdx_908_eus-gaap--IntangibleAssetsNetExc"/>
      <w:bookmarkEnd w:id="687"/>
      <w:r>
        <w:rPr>
          <w:rFonts w:ascii="Times New Roman;Times;Serif" w:hAnsi="Times New Roman;Times;Serif"/>
          <w:b w:val="false"/>
          <w:i w:val="false"/>
          <w:caps w:val="false"/>
          <w:smallCaps w:val="false"/>
          <w:sz w:val="20"/>
        </w:rPr>
        <w:t>54 as intangible assets included in Customer Relationships (See Note 6 “Intangible Assets” above). The Company has preliminarily assigned a three-year life to such Customer Relationships.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88" w:name="xdx_807_eus-gaap--SubsequentEventsTextBl"/>
      <w:bookmarkEnd w:id="688"/>
      <w:r>
        <w:rPr>
          <w:rFonts w:ascii="Times New Roman;Times;Serif" w:hAnsi="Times New Roman;Times;Serif"/>
          <w:b/>
          <w:i w:val="false"/>
          <w:caps w:val="false"/>
          <w:smallCaps w:val="false"/>
          <w:sz w:val="20"/>
        </w:rPr>
        <w:t xml:space="preserve">17. </w:t>
      </w:r>
      <w:bookmarkStart w:id="689" w:name="xdx_821_zhUbD62Wx2D8"/>
      <w:bookmarkEnd w:id="689"/>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reviewed activities through August 14, 2025, and determined that there are no subsequent events that require disclosure in accordance with ASC 855-10-25-1.</w:t>
      </w:r>
    </w:p>
    <w:p>
      <w:pPr>
        <w:pStyle w:val="TextBody"/>
        <w:bidi w:val="0"/>
        <w:spacing w:before="0" w:after="0"/>
        <w:jc w:val="both"/>
        <w:rPr>
          <w:caps w:val="false"/>
          <w:smallCaps w:val="false"/>
        </w:rPr>
      </w:pPr>
      <w:bookmarkStart w:id="690" w:name="xdx_81D_zHPuBiTvHZli"/>
      <w:bookmarkEnd w:id="69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1" w:name="a_008"/>
      <w:bookmarkEnd w:id="691"/>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You should read the following discussion in conjunction with the financial statements and other financial information included elsewhere in this Quarterly Report on Form 10-Q (this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with our audited financial statements and other information presented in our Annual Report on Form 10-K for the year ended December 31, 2024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Annual 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This Report may contain or incorporate by reference forward-looking statements within the meaning of Section 27A of the Securities Act of 1933,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Section 21E of the Securities Exchange Act of 1934,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Such forward-looking statements are based upon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 assumptions, expectations, projections, intentions and beliefs about future events. Except for historical information, the use of predictive, future-tense or forward-looking words such as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seek,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would,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the negative or plural of such words and similar expressions or variations of such words are intended to identify forward-looking statements but are not the only means of identifying forward-looking statements. Such forward-looking statements are subject to several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 market for our product and technology enabled services includes approximately 900,000 full-time sworn law enforcement officers in over 18,000 federal, state, and local law enforcement agencies in the U.S. and over 12 million police officers in more than 100 countries. Additionally, we are exploring opportunities to increase our presence in other adjacent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our efforts on the following 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BolaWrap Remote Restraint Device</w:t>
      </w:r>
      <w:r>
        <w:rPr>
          <w:rFonts w:ascii="Times New Roman;Times;Serif" w:hAnsi="Times New Roman;Times;Serif"/>
          <w:b w:val="false"/>
          <w:i w:val="false"/>
          <w:caps w:val="false"/>
          <w:smallCaps w:val="false"/>
          <w:sz w:val="20"/>
        </w:rPr>
        <w:t xml:space="preserve"> - a hand-held remote restraint device that discharges a seven and half-foot Kevlar tether to entangle an individual at a range of 10-25 feet. BolaWrap assists law enforcement to safely and effectively control encounters early without resorting to painful use of force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Reality</w:t>
      </w:r>
      <w:r>
        <w:rPr>
          <w:rFonts w:ascii="Times New Roman;Times;Serif" w:hAnsi="Times New Roman;Times;Serif"/>
          <w:b w:val="false"/>
          <w:i w:val="false"/>
          <w:caps w:val="false"/>
          <w:smallCaps w:val="false"/>
          <w:sz w:val="20"/>
        </w:rPr>
        <w:t xml:space="preserve"> - a law enforcement 3D training system employing immersive computer graphics VR with proprietary software-enabled content. It allows up 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Intrensic</w:t>
      </w:r>
      <w:r>
        <w:rPr>
          <w:rFonts w:ascii="Times New Roman;Times;Serif" w:hAnsi="Times New Roman;Times;Serif"/>
          <w:b w:val="false"/>
          <w:i w:val="false"/>
          <w:caps w:val="false"/>
          <w:smallCaps w:val="false"/>
          <w:sz w:val="20"/>
        </w:rPr>
        <w:t xml:space="preserve"> - a Body-Worn Camera and Digital Evidence Management solutions provider. BWC and DEM play crucial roles in 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U.S. law enforcement market, we have shipped our restraint products to 62 countries. We have distribution agreements with 22 international distributors covering 43 countries. We focus significant sales, training and business development efforts to support our distribution network in addition to our internal sales team.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W1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we entered into an Asset Purchase Agreement, dated as of February 18, 2025, pursuant to which, subject to the terms and conditions set forth therein, we acquired substantially all the assets of W1 Global, LLC, (“W1”) used in, held for use in or relating to the business of advisory and investigative professional services, which were primarily the customer contracts assigned at the closing, for a nominal purchase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 and Challenges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Company’s products and solutions are gaining global recognition and awareness through various channels such as social media, trade shows, and media exposure, among others. In part, this recognition and awareness can be attributed to positive feedback from law enforcement agencies and the successful deployment of our products. As a result, we believe our brand is becoming increasingly recognized on a global scale as a leader in Pre-Escalation and non-lethal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focused on sales, marketing, public and investor relations efforts. We believe there are increasing market opportunities for our products and solutions in the law enforcement and security sectors worldwide. These opportunities are driven by the increasing demand for less-lethal policing.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law enforcement sector, our BolaWrap product has been successfully deployed in the field, as reported by many agencies. BolaWrap is now in use by over 900 U.S. law enforcement agencies and in 62 countries. Due to its non-lethal, non-pain-based-compliance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agencies voluntarily report usage to Wrap but many do not. In the usage reports we have been provided, officers have reported successful outcomes in 85% of the use cases. This percentage is higher than what is often seen with less lethal tools. From the information we have been provided, the most common BolaWrap use case is for individuals with or experiencing behavioral health issues, and the second most common BolaWrap use case is during domestic violence calls.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reasons why we may not receive reports on all the use of the BolaWrap, including, when uses of BolaWrap are considered evidence in ongoing criminal cases, are controlled by local policy or regulation, or require officer and union permission to be shared with us. However, some agencies have shared bodycam footage of successful field deployments with us, which we may use in our training and education efforts. We believe that as the reports of BolaWrap’s effectiveness in Pre-Escalation continue to increase, it will contribute to our future revenue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and believe that our portfolio of non-lethal, non-pain-based compliance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such as after verbal commands break down and before the law enforcement officer is ready to escalate to less lethal pain compliance tools. We believe that law enforcement trainers and officers who have been trained to use our products, or have witnessed demonstrations, are more inclined to support the acquisition and deployment of our products by their respective departments to drive successful outcomes. As of June 30, 2025, over 1,580 agencies have received BolaWrap training with over 5,520 training officers at those agencies certified as BolaWrap instructors and qualified to train the rest of their departments, representing a 4% increase in agencies and a 3% increase in trained officers as compared to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of $3.3 million for the three months ended June 30, 2025 decreased by $0.9 million, when compared to $4.2 million for the three months ended June 30, 2024, as a result of the Company’s cost containment initiatives enacted beginning during the first half of 2024. Operating expense of $7.9 million for the six months ended June 30, 2025 decreased by $1.2 million, when compared to $9.1 million for the six months ended June 30, 2024.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geopolitical tensions and macroeconomic challenges have affected our quarterly results in the past and may in the future, we believe our Company is uniquely positioned to provide lifesaving technologies and training that enable law enforcement officers worldwide to conduct safe and effective encounters while reducing the use of force. With an increasing addressable market, the Company offers what we believe is a unique value proposition. Our improved pricing strategy, coupled with reduced operating expenses and our growing sales outlook, is expected to help reduce losses and improve cash flow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increase the number of product demonstrations and training sessions, particularly in international markets. Our new focus on the when and why BolaWrap is used has shown improved results. This is a departure from the hardware product only approach of the past. Our sales of the BolaWrap 150 and Wrap Reality are expected to continue to rise, aided by our ongoing cost savings and cost control measures, which we expect to lead to an overall reduction in cash burn.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had backlog of approximately $60 thousand which was expected to be delivered in the third quarter of 2025. Additionally, as of June 30, 2025, we had deferred revenue of $325 thousand consisting of $30 thousand related to VR, $226 thousand related to Intrensic, $50 thousand related to BolaWrap extended warranties and services and $19 thousand related to training. Distributor and customer orders for future deliveries are generally subject to modification, rescheduling or in some instances, cancellation, in the normal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adequate financial resources to sustain our operations for the twelve months. We recorded net loss from operations of $2.9 million during the three months ended June 30, 2025, compared to a net loss from operations of $3.2 million for the three months ended June 30, 2024; primarily driven by a decrease in operating expenses.. For the six months ended June 30, 2025 and June 30, 2024, we recorded net loss from operations of $3.8 and $7.3 million, respectively; primarily driven by a decrease in operating expenses. Net cash used in operations improved by $2.2 million, from a net cash used in operating activities of $7.2 million for the six months ended June 30, 2024, to net cash used in operating activities $5.0 million for the six months ended June 30, 2025. This positive change was primarily driven by the Company’s continued cost containment efforts and operational improvements.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innovate new applications for our public safety technology, open new geographies, develop new products and technologies to meet diverse customer requirements and identify and develop new markets for our products.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disruptions could also affect our operations and could negatively impact our ability to source materials, manufacture and distribute products in the future. Moreover, financial markets continue to experience significant volatility, which could potentially affect our ability to enter or modify favorable terms and conditions regarding equity and debt financing activities. Nevertheless, we had $4.2 million in cash and cash equivalents as of June 30, 2025 as compared to $3.6 million as of December 31, 2024.. We therefore believe we have sufficient capital to fund our operations for the next twelve months following this Report on Form 10-Q. However, we may require additional working capital and liquidity constraints and access to capital markets could still negatively affect our liquidity and may require changes to our plan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be positively or negatively impacted by continued social unrest and protests against law enforcement. Such unrest may be further fueled by misleading information or negative publicity about our solutions. We believe our solutions are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accounting principles generally accepted in the United States (“</w:t>
      </w:r>
      <w:r>
        <w:rPr>
          <w:rFonts w:ascii="Times New Roman;Times;Serif" w:hAnsi="Times New Roman;Times;Serif"/>
          <w:b w:val="false"/>
          <w:i/>
          <w:caps w:val="false"/>
          <w:smallCaps w:val="false"/>
          <w:sz w:val="20"/>
        </w:rPr>
        <w:t>U.S. GAAP</w:t>
      </w:r>
      <w:r>
        <w:rPr>
          <w:rFonts w:ascii="Times New Roman;Times;Serif" w:hAnsi="Times New Roman;Times;Serif"/>
          <w:b w:val="false"/>
          <w:i w:val="false"/>
          <w:caps w:val="false"/>
          <w:smallCaps w:val="false"/>
          <w:sz w:val="20"/>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accounting policies require higher degrees of judgment than others in application. These include share-based compensation and contingencies and areas such as revenue recognition, allowance for doubtful accounts, valuation of inventory and intangible assets, warranty liabilities and impairments.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We sell our products to customers including law enforcement agencies, domestic distributors and international distributors and revenue from such transactions is recognized in the periods that products are shipped (free on board (“</w:t>
      </w:r>
      <w:r>
        <w:rPr>
          <w:rFonts w:ascii="Times New Roman;Times;Serif" w:hAnsi="Times New Roman;Times;Serif"/>
          <w:b w:val="false"/>
          <w:i/>
          <w:caps w:val="false"/>
          <w:smallCaps w:val="false"/>
          <w:sz w:val="20"/>
        </w:rPr>
        <w:t>FOB</w:t>
      </w:r>
      <w:r>
        <w:rPr>
          <w:rFonts w:ascii="Times New Roman;Times;Serif" w:hAnsi="Times New Roman;Times;Serif"/>
          <w:b w:val="false"/>
          <w:i w:val="false"/>
          <w:caps w:val="false"/>
          <w:smallCaps w:val="false"/>
          <w:sz w:val="20"/>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Share-Based Compensation.</w:t>
      </w:r>
      <w:r>
        <w:rPr>
          <w:rFonts w:ascii="Times New Roman;Times;Serif" w:hAnsi="Times New Roman;Times;Serif"/>
          <w:b w:val="false"/>
          <w:i w:val="false"/>
          <w:caps w:val="false"/>
          <w:smallCaps w:val="false"/>
          <w:sz w:val="20"/>
        </w:rPr>
        <w:t xml:space="preserve"> We follow the fair value recognition provisions issued by the Financial Accounting Standards Board (“</w:t>
      </w:r>
      <w:r>
        <w:rPr>
          <w:rFonts w:ascii="Times New Roman;Times;Serif" w:hAnsi="Times New Roman;Times;Serif"/>
          <w:b w:val="false"/>
          <w:i/>
          <w:caps w:val="false"/>
          <w:smallCaps w:val="false"/>
          <w:sz w:val="20"/>
        </w:rPr>
        <w:t>FASB</w:t>
      </w:r>
      <w:r>
        <w:rPr>
          <w:rFonts w:ascii="Times New Roman;Times;Serif" w:hAnsi="Times New Roman;Times;Serif"/>
          <w:b w:val="false"/>
          <w:i w:val="false"/>
          <w:caps w:val="false"/>
          <w:smallCaps w:val="false"/>
          <w:sz w:val="20"/>
        </w:rPr>
        <w:t>”) in Accounting Standards Codification (“</w:t>
      </w:r>
      <w:r>
        <w:rPr>
          <w:rFonts w:ascii="Times New Roman;Times;Serif" w:hAnsi="Times New Roman;Times;Serif"/>
          <w:b w:val="false"/>
          <w:i/>
          <w:caps w:val="false"/>
          <w:smallCaps w:val="false"/>
          <w:sz w:val="20"/>
        </w:rPr>
        <w:t>ASC</w:t>
      </w:r>
      <w:r>
        <w:rPr>
          <w:rFonts w:ascii="Times New Roman;Times;Serif" w:hAnsi="Times New Roman;Times;Serif"/>
          <w:b w:val="false"/>
          <w:i w:val="false"/>
          <w:caps w:val="false"/>
          <w:smallCaps w:val="false"/>
          <w:sz w:val="20"/>
        </w:rPr>
        <w:t>”) Topic 718, Stock Compensation (“</w:t>
      </w:r>
      <w:r>
        <w:rPr>
          <w:rFonts w:ascii="Times New Roman;Times;Serif" w:hAnsi="Times New Roman;Times;Serif"/>
          <w:b w:val="false"/>
          <w:i/>
          <w:caps w:val="false"/>
          <w:smallCaps w:val="false"/>
          <w:sz w:val="20"/>
        </w:rPr>
        <w:t>ASC 718</w:t>
      </w:r>
      <w:r>
        <w:rPr>
          <w:rFonts w:ascii="Times New Roman;Times;Serif" w:hAnsi="Times New Roman;Times;Serif"/>
          <w:b w:val="false"/>
          <w:i w:val="false"/>
          <w:caps w:val="false"/>
          <w:smallCaps w:val="false"/>
          <w:sz w:val="20"/>
        </w:rPr>
        <w:t>”) and we adopted Accounting Standards Update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Allowance for Doubtful Accounts.</w:t>
      </w:r>
      <w:r>
        <w:rPr>
          <w:rFonts w:ascii="Times New Roman;Times;Serif" w:hAnsi="Times New Roman;Times;Serif"/>
          <w:b w:val="false"/>
          <w:i w:val="false"/>
          <w:caps w:val="false"/>
          <w:smallCaps w:val="false"/>
          <w:sz w:val="20"/>
        </w:rPr>
        <w:t xml:space="preserve"> Our products are sold to customers in many different markets and geographic locations. We estimate our bad debt reserve on a case-by-case basis and the aging of accounts due to a limited number of customers, mostly government agencies or well-established distributors. We base these estimates on many factors including customer creditworthiness, past transaction history with the customer, current economic industry trends and changes in customer payment terms. Our judgments and estimates regarding the collectability of accounts receivable have an impact on our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of Inventory</w:t>
      </w:r>
      <w:r>
        <w:rPr>
          <w:rFonts w:ascii="Times New Roman;Times;Serif" w:hAnsi="Times New Roman;Times;Serif"/>
          <w:b w:val="false"/>
          <w:i w:val="false"/>
          <w:caps w:val="false"/>
          <w:smallCaps w:val="false"/>
          <w:sz w:val="20"/>
        </w:rPr>
        <w:t>. Our inventory is comprised of raw materials, assemblies and finished products. We must periodically make judgments and estimates regarding the future utility and carrying value of our inventory. The carrying value of our inventory is periodically reviewed and impairments, if any, are recognized when the expected future benefit from our inventory is less than carrying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of Intangible Assets.</w:t>
      </w:r>
      <w:r>
        <w:rPr>
          <w:rFonts w:ascii="Times New Roman;Times;Serif" w:hAnsi="Times New Roman;Times;Serif"/>
          <w:b w:val="false"/>
          <w:i w:val="false"/>
          <w:caps w:val="false"/>
          <w:smallCaps w:val="false"/>
          <w:sz w:val="20"/>
        </w:rPr>
        <w:t xml:space="preserve"> Intangible assets consisted of (a) capitalized legal fees and filing expense related to obtaining patents and trademarks, (b) 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Accrued Expense.</w:t>
      </w:r>
      <w:r>
        <w:rPr>
          <w:rFonts w:ascii="Times New Roman;Times;Serif" w:hAnsi="Times New Roman;Times;Serif"/>
          <w:b w:val="false"/>
          <w:i w:val="false"/>
          <w:caps w:val="false"/>
          <w:smallCaps w:val="false"/>
          <w:sz w:val="20"/>
        </w:rPr>
        <w:t xml:space="preserve"> We establish a warranty reserve based on anticipated warranty claims at the time product revenue is recognized. This reserve requires us to make estimates regarding the amount and costs of warranty repairs we expect to make over a period of time. Factors affecting warranty reserve levels include the number of units sold, anticipated cost of warranty repairs, and anticipated rates of warranty claims. We have a very limited history to make such estimates and warranty estimates have an impact on our financial statements. Warranty expense is recorded in cost of revenue. We evaluate the adequacy of this reserve each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Warrants. </w:t>
      </w:r>
      <w:r>
        <w:rPr>
          <w:rFonts w:ascii="Times New Roman;Times;Serif" w:hAnsi="Times New Roman;Times;Serif"/>
          <w:b w:val="false"/>
          <w:i w:val="false"/>
          <w:caps w:val="false"/>
          <w:smallCaps w:val="false"/>
          <w:sz w:val="20"/>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As of June 30, 2025, all warrants are classified as equity-classified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Combination. </w:t>
      </w:r>
      <w:r>
        <w:rPr>
          <w:rFonts w:ascii="Times New Roman;Times;Serif" w:hAnsi="Times New Roman;Times;Serif"/>
          <w:b w:val="false"/>
          <w:i w:val="false"/>
          <w:caps w:val="false"/>
          <w:smallCaps w:val="false"/>
          <w:sz w:val="20"/>
        </w:rPr>
        <w:t>The Company accounts for its business combinations under the provisions of Accounting Standards Codification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assumptions, judgments and estimates relative to our critical accounting policies have not differed materially from actual results. Other than the warrants and business combination described above, there were no significant changes or modification of our critical accounting policies and estimates involving management valuation adjustments affecting our results for the period ended June 30, 2025. Our accounting policies are more fully described in Note 1. Organization and Summary of Significant Accounting Policies in the notes to our audited consolidated financial statements included in our Annual Report on Form 10-K for the year ended December 31, 2024, as filed with the SEC on March 31, 2025, as amended on April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segment. The Company’s chief operating decision maker is Scot Cohen, the Company’s Executive Chairman and Chief Executive Officer, who manages operations for purposes of allocating resources. Refer to Note 15. Major Customers and Related Information, in our financial statements for further discussion.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 includes (i) selling, general and administrative expense, (ii) research and development expense, and in the most recent fiscal quarter, and (iii)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operating costs to remain flat or slightly increase depending on the scope of additional sales and marketing initiatives. We may incur additional non-cash share-based compensation costs depending on future options and restricted stock unit grants that are impacted by stock prices and other valuation factors. Historical expenditures are not indicative of future expenditures.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June 30, 2025, Compared to Three Months Ended June 30, 2024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jc w:val="both"/>
        <w:rPr>
          <w:caps w:val="false"/>
          <w:smallCaps w:val="false"/>
        </w:rPr>
      </w:pPr>
      <w:r>
        <w:rPr>
          <w:caps w:val="false"/>
          <w:smallCaps w:val="false"/>
        </w:rPr>
        <w:t>  </w:t>
      </w:r>
    </w:p>
    <w:tbl>
      <w:tblPr>
        <w:tblW w:w="8361" w:type="dxa"/>
        <w:jc w:val="left"/>
        <w:tblInd w:w="0" w:type="dxa"/>
        <w:tblLayout w:type="fixed"/>
        <w:tblCellMar>
          <w:top w:w="0" w:type="dxa"/>
          <w:left w:w="0" w:type="dxa"/>
          <w:bottom w:w="0" w:type="dxa"/>
          <w:right w:w="0" w:type="dxa"/>
        </w:tblCellMar>
      </w:tblPr>
      <w:tblGrid>
        <w:gridCol w:w="3290"/>
        <w:gridCol w:w="60"/>
        <w:gridCol w:w="265"/>
        <w:gridCol w:w="1202"/>
        <w:gridCol w:w="179"/>
        <w:gridCol w:w="113"/>
        <w:gridCol w:w="265"/>
        <w:gridCol w:w="1202"/>
        <w:gridCol w:w="95"/>
        <w:gridCol w:w="60"/>
        <w:gridCol w:w="140"/>
        <w:gridCol w:w="635"/>
        <w:gridCol w:w="95"/>
        <w:gridCol w:w="60"/>
        <w:gridCol w:w="60"/>
        <w:gridCol w:w="335"/>
        <w:gridCol w:w="30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  </w:t>
            </w:r>
          </w:p>
        </w:tc>
        <w:tc>
          <w:tcPr>
            <w:tcW w:w="30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w:t>
            </w:r>
          </w:p>
        </w:tc>
        <w:tc>
          <w:tcPr>
            <w:tcW w:w="179" w:type="dxa"/>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p>
        </w:tc>
        <w:tc>
          <w:tcPr>
            <w:tcW w:w="14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    </w:t>
            </w: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6" w:type="dxa"/>
            <w:gridSpan w:val="14"/>
            <w:tcBorders/>
            <w:vAlign w:val="center"/>
          </w:tcPr>
          <w:p>
            <w:pPr>
              <w:pStyle w:val="TableContents"/>
              <w:bidi w:val="0"/>
              <w:spacing w:before="0" w:after="283"/>
              <w:jc w:val="center"/>
              <w:rPr/>
            </w:pPr>
            <w:r>
              <w:rPr/>
              <w:t>(in thousands, except percentage change)  </w:t>
            </w:r>
          </w:p>
        </w:tc>
        <w:tc>
          <w:tcPr>
            <w:tcW w:w="30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67" w:type="dxa"/>
            <w:gridSpan w:val="2"/>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467"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1202" w:type="dxa"/>
            <w:tcBorders/>
            <w:shd w:fill="FFFFFF" w:val="clear"/>
            <w:vAlign w:val="center"/>
          </w:tcPr>
          <w:p>
            <w:pPr>
              <w:pStyle w:val="TableContents"/>
              <w:bidi w:val="0"/>
              <w:spacing w:before="0" w:after="283"/>
              <w:jc w:val="right"/>
              <w:rPr/>
            </w:pPr>
            <w:r>
              <w:rPr/>
              <w:t>197</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(84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Managed services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764</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1,012</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525</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487</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(51</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2,986</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(14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354</w:t>
            </w:r>
          </w:p>
        </w:tc>
        <w:tc>
          <w:tcPr>
            <w:tcW w:w="17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3,340</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4,154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(2,853</w:t>
            </w:r>
          </w:p>
        </w:tc>
        <w:tc>
          <w:tcPr>
            <w:tcW w:w="179"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(3,170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net revenue of $0.2 million for the three months ended June 30, 2025, as compared to $1.3 million for the three months ended June 30, 2024, or an 84% decrease. The decrease for the three months ended June 30, 2025, as compared to June 30, 2024, is primarily a result of lower product orders offset by the added managed services revenue from the acquisition of the W1 business.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for the three months ended June 30, 2025, was $0.5 million, or a gross margin of 48%. Our gross profit for the three months ended June 30, 2024, was $1.0 million, or a gross margin of 63%. The decrease in gross profit represented a 51% decrease compared to the three months ended June 30, 2024, because of lower volume of the Bola Wrap 150 product sales offset by the added high-margin revenue from the Company’s acquisition of W1 in February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margins are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14% of product sales and 3% of our overall revenue in the three months ended June 30, 2025, and is expected to continue to grow as a recurring revenue base as more BolaWrap devices are in the field and the usage of BolaWrap increases. Additionally, we expect that gross margins will be impacted by growing our technology enabled services revenue contributions in the second half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supply chain has experienced notable component shortages, extended lead times, cost fluctuations, and logistical constraints, all of which have affected our product costs. Although we have seen these supply chain obstacles ease in 2025, we acknowledge that future supplier shortages, quality problems, and logistics delays could impact our production schedules and have a material negative impact on our financial condition, results of operation, and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Selling, 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 of $3.2 million for the three months ended June 30, 2025, was reduced by $0.3 million when compared to $3.5 million for the three months ended June 30, 2024. The decrease in SG&amp;A expense was primarily the result of the Company’s cost containment initiatives enacted beginning during the first half of 2024 which were offset by an increase of $0.5 million in share-based compensation as well as by increased occupancy expenses related to the new the corporate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costs allocated to SG&amp;A totaled $0.8 million for the three months ended June 30, 2025, compared to $0.2 million for the three months ended June 30, 2024, primarily due to options and grants issued to new employees as a result of the acquisition of W1 Global, LLC (“W1”) in February 2025, as well as incentives provided to certain key senior level management in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burden costs of $1.1 million for the three months ended June 30, 2025, were $0.1 million higher than the three months ended June 30, 2024. This increase reflects the addition of high-caliber talent and higher share-based compensation, coupled with ongoing cost containment efforts, during the three months ended June 30, 2025, as compared to the three months ended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were $109 thousand for the three months ended June 30, 2025, or a decrease of $98 thousand as compared to $207 thousand during the three months ended June 30, 2024. The changes in advertising costs were primarily related to reduced promotional items and training product costs offset by increased video and testimonial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Expense</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totaling $162 thousand decreased by $511 thousand for the three months ended June 30, 2025, when compared to the three months ended June 30, 2024. We incurred a $375 thousand period-over-period decrease in compensation expense as well as a $18 thousand period-over-period increase in share-based compensation expense allocated to research and development expense because of reduction of personnel. Outside consulting costs decreased by $134 thousand for the three months ended June 30, 2025, when compared to the three months ended June 30, 2024, primarily due to the Company’s cost reduction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of $2.9 million during the three months ended June 30, 2025, was an improvement of $0.3 million compared to loss from operations of $3.2 million during the three months ended June 30, 2024, primarily reflecting the reduced revenues offset by lower operating costs from the Company’s cost containment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2025, Compared to Six Months Ended June 30, 2024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jc w:val="both"/>
        <w:rPr>
          <w:caps w:val="false"/>
          <w:smallCaps w:val="false"/>
        </w:rPr>
      </w:pPr>
      <w:r>
        <w:rPr>
          <w:caps w:val="false"/>
          <w:smallCaps w:val="false"/>
        </w:rPr>
        <w:t> </w:t>
      </w:r>
    </w:p>
    <w:tbl>
      <w:tblPr>
        <w:tblW w:w="8016" w:type="dxa"/>
        <w:jc w:val="left"/>
        <w:tblInd w:w="0" w:type="dxa"/>
        <w:tblLayout w:type="fixed"/>
        <w:tblCellMar>
          <w:top w:w="0" w:type="dxa"/>
          <w:left w:w="0" w:type="dxa"/>
          <w:bottom w:w="0" w:type="dxa"/>
          <w:right w:w="0" w:type="dxa"/>
        </w:tblCellMar>
      </w:tblPr>
      <w:tblGrid>
        <w:gridCol w:w="3290"/>
        <w:gridCol w:w="60"/>
        <w:gridCol w:w="236"/>
        <w:gridCol w:w="1074"/>
        <w:gridCol w:w="160"/>
        <w:gridCol w:w="101"/>
        <w:gridCol w:w="236"/>
        <w:gridCol w:w="1074"/>
        <w:gridCol w:w="95"/>
        <w:gridCol w:w="60"/>
        <w:gridCol w:w="140"/>
        <w:gridCol w:w="635"/>
        <w:gridCol w:w="95"/>
        <w:gridCol w:w="60"/>
        <w:gridCol w:w="60"/>
        <w:gridCol w:w="335"/>
        <w:gridCol w:w="30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June 30,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0"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1" w:type="dxa"/>
            <w:gridSpan w:val="14"/>
            <w:tcBorders/>
            <w:vAlign w:val="center"/>
          </w:tcPr>
          <w:p>
            <w:pPr>
              <w:pStyle w:val="TableContents"/>
              <w:bidi w:val="0"/>
              <w:spacing w:before="0" w:after="283"/>
              <w:jc w:val="center"/>
              <w:rPr/>
            </w:pPr>
            <w:r>
              <w:rPr/>
              <w:t>(in thousands, except percentage change)</w:t>
            </w:r>
          </w:p>
        </w:tc>
        <w:tc>
          <w:tcPr>
            <w:tcW w:w="30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310" w:type="dxa"/>
            <w:gridSpan w:val="2"/>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1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gridSpan w:val="2"/>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550</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2,578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(2,028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(79</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Managed services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1,000</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Technology enabled services</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228</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1,778</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(42</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695</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1,083</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7,128</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732</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(49</w:t>
            </w:r>
          </w:p>
        </w:tc>
        <w:tc>
          <w:tcPr>
            <w:tcW w:w="305"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7,860</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9,129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(1,269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305"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(6,777</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(7,309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totaled $1.8 million for the six months ended June 30, 2025, as compared to $3.0 million for the six months ended June 30, 2024, or a 42% decrease. The decrease for the six months ended June 30, 2025, as compared to June 30, 2024, is primarily a result of lower product orders offset by the added managed services revenue from the acquisition of the W1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for the six months ended June 30, 2025, was $1.1 million, or a gross margin of 61%. Our gross profit for the six months ended June 30, 2024, was $1.8 million, or a gross margin of 60%. The decrease in gross profit represented a 40% decrease compared to the six months ended June 30, 2024, because of lower volume of the Bola Wrap 150 product sales offset by the added high-margin revenue from the Company’s acquisition of W1 in February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19% of our product sales and 6% of overall revenue in the six months ended June 30, 2025, and is expected to continue to grow as a recurring revenue base as more BolaWrap devices are in the field and the usage of BolaWrap increases due to the need of officers to de-escalate earlier to prevent injuries and use of higher levels of force.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introduce updates and revisions to our products, which may include changes to raw materials and components, and can impact on our product costs. Given our limited experience with warranty costs, our estimated future warranty expense may affect our gross margins. Our global supply chain has experienced notable component shortages, extended lead times, cost fluctuations, and logistical constraints, all of which have affected our product costs. Although we have seen these supply chain obstacles ease in 2025, we acknowledge that future supplier shortages, quality problems, and logistics delays could impact our production schedules and have a material negative impact on our financial condition, results of operation, and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Selling, 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 of $7.1 million for the six months ended June 30, 2025, was reduced by $0.6 million when compared to $7.7 million for the six months ended June 30, 2024. The decrease in SG&amp;A expense was primarily the result of the Company’s cost containment initiatives enacted beginning during the first half of 2024 which were offset by an increase of $1.2 million in share-based compensation as well as by increased occupancy expenses related to the new the corporate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costs allocated to SG&amp;A totaled $2.4 million for the six months ended June 30, 2025, compared to $1.2 million for the six months ended June 30, 2024, primarily due to options and grants issued to new employees as a result of the acquisition of W1 in February 2025, as well as incentives provided to certain key senior level management in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burden costs of $1.9 million for the six months ended June 30, 2025, were $564 thousand lower than the $1.0 million for the six months ended June 30, 2024. This reduction reflects the reduction in the Company’s workforce including a reduction of certain executive management positions. During the six months ended June 30, 2025, as compared to the six months ended June 30, 2024, reflecting the Company’s cost containment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were $189 thousand for the six months ended June 30, 2025, or a decrease of $281 thousand as compared to $470 thousand during the six months ended June 30, 2024. The changes in advertising costs were primarily related to reduced trade show costs offset by slight increases in digital marketing campaigns.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Expense</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totaling $732 thousand decreased by $702 thousand for the six months ended June 30, 2025, when compared to the six months ended June 30, 2024, primarily due to a reduction in personnel. Outside consulting costs decreased by $21 thousand for the six months ended June 30, 2025, when compared to the six months ended June 30, 2024, primarily due to the Company’s cost reduction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totaled $6.8 million during the six months ended June 30, 2025, which was a decrease of $0.5 million compared to loss from operations of $7.3 million during the six months ended June 30, 2024, reflecting the reduced revenues offset by lower operating costs from the Company’s cost containment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future equity or debt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net losses and negative cash flows from operations since our inception. As of June 30, 2025, we had cash and cash equivalents of $4.2 million and had sustained cumulative losses attributable to stockholders of $105.1 million. Our working capital net of the warrants-short term as of June 30, 2025, was $3.6 million higher compared to December 31, 2024, primarily as a result of the cash received in the Private Placement offset by operating losses of $6.8 million for the six months ended June 30, 2025. We believe we have sufficient capital to fund our operations for the next twelve months from the date of this Quarterly Report on Form 10-Q. However, liquidity constraints and access to capital markets could still negatively affect our liquidity and may require changes to our investment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cash flows and results of operations could be affected by, and will depend on, many factors, some of which are currently unknown to us, including, among other things:</w:t>
      </w:r>
    </w:p>
    <w:p>
      <w:pPr>
        <w:pStyle w:val="TextBody"/>
        <w:bidi w:val="0"/>
        <w:spacing w:before="0" w:after="0"/>
        <w:jc w:val="both"/>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140"/>
        <w:gridCol w:w="170"/>
        <w:gridCol w:w="6650"/>
      </w:tblGrid>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outbreaks pandemics or contagious diseases or fear of such outbreaks;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70"/>
        <w:gridCol w:w="9895"/>
      </w:tblGrid>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regarding staffing, development, production, marketing and other functions;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extent of market acceptance of our products;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planned production and required customer and regulatory compliance of our products;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filing and prosecuting our patent applications and defending any future intellectual property-related claims;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additional product development;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timing and outcome of any future warranty claims or litigation against us associated with any of our products;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collect accounts receivable; and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costs associated with any new financing.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factors that could affect our ability to obtain cash from external sources including from exercise of outstanding warrants and options include:</w:t>
      </w:r>
    </w:p>
    <w:p>
      <w:pPr>
        <w:pStyle w:val="TextBody"/>
        <w:bidi w:val="0"/>
        <w:spacing w:before="0" w:after="0"/>
        <w:jc w:val="both"/>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140"/>
        <w:gridCol w:w="230"/>
        <w:gridCol w:w="4625"/>
      </w:tblGrid>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capital markets; and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 and trading volume of our Common Stock.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the Company entered into a Series Purchase Agreement (“Series A Purchase Agreement”) with certain accredited investors, including the Company’s Executive Chairman and Chief Executive Officer (collectively, the “Series A Investors”), pursuant to which it agreed to sell to the Series A Investors in a registered direct offering (the “Series A Offering”) (i) an aggregate of 10,000 shares of Series A Preferred Stock, initially convertible into up to 6,896,553 shares of the Company’s Common Stock, at an initial conversion price of $1.45 per share, and (ii) warrants (the “Series A Warrants”) to acquire up to an aggregate of 6,896,553 shares of Common Stock (the “Series A Warrant Shares”). The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The closing of the Series A Offering occurred on July 3, 2023. The aggregate gross proceeds from the Series A Offering were $10 million. The Company expects to use the net proceeds from the Series A Offering for general corporate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beginning 18 months from the date of the issuance, provided that provided that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Series A Preferred Stock and we do not intend to list the Series A Preferred Stock on any national securities exchange or nationally recognized trading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Series A Warrants to purchase up to an aggregate of 6,896,553 shares of Common Stock. Each Series A Warrant has an exercise price of $1.45 per share,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Stockholder Approval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issue Conversion Shares and Series A Warrant Shares using shares of Common Stock is subject to certain limitations set forth in the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securities purchase agreement (the “PIPE Purchase Agreement”) with certain accredited investors (collectively, the “PIPE Purchasers”) for the issuance and sale in a private placement (the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gross proceeds to the Company were $5,790 before estimated offering expenses payable by the Company.</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PIPE Warrants to be five and one-half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financial guarantees or other off-balance sheet commitments to guarantee the payment obligations of any third parties. The Company has not entered into any derivative contracts that are indexed to the Company’s shares and classified as stockholder’s equity or that are not reflected in the Company’s financial statements included in this Quarterly Report on Form 10-Q. Furthermore, the Company does not have any retained or contingent interest in assets transferred to an unconsolidated entity that serves as credit, liquidity or market risk support to such entity. The Company does not have any variable interest in any unconsolidated entity that provides financing, liquidity, market risk or credit support to us or engages in leasing, hedging or product development services with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used in operating activities was $5.0 million. The net loss of $3.6 million was decreased by non-cash income of $3.2 million related to the change in fair value of warrants and increased by non-cash expense of $8.2 million consisting primarily of share-based compensation and depreciation and amortization of $304 thousand. Other major component changes using operating cash included a decrease of $156 thousand in prepaids and a $453 thousand decrease in accounts receivable as well as a decrease in accrued liabilities of $523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net cash used in operating activities was $7.2 million. The net loss of $268 thousand was decreased by non-cash income of $6.9 million related to the change in fair value of warrants and increased by non-cash expense of $918 thousand consisting primarily of share-based compensation expense. Other major component changes using operating cash included a decrease of $707 thousand in inventories and a decrease in accounts receivable of $236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used in investing activities was $152 thousands of cash for the acquisition of W1 and investment in patents.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we had net cash provided by investing activities totaling $4.9 million from proceeds from maturities of short-term investments of $5.0 million. During the six months ended June 30, 2024, we used $13 thousand cash for the purchase of property and equipment and invested $97 thousand in patents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provided by financing activities was $5.7 million as a result of proceeds from the 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net cash provided by financing activities was $468 thousand because of proceeds from the exercise of previously issued stock options of $588 thousand offset $120 thousand in cash dividends paid on the Company’s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committed to a lease of office space in Coconut Grove, Florida in a multi-year term concluding in 2031 which includes aggregate lease payments remaining totaling $3.5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were committed to approximately $509 thousand for future component deliveries and contract services that are generally subject to modification or rescheduling in the normal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to begin in October 2025, we committed to a lease of manufacturing and office space in Southwest Virginia in a multi-year term concluding in 2031, which includes aggregate lease payments remaining totaling $600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Inflation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for the year ended December 31, 2024, we experienced increased costs in labor and materials due to inflation. We believe throughout 2025 that low unemployment and higher salaries will create higher payroll costs and increased operating expenses in the business. We have seen increases in costs from multiple suppliers for materials as well as labor.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2" w:name="a_009"/>
      <w:bookmarkEnd w:id="69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3" w:name="a_010"/>
      <w:bookmarkEnd w:id="693"/>
      <w:r>
        <w:rPr>
          <w:rFonts w:ascii="Times New Roman;Times;Serif" w:hAnsi="Times New Roman;Times;Serif"/>
          <w:b/>
          <w:i w:val="false"/>
          <w:caps w:val="false"/>
          <w:smallCaps w:val="false"/>
          <w:sz w:val="20"/>
        </w:rPr>
        <w:t>Item 4.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carried out an evaluation, under the supervision and with the participation of our management, including our Executive Chairman and Chief Executive Officer, of the effectiveness of our disclosure controls and procedures (as defined in Exchange Act Rules 13a-15(e) and 15d-15(e) under the Exchange Act) as of the period covered by this report. Based upon that evaluation, our Executive Chairman and Chief Executive Officer concluded that, as of the end of the period covered in this Quarterly Report on Form 10-Q, our disclosure controls and procedures were effective to ensure that information required to be disclosed in reports filed by us under the Exchange Act is recorded, processed, summarized and reported within the required time periods and is accumulated and communicated to our management, including our Executive Chairman and Chief Executive Officer, as appropriate to allow timely decisions regarding required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during our fiscal quarter ended June 30, 2025, that have materially affected, or are reasonably likely to materially affect, our internal control over financial reporting.</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4" w:name="a_011"/>
      <w:bookmarkEnd w:id="694"/>
      <w:r>
        <w:rPr>
          <w:rFonts w:ascii="Times New Roman;Times;Serif" w:hAnsi="Times New Roman;Times;Serif"/>
          <w:b/>
          <w:i w:val="false"/>
          <w:caps w:val="false"/>
          <w:smallCaps w:val="false"/>
          <w:sz w:val="20"/>
        </w:rPr>
        <w:t>PART II.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5" w:name="a_012"/>
      <w:bookmarkEnd w:id="695"/>
      <w:r>
        <w:rPr>
          <w:rFonts w:ascii="Times New Roman;Times;Serif" w:hAnsi="Times New Roman;Times;Serif"/>
          <w:b/>
          <w:i w:val="false"/>
          <w:caps w:val="false"/>
          <w:smallCaps w:val="false"/>
          <w:sz w:val="20"/>
        </w:rPr>
        <w:t>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13 Commitments and Contingencies of the Notes to Consolidated Financial Statements of this Quarterly Report on Form 10-Q is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6" w:name="a_013"/>
      <w:bookmarkEnd w:id="696"/>
      <w:r>
        <w:rPr>
          <w:rFonts w:ascii="Times New Roman;Times;Serif" w:hAnsi="Times New Roman;Times;Serif"/>
          <w:b/>
          <w:i w:val="false"/>
          <w:caps w:val="false"/>
          <w:smallCaps w:val="false"/>
          <w:sz w:val="20"/>
        </w:rPr>
        <w:t>Item 1A.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not aware of any material changes to the risk factors discussed in Part 1, Item 1A, of the Company’s Annual Report on Form 10-K for the year ended December 31, 2024. In addition to the other information set forth in this Quarterly Report on Form 10-Q, you should carefully consider the risk factors discussed in Part 1, Item 1A, of the Company’s Annual Report on Form 10-K for the year ended December 31, 2024, and subsequent reports filed pursuant to the Exchange Act which could materially and adversely affect the Company’s business, financial condition, results of operations, and stock price. The risks described in the Company’s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7" w:name="a_014"/>
      <w:bookmarkEnd w:id="69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the Company’s equity securities during the six months ended June 30, 2025, other than those previously reported in a Current Report on Form 8-K.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8" w:name="a_015"/>
      <w:bookmarkEnd w:id="698"/>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default in the payment of principal, interest, sinking or purchase fund installment, or any other material default, with respect to any indebtedness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9" w:name="a_016"/>
      <w:bookmarkEnd w:id="699"/>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00" w:name="a_017"/>
      <w:bookmarkEnd w:id="700"/>
      <w:r>
        <w:rPr>
          <w:rFonts w:ascii="Times New Roman;Times;Serif" w:hAnsi="Times New Roman;Times;Serif"/>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01" w:name="a_018"/>
      <w:bookmarkEnd w:id="701"/>
      <w:r>
        <w:rPr>
          <w:rFonts w:ascii="Times New Roman;Times;Serif" w:hAnsi="Times New Roman;Times;Serif"/>
          <w:b/>
          <w:i w:val="false"/>
          <w:caps w:val="false"/>
          <w:smallCaps w:val="false"/>
          <w:sz w:val="20"/>
        </w:rPr>
        <w:t>Item 6.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2"/>
        <w:gridCol w:w="125"/>
        <w:gridCol w:w="9358"/>
      </w:tblGrid>
      <w:tr>
        <w:trPr/>
        <w:tc>
          <w:tcPr>
            <w:tcW w:w="722" w:type="dxa"/>
            <w:tcBorders>
              <w:bottom w:val="single" w:sz="8" w:space="0" w:color="000000"/>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2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Series A Warrant Amendment, dated as of June 30, 2025, by and among Wrap Technologies, Inc. and the investors signatory thereto (incorporated by reference to Exhibit 10.1 to the Company’s Current Report on Form 8-K, filed with the SEC on July 7, 2025)</w:t>
              </w:r>
            </w:hyperlink>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2025 Warrant Amendment, dated as of June 30, 2025, by and among Wrap Technologies, Inc. and the investors signatory thereto (incorporated by reference to Exhibit 10.2 to the Company’s Current Report on Form 8-K, filed with the SEC on July 7, 2025).</w:t>
              </w:r>
            </w:hyperlink>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Rule 13a-14(a)/15d-14(a) Certification - Principal Executive Officer.</w:t>
              </w:r>
            </w:hyperlink>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Rule 13a-14(a)/15d-14(a) Certification - Principal Financial Officer.</w:t>
              </w:r>
            </w:hyperlink>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Section 1350 Certification - Principal Executive Officer.</w:t>
              </w:r>
            </w:hyperlink>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Section 1350 Certification - Principal Financial Officer</w:t>
              </w:r>
            </w:hyperlink>
          </w:p>
        </w:tc>
      </w:tr>
      <w:tr>
        <w:trPr/>
        <w:tc>
          <w:tcPr>
            <w:tcW w:w="10205" w:type="dxa"/>
            <w:gridSpan w:val="3"/>
            <w:tcBorders/>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Extensible Business Reporting Language (XBRL) Exhibits*</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5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 in Exhibit 101)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concurrently herewith</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02" w:name="a_019"/>
      <w:bookmarkEnd w:id="702"/>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430"/>
        <w:gridCol w:w="410"/>
        <w:gridCol w:w="2360"/>
      </w:tblGrid>
      <w:tr>
        <w:trPr/>
        <w:tc>
          <w:tcPr>
            <w:tcW w:w="1430" w:type="dxa"/>
            <w:tcBorders/>
            <w:vAlign w:val="center"/>
          </w:tcPr>
          <w:p>
            <w:pPr>
              <w:pStyle w:val="TableContents"/>
              <w:bidi w:val="0"/>
              <w:spacing w:before="0" w:after="283"/>
              <w:jc w:val="both"/>
              <w:rPr>
                <w:caps w:val="false"/>
                <w:smallCaps w:val="false"/>
              </w:rPr>
            </w:pPr>
            <w:r>
              <w:rPr>
                <w:caps w:val="false"/>
                <w:smallCaps w:val="false"/>
              </w:rPr>
              <w:t>  </w:t>
            </w:r>
          </w:p>
        </w:tc>
        <w:tc>
          <w:tcPr>
            <w:tcW w:w="277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Wrap Technologies, Inc. </w:t>
            </w:r>
          </w:p>
        </w:tc>
      </w:tr>
      <w:tr>
        <w:trPr/>
        <w:tc>
          <w:tcPr>
            <w:tcW w:w="1430" w:type="dxa"/>
            <w:tcBorders/>
            <w:vAlign w:val="center"/>
          </w:tcPr>
          <w:p>
            <w:pPr>
              <w:pStyle w:val="TableContents"/>
              <w:bidi w:val="0"/>
              <w:spacing w:before="0" w:after="283"/>
              <w:jc w:val="both"/>
              <w:rPr>
                <w:caps w:val="false"/>
                <w:smallCaps w:val="false"/>
              </w:rPr>
            </w:pPr>
            <w:r>
              <w:rPr>
                <w:caps w:val="false"/>
                <w:smallCaps w:val="false"/>
              </w:rPr>
              <w:t>  </w:t>
            </w:r>
          </w:p>
        </w:tc>
        <w:tc>
          <w:tcPr>
            <w:tcW w:w="41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14, 2025 </w:t>
            </w:r>
          </w:p>
        </w:tc>
        <w:tc>
          <w:tcPr>
            <w:tcW w:w="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r>
      <w:tr>
        <w:trPr/>
        <w:tc>
          <w:tcPr>
            <w:tcW w:w="1430" w:type="dxa"/>
            <w:tcBorders/>
            <w:vAlign w:val="center"/>
          </w:tcPr>
          <w:p>
            <w:pPr>
              <w:pStyle w:val="TableContents"/>
              <w:bidi w:val="0"/>
              <w:spacing w:before="0" w:after="283"/>
              <w:jc w:val="both"/>
              <w:rPr>
                <w:caps w:val="false"/>
                <w:smallCaps w:val="false"/>
              </w:rPr>
            </w:pPr>
            <w:r>
              <w:rPr>
                <w:caps w:val="false"/>
                <w:smallCaps w:val="false"/>
              </w:rPr>
              <w:t>  </w:t>
            </w:r>
          </w:p>
        </w:tc>
        <w:tc>
          <w:tcPr>
            <w:tcW w:w="41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both"/>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430"/>
        <w:gridCol w:w="410"/>
        <w:gridCol w:w="3365"/>
      </w:tblGrid>
      <w:tr>
        <w:trPr/>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14, 2025 </w:t>
            </w:r>
          </w:p>
        </w:tc>
        <w:tc>
          <w:tcPr>
            <w:tcW w:w="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Ratigan</w:t>
            </w:r>
          </w:p>
        </w:tc>
      </w:tr>
      <w:tr>
        <w:trPr/>
        <w:tc>
          <w:tcPr>
            <w:tcW w:w="1430" w:type="dxa"/>
            <w:tcBorders/>
            <w:vAlign w:val="center"/>
          </w:tcPr>
          <w:p>
            <w:pPr>
              <w:pStyle w:val="TableContents"/>
              <w:bidi w:val="0"/>
              <w:spacing w:before="0" w:after="283"/>
              <w:jc w:val="both"/>
              <w:rPr>
                <w:caps w:val="false"/>
                <w:smallCaps w:val="false"/>
              </w:rPr>
            </w:pPr>
            <w:r>
              <w:rPr>
                <w:caps w:val="false"/>
                <w:smallCaps w:val="false"/>
              </w:rPr>
              <w:t>  </w:t>
            </w:r>
          </w:p>
        </w:tc>
        <w:tc>
          <w:tcPr>
            <w:tcW w:w="410" w:type="dxa"/>
            <w:tcBorders/>
            <w:vAlign w:val="center"/>
          </w:tcPr>
          <w:p>
            <w:pPr>
              <w:pStyle w:val="TableContents"/>
              <w:bidi w:val="0"/>
              <w:spacing w:before="0" w:after="283"/>
              <w:jc w:val="both"/>
              <w:rPr>
                <w:caps w:val="false"/>
                <w:smallCaps w:val="false"/>
              </w:rPr>
            </w:pPr>
            <w:r>
              <w:rPr>
                <w:caps w:val="false"/>
                <w:smallCaps w:val="false"/>
              </w:rPr>
              <w:t>  </w:t>
            </w:r>
          </w:p>
        </w:tc>
        <w:tc>
          <w:tcPr>
            <w:tcW w:w="336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Ratigan</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Officer)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703" w:name="ex31-1.htm"/>
      <w:bookmarkStart w:id="704" w:name="ksex311"/>
      <w:bookmarkEnd w:id="703"/>
      <w:bookmarkEnd w:id="70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p>
      <w:pPr>
        <w:pStyle w:val="TextBody"/>
        <w:bidi w:val="0"/>
        <w:spacing w:before="0" w:after="0"/>
        <w:jc w:val="center"/>
        <w:rPr>
          <w:caps w:val="false"/>
          <w:smallCaps w:val="false"/>
        </w:rPr>
      </w:pPr>
      <w:r>
        <w:rPr>
          <w:caps w:val="false"/>
          <w:smallCaps w:val="false"/>
        </w:rPr>
        <w:t> </w:t>
      </w:r>
    </w:p>
    <w:tbl>
      <w:tblPr>
        <w:tblW w:w="2405" w:type="dxa"/>
        <w:jc w:val="left"/>
        <w:tblInd w:w="0" w:type="dxa"/>
        <w:tblLayout w:type="fixed"/>
        <w:tblCellMar>
          <w:top w:w="0" w:type="dxa"/>
          <w:left w:w="0" w:type="dxa"/>
          <w:bottom w:w="28" w:type="dxa"/>
          <w:right w:w="0" w:type="dxa"/>
        </w:tblCellMar>
      </w:tblPr>
      <w:tblGrid>
        <w:gridCol w:w="2345"/>
        <w:gridCol w:w="60"/>
      </w:tblGrid>
      <w:tr>
        <w:trPr/>
        <w:tc>
          <w:tcPr>
            <w:tcW w:w="2345" w:type="dxa"/>
            <w:tcBorders>
              <w:bottom w:val="single" w:sz="8" w:space="0" w:color="000000"/>
            </w:tcBorders>
            <w:vAlign w:val="center"/>
          </w:tcPr>
          <w:p>
            <w:pPr>
              <w:pStyle w:val="TableContents"/>
              <w:bidi w:val="0"/>
              <w:spacing w:before="0" w:after="283"/>
              <w:jc w:val="both"/>
              <w:rPr>
                <w:i/>
              </w:rPr>
            </w:pPr>
            <w:r>
              <w:rPr>
                <w:i/>
              </w:rPr>
              <w:t xml:space="preserve">/s/ </w:t>
            </w:r>
            <w:r>
              <w:rPr>
                <w:rFonts w:ascii="Times New Roman;Times;Serif" w:hAnsi="Times New Roman;Times;Serif"/>
                <w:i/>
                <w:sz w:val="20"/>
              </w:rPr>
              <w:t>Scot Cohen</w:t>
            </w:r>
          </w:p>
        </w:tc>
        <w:tc>
          <w:tcPr>
            <w:tcW w:w="60" w:type="dxa"/>
            <w:tcBorders/>
            <w:tcMar>
              <w:bottom w:w="0" w:type="dxa"/>
            </w:tcMar>
            <w:vAlign w:val="center"/>
          </w:tcPr>
          <w:p>
            <w:pPr>
              <w:pStyle w:val="TableContents"/>
              <w:bidi w:val="0"/>
              <w:spacing w:before="0" w:after="283"/>
              <w:jc w:val="left"/>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Scot Cohen</w:t>
            </w:r>
          </w:p>
        </w:tc>
        <w:tc>
          <w:tcPr>
            <w:tcW w:w="60" w:type="dxa"/>
            <w:tcBorders/>
            <w:tcMar>
              <w:bottom w:w="0" w:type="dxa"/>
            </w:tcMar>
            <w:vAlign w:val="center"/>
          </w:tcPr>
          <w:p>
            <w:pPr>
              <w:pStyle w:val="TableContents"/>
              <w:bidi w:val="0"/>
              <w:spacing w:before="0" w:after="283"/>
              <w:jc w:val="left"/>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2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bookmarkStart w:id="705" w:name="ex31-2.htm"/>
      <w:bookmarkStart w:id="706" w:name="ksex312"/>
      <w:bookmarkEnd w:id="705"/>
      <w:bookmarkEnd w:id="70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Jerry Ratigan,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p>
      <w:pPr>
        <w:pStyle w:val="TextBody"/>
        <w:bidi w:val="0"/>
        <w:jc w:val="center"/>
        <w:rPr>
          <w:caps w:val="false"/>
          <w:smallCaps w:val="false"/>
        </w:rPr>
      </w:pPr>
      <w:r>
        <w:rPr>
          <w:caps w:val="false"/>
          <w:smallCaps w:val="false"/>
        </w:rPr>
        <w:t> </w:t>
      </w:r>
    </w:p>
    <w:tbl>
      <w:tblPr>
        <w:tblW w:w="4820" w:type="dxa"/>
        <w:jc w:val="left"/>
        <w:tblInd w:w="0" w:type="dxa"/>
        <w:tblLayout w:type="fixed"/>
        <w:tblCellMar>
          <w:top w:w="0" w:type="dxa"/>
          <w:left w:w="0" w:type="dxa"/>
          <w:bottom w:w="28" w:type="dxa"/>
          <w:right w:w="0" w:type="dxa"/>
        </w:tblCellMar>
      </w:tblPr>
      <w:tblGrid>
        <w:gridCol w:w="4745"/>
        <w:gridCol w:w="75"/>
      </w:tblGrid>
      <w:tr>
        <w:trPr/>
        <w:tc>
          <w:tcPr>
            <w:tcW w:w="474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Ratigan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Ratigan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Chief Accounting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707" w:name="ex32-1.htm"/>
      <w:bookmarkStart w:id="708" w:name="ksex321"/>
      <w:bookmarkEnd w:id="707"/>
      <w:bookmarkEnd w:id="70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June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p>
      <w:pPr>
        <w:pStyle w:val="TextBody"/>
        <w:bidi w:val="0"/>
        <w:spacing w:before="0" w:after="0"/>
        <w:jc w:val="center"/>
        <w:rPr>
          <w:caps w:val="false"/>
          <w:smallCaps w:val="false"/>
        </w:rPr>
      </w:pPr>
      <w:r>
        <w:rPr>
          <w:caps w:val="false"/>
          <w:smallCaps w:val="false"/>
        </w:rPr>
        <w:t> </w:t>
      </w:r>
    </w:p>
    <w:tbl>
      <w:tblPr>
        <w:tblW w:w="2435" w:type="dxa"/>
        <w:jc w:val="left"/>
        <w:tblInd w:w="0" w:type="dxa"/>
        <w:tblLayout w:type="fixed"/>
        <w:tblCellMar>
          <w:top w:w="0" w:type="dxa"/>
          <w:left w:w="0" w:type="dxa"/>
          <w:bottom w:w="28" w:type="dxa"/>
          <w:right w:w="0" w:type="dxa"/>
        </w:tblCellMar>
      </w:tblPr>
      <w:tblGrid>
        <w:gridCol w:w="2360"/>
        <w:gridCol w:w="75"/>
      </w:tblGrid>
      <w:tr>
        <w:trPr/>
        <w:tc>
          <w:tcPr>
            <w:tcW w:w="23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09" w:name="ex32-2.htm"/>
      <w:bookmarkStart w:id="710" w:name="ksex322"/>
      <w:bookmarkEnd w:id="709"/>
      <w:bookmarkEnd w:id="7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June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p>
      <w:pPr>
        <w:pStyle w:val="TextBody"/>
        <w:bidi w:val="0"/>
        <w:spacing w:before="0" w:after="0"/>
        <w:ind w:left="0" w:right="0" w:hanging="0"/>
        <w:jc w:val="center"/>
        <w:rPr>
          <w:caps w:val="false"/>
          <w:smallCaps w:val="false"/>
        </w:rPr>
      </w:pPr>
      <w:r>
        <w:rPr>
          <w:caps w:val="false"/>
          <w:smallCaps w:val="false"/>
        </w:rPr>
        <w:t> </w:t>
      </w:r>
    </w:p>
    <w:tbl>
      <w:tblPr>
        <w:tblW w:w="5105" w:type="dxa"/>
        <w:jc w:val="left"/>
        <w:tblInd w:w="0" w:type="dxa"/>
        <w:tblLayout w:type="fixed"/>
        <w:tblCellMar>
          <w:top w:w="0" w:type="dxa"/>
          <w:left w:w="0" w:type="dxa"/>
          <w:bottom w:w="28" w:type="dxa"/>
          <w:right w:w="0" w:type="dxa"/>
        </w:tblCellMar>
      </w:tblPr>
      <w:tblGrid>
        <w:gridCol w:w="5030"/>
        <w:gridCol w:w="75"/>
      </w:tblGrid>
      <w:tr>
        <w:trPr/>
        <w:tc>
          <w:tcPr>
            <w:tcW w:w="50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Ratigan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Ratigan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64117225018048/ex10-1.htm" TargetMode="External"/><Relationship Id="rId4" Type="http://schemas.openxmlformats.org/officeDocument/2006/relationships/hyperlink" Target="https://www.sec.gov/Archives/edgar/data/1702924/000164117225018048/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23148</Words>
  <Characters>123837</Characters>
  <CharactersWithSpaces>148473</CharactersWithSpaces>
  <Paragraphs>5586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