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Cohen Scot</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WRAP TECHNOLOGIES,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3350 VIRGINIA STREET</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MIAMI</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FL</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33133</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WRAP TECHNOLOGIES, INC.</w:t>
              </w:r>
            </w:hyperlink>
            <w:r>
              <w:rPr/>
              <w:t xml:space="preserve"> [ </w:t>
            </w:r>
            <w:r>
              <w:rPr>
                <w:rFonts w:ascii="Times;serif" w:hAnsi="Times;serif"/>
                <w:color w:val="0000FF"/>
                <w:sz w:val="24"/>
                <w:shd w:fill="FFFFFF" w:val="clear"/>
              </w:rPr>
              <w:t>WRAP</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1"/>
              <w:gridCol w:w="1030"/>
              <w:gridCol w:w="441"/>
              <w:gridCol w:w="1030"/>
            </w:tblGrid>
            <w:tr>
              <w:trPr/>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Executive Chairman and CEO</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09/04/2026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291"/>
        <w:gridCol w:w="904"/>
        <w:gridCol w:w="774"/>
        <w:gridCol w:w="600"/>
        <w:gridCol w:w="346"/>
        <w:gridCol w:w="968"/>
        <w:gridCol w:w="446"/>
        <w:gridCol w:w="609"/>
        <w:gridCol w:w="1358"/>
        <w:gridCol w:w="988"/>
        <w:gridCol w:w="921"/>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291"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6"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23"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35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29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6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4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0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358"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8"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29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09/04/2026</w:t>
            </w:r>
          </w:p>
        </w:tc>
        <w:tc>
          <w:tcPr>
            <w:tcW w:w="77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6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19,532</w:t>
            </w:r>
            <w:r>
              <w:rPr>
                <w:rFonts w:ascii="Times;serif" w:hAnsi="Times;serif"/>
                <w:color w:val="008000"/>
                <w:position w:val="7"/>
                <w:sz w:val="16"/>
                <w:sz w:val="20"/>
                <w:shd w:fill="FFFFFF" w:val="clear"/>
              </w:rPr>
              <w:t>(1)</w:t>
            </w:r>
          </w:p>
        </w:tc>
        <w:tc>
          <w:tcPr>
            <w:tcW w:w="44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0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p>
        </w:tc>
        <w:tc>
          <w:tcPr>
            <w:tcW w:w="135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10,609,087</w:t>
            </w:r>
          </w:p>
        </w:tc>
        <w:tc>
          <w:tcPr>
            <w:tcW w:w="98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9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09/04/2026</w:t>
            </w:r>
          </w:p>
        </w:tc>
        <w:tc>
          <w:tcPr>
            <w:tcW w:w="77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6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27,344</w:t>
            </w:r>
            <w:r>
              <w:rPr>
                <w:rFonts w:ascii="Times;serif" w:hAnsi="Times;serif"/>
                <w:color w:val="008000"/>
                <w:position w:val="7"/>
                <w:sz w:val="16"/>
                <w:sz w:val="20"/>
                <w:shd w:fill="FFFFFF" w:val="clear"/>
              </w:rPr>
              <w:t>(1)</w:t>
            </w:r>
          </w:p>
        </w:tc>
        <w:tc>
          <w:tcPr>
            <w:tcW w:w="44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0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p>
        </w:tc>
        <w:tc>
          <w:tcPr>
            <w:tcW w:w="135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2,042,221</w:t>
            </w:r>
          </w:p>
        </w:tc>
        <w:tc>
          <w:tcPr>
            <w:tcW w:w="98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V4 Global LLC</w:t>
            </w:r>
            <w:r>
              <w:rPr>
                <w:rFonts w:ascii="Times;serif" w:hAnsi="Times;serif"/>
                <w:color w:val="008000"/>
                <w:position w:val="7"/>
                <w:sz w:val="16"/>
                <w:sz w:val="20"/>
                <w:shd w:fill="FFFFFF" w:val="clear"/>
              </w:rPr>
              <w:t>(2)</w:t>
            </w:r>
          </w:p>
        </w:tc>
      </w:tr>
      <w:tr>
        <w:trPr/>
        <w:tc>
          <w:tcPr>
            <w:tcW w:w="2291"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6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35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209,353</w:t>
            </w:r>
          </w:p>
        </w:tc>
        <w:tc>
          <w:tcPr>
            <w:tcW w:w="98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2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Scot Cohen Roth IRA</w:t>
            </w:r>
            <w:r>
              <w:rPr>
                <w:rFonts w:ascii="Times;serif" w:hAnsi="Times;serif"/>
                <w:color w:val="008000"/>
                <w:position w:val="7"/>
                <w:sz w:val="16"/>
                <w:sz w:val="20"/>
                <w:shd w:fill="FFFFFF" w:val="clear"/>
              </w:rPr>
              <w:t>(3)</w:t>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shares of the Issuer's common stock, par value $0.0001 per share (the "Common Stock"), issued as a payment of dividends on the Issuer's Series A Convertible Preferred Stock, par value $0.0001 per share.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reported securities are directly owned by V4 Global LLC ("V4") and may be deemed to be beneficially owned by the Reporting Person as managing member of V4. The Reporting Person disclaims beneficial ownership of the reported securities except to the extent of his pecuniary interest therein.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reported securities are directly owned by Scot Cohen Roth IRA ("SC IRA"). The Reporting Person is deemed the beneficial owners of such securities as the sole holder of the SC IRA.</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Scot Cohen</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09/09/2026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558913" TargetMode="External"/><Relationship Id="rId5" Type="http://schemas.openxmlformats.org/officeDocument/2006/relationships/hyperlink" Target="http://www.sec.gov/cgi-bin/browse-edgar?action=getcompany&amp;CIK=0001702924"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image" Target="https://cdn.kscope.io/box-checked.jpg" TargetMode="External"/><Relationship Id="rId10" Type="http://schemas.openxmlformats.org/officeDocument/2006/relationships/fontTable" Target="fontTable.xml"/><Relationship Id="rId1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703</Words>
  <Characters>3761</Characters>
  <CharactersWithSpaces>4381</CharactersWithSpaces>
  <Paragraphs>113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