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1400" w:hanging="216"/>
        <w:spacing w:after="0"/>
        <w:tabs>
          <w:tab w:leader="none" w:pos="14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9"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3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29"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001-38750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154305</wp:posOffset>
            </wp:positionV>
            <wp:extent cx="121729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Wrap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56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color w:val="auto"/>
                <w:w w:val="98"/>
              </w:rPr>
              <w:t>Delaware</w:t>
            </w:r>
          </w:p>
        </w:tc>
        <w:tc>
          <w:tcPr>
            <w:tcW w:w="36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8"/>
              </w:rPr>
              <w:t>98-0551945</w:t>
            </w:r>
          </w:p>
        </w:tc>
      </w:tr>
      <w:tr>
        <w:trPr>
          <w:trHeight w:val="198"/>
        </w:trPr>
        <w:tc>
          <w:tcPr>
            <w:tcW w:w="552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jc w:val="center"/>
              <w:ind w:right="17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56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91"/>
        </w:trPr>
        <w:tc>
          <w:tcPr>
            <w:tcW w:w="4640" w:type="dxa"/>
            <w:vAlign w:val="bottom"/>
          </w:tcPr>
          <w:p>
            <w:pPr>
              <w:spacing w:after="0"/>
              <w:rPr>
                <w:sz w:val="24"/>
                <w:szCs w:val="24"/>
                <w:color w:val="auto"/>
              </w:rPr>
            </w:pPr>
          </w:p>
        </w:tc>
        <w:tc>
          <w:tcPr>
            <w:tcW w:w="2920" w:type="dxa"/>
            <w:vAlign w:val="bottom"/>
            <w:gridSpan w:val="6"/>
          </w:tcPr>
          <w:p>
            <w:pPr>
              <w:jc w:val="center"/>
              <w:ind w:right="960"/>
              <w:spacing w:after="0"/>
              <w:rPr>
                <w:sz w:val="20"/>
                <w:szCs w:val="20"/>
                <w:color w:val="auto"/>
              </w:rPr>
            </w:pPr>
            <w:r>
              <w:rPr>
                <w:rFonts w:ascii="Times New Roman" w:cs="Times New Roman" w:eastAsia="Times New Roman" w:hAnsi="Times New Roman"/>
                <w:sz w:val="18"/>
                <w:szCs w:val="18"/>
                <w:color w:val="auto"/>
              </w:rPr>
              <w:t>3480 Main Hwy, Suite 202</w:t>
            </w:r>
          </w:p>
        </w:tc>
        <w:tc>
          <w:tcPr>
            <w:tcW w:w="3680" w:type="dxa"/>
            <w:vAlign w:val="bottom"/>
          </w:tcPr>
          <w:p>
            <w:pPr>
              <w:spacing w:after="0"/>
              <w:rPr>
                <w:sz w:val="24"/>
                <w:szCs w:val="24"/>
                <w:color w:val="auto"/>
              </w:rPr>
            </w:pPr>
          </w:p>
        </w:tc>
      </w:tr>
      <w:tr>
        <w:trPr>
          <w:trHeight w:val="196"/>
        </w:trPr>
        <w:tc>
          <w:tcPr>
            <w:tcW w:w="46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Miami, Florida 33133</w:t>
            </w:r>
          </w:p>
        </w:tc>
        <w:tc>
          <w:tcPr>
            <w:tcW w:w="18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37"/>
        </w:trPr>
        <w:tc>
          <w:tcPr>
            <w:tcW w:w="7560" w:type="dxa"/>
            <w:vAlign w:val="bottom"/>
            <w:gridSpan w:val="7"/>
          </w:tcPr>
          <w:p>
            <w:pPr>
              <w:jc w:val="center"/>
              <w:ind w:left="36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(800) 583-2652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2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WRAP</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37" w:gutter="0" w:footer="0" w:header="0"/>
        </w:sectPr>
      </w:pPr>
    </w:p>
    <w:bookmarkStart w:id="1" w:name="page2"/>
    <w:bookmarkEnd w:id="1"/>
    <w:p>
      <w:pPr>
        <w:spacing w:after="0" w:line="284" w:lineRule="auto"/>
        <w:rPr>
          <w:sz w:val="20"/>
          <w:szCs w:val="20"/>
          <w:color w:val="auto"/>
        </w:rPr>
      </w:pPr>
      <w:r>
        <w:rPr>
          <w:rFonts w:ascii="Times New Roman" w:cs="Times New Roman" w:eastAsia="Times New Roman" w:hAnsi="Times New Roman"/>
          <w:sz w:val="18"/>
          <w:szCs w:val="18"/>
          <w:color w:val="auto"/>
        </w:rPr>
        <w:t>As of November 11, 2025 a total of 51,549,094 shares of the Registrant’s common stock, par value $0.0001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WRAP TECHNOLOGIES, INC.</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SIGNATURES</w:t>
            </w:r>
          </w:p>
        </w:tc>
        <w:tc>
          <w:tcPr>
            <w:tcW w:w="90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46"/>
        </w:trPr>
        <w:tc>
          <w:tcPr>
            <w:tcW w:w="1120" w:type="dxa"/>
            <w:vAlign w:val="bottom"/>
          </w:tcPr>
          <w:p>
            <w:pPr>
              <w:spacing w:after="0"/>
              <w:rPr>
                <w:sz w:val="24"/>
                <w:szCs w:val="24"/>
                <w:color w:val="auto"/>
              </w:rPr>
            </w:pPr>
          </w:p>
        </w:tc>
        <w:tc>
          <w:tcPr>
            <w:tcW w:w="9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12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78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78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color w:val="auto"/>
              </w:rPr>
              <w:t>(in thousands, except par value and share amounts)</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407"/>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6,170</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Prepaids and deposits</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09"/>
        </w:trPr>
        <w:tc>
          <w:tcPr>
            <w:tcW w:w="77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2,354</w:t>
            </w: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net</w:t>
            </w: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49"/>
        </w:trPr>
        <w:tc>
          <w:tcPr>
            <w:tcW w:w="7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18,237</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15,121</w:t>
            </w:r>
          </w:p>
        </w:tc>
      </w:tr>
      <w:tr>
        <w:trPr>
          <w:trHeight w:val="197"/>
        </w:trPr>
        <w:tc>
          <w:tcPr>
            <w:tcW w:w="7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 short term</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 short term</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 short term</w:t>
            </w: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10,131</w:t>
            </w:r>
          </w:p>
        </w:tc>
      </w:tr>
      <w:tr>
        <w:trPr>
          <w:trHeight w:val="210"/>
        </w:trPr>
        <w:tc>
          <w:tcPr>
            <w:tcW w:w="7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13,203</w:t>
            </w:r>
          </w:p>
        </w:tc>
      </w:tr>
      <w:tr>
        <w:trPr>
          <w:trHeight w:val="210"/>
        </w:trPr>
        <w:tc>
          <w:tcPr>
            <w:tcW w:w="7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 long term</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1,629</w:t>
            </w:r>
          </w:p>
        </w:tc>
      </w:tr>
      <w:tr>
        <w:trPr>
          <w:trHeight w:val="210"/>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bottom w:val="single" w:sz="8" w:color="auto"/>
            </w:tcBorders>
          </w:tcPr>
          <w:p>
            <w:pPr>
              <w:spacing w:after="0"/>
              <w:rPr>
                <w:sz w:val="18"/>
                <w:szCs w:val="18"/>
                <w:color w:val="auto"/>
              </w:rPr>
            </w:pPr>
          </w:p>
        </w:tc>
      </w:tr>
      <w:tr>
        <w:trPr>
          <w:trHeight w:val="21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14,871</w:t>
            </w:r>
          </w:p>
        </w:tc>
      </w:tr>
      <w:tr>
        <w:trPr>
          <w:trHeight w:val="20"/>
        </w:trPr>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right="300"/>
        <w:spacing w:after="0" w:line="250" w:lineRule="auto"/>
        <w:rPr>
          <w:sz w:val="20"/>
          <w:szCs w:val="20"/>
          <w:color w:val="auto"/>
        </w:rPr>
      </w:pPr>
      <w:r>
        <w:rPr>
          <w:rFonts w:ascii="Times New Roman" w:cs="Times New Roman" w:eastAsia="Times New Roman" w:hAnsi="Times New Roman"/>
          <w:sz w:val="18"/>
          <w:szCs w:val="18"/>
          <w:color w:val="auto"/>
        </w:rPr>
        <w:t>Preferred stock - 5,000,000 authorized; par value $0.0001 per share; 12,707 shares issued and outstanding at September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180"/>
        <w:spacing w:after="0" w:line="180" w:lineRule="auto"/>
        <w:rPr>
          <w:sz w:val="20"/>
          <w:szCs w:val="20"/>
          <w:color w:val="auto"/>
        </w:rPr>
      </w:pPr>
      <w:r>
        <w:rPr>
          <w:rFonts w:ascii="Times New Roman" w:cs="Times New Roman" w:eastAsia="Times New Roman" w:hAnsi="Times New Roman"/>
          <w:sz w:val="17"/>
          <w:szCs w:val="17"/>
          <w:color w:val="auto"/>
        </w:rPr>
        <w:t xml:space="preserve">Common stock - 150,000,000 authorized; par value $0.0001 per share; 51,497,710 and 47,101,631 shares </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issued and outstanding at September 30, 2025 and December 31, 2024, respectively</w:t>
      </w:r>
    </w:p>
    <w:p>
      <w:pPr>
        <w:spacing w:after="0" w:line="1" w:lineRule="exact"/>
        <w:rPr>
          <w:sz w:val="20"/>
          <w:szCs w:val="20"/>
          <w:color w:val="auto"/>
        </w:rPr>
      </w:pPr>
    </w:p>
    <w:p>
      <w:pPr>
        <w:ind w:left="140" w:right="720"/>
        <w:spacing w:after="0" w:line="250" w:lineRule="auto"/>
        <w:rPr>
          <w:sz w:val="20"/>
          <w:szCs w:val="20"/>
          <w:color w:val="auto"/>
        </w:rPr>
      </w:pPr>
      <w:r>
        <w:rPr>
          <w:rFonts w:ascii="Times New Roman" w:cs="Times New Roman" w:eastAsia="Times New Roman" w:hAnsi="Times New Roman"/>
          <w:sz w:val="18"/>
          <w:szCs w:val="18"/>
          <w:color w:val="auto"/>
        </w:rPr>
        <w:t>Series A convertible preferred stocks - 10,000 authorized, par value $0.0001 per share; 8,207 shares issued and outstanding at September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380"/>
        <w:spacing w:after="0" w:line="250" w:lineRule="auto"/>
        <w:rPr>
          <w:sz w:val="20"/>
          <w:szCs w:val="20"/>
          <w:color w:val="auto"/>
        </w:rPr>
      </w:pPr>
      <w:r>
        <w:rPr>
          <w:rFonts w:ascii="Times New Roman" w:cs="Times New Roman" w:eastAsia="Times New Roman" w:hAnsi="Times New Roman"/>
          <w:sz w:val="18"/>
          <w:szCs w:val="18"/>
          <w:color w:val="auto"/>
        </w:rPr>
        <w:t>Series B convertible preferred stocks - 4,500 authorized, par value $0.0001 per share, 4,500 and 0 shares issued and outstanding at September 30, 2025 and December 31, 2024, respectively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14" w:lineRule="exact"/>
        <w:rPr>
          <w:sz w:val="20"/>
          <w:szCs w:val="20"/>
          <w:color w:val="auto"/>
        </w:rPr>
      </w:pPr>
    </w:p>
    <w:p>
      <w:pPr>
        <w:ind w:left="420"/>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Total Liabilities and Stockholders' Equity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126,085</w:t>
            </w:r>
          </w:p>
        </w:tc>
        <w:tc>
          <w:tcPr>
            <w:tcW w:w="5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105,326</w:t>
            </w:r>
          </w:p>
        </w:tc>
      </w:tr>
      <w:tr>
        <w:trPr>
          <w:trHeight w:val="23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(111,964)</w:t>
            </w: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(105,081)</w:t>
            </w:r>
          </w:p>
        </w:tc>
      </w:tr>
      <w:tr>
        <w:trPr>
          <w:trHeight w:val="210"/>
        </w:trPr>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14,126</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09"/>
        </w:trPr>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18,237</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15,121</w:t>
            </w:r>
          </w:p>
        </w:tc>
      </w:tr>
      <w:tr>
        <w:trPr>
          <w:trHeight w:val="20"/>
        </w:trPr>
        <w:tc>
          <w:tcPr>
            <w:tcW w:w="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-7620</wp:posOffset>
            </wp:positionV>
            <wp:extent cx="1097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-316230</wp:posOffset>
            </wp:positionV>
            <wp:extent cx="1097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8060" w:space="720"/>
            <w:col w:w="2460"/>
          </w:cols>
          <w:pgMar w:left="320" w:top="40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enabled services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0"/>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 gross</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 net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11,029</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12,989</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warranty liabilities</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other income / (expense), net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12,656</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convertible preferred stock dividends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stockholders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 per basic and diluted share of Common Stock</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51"/>
        </w:trPr>
        <w:tc>
          <w:tcPr>
            <w:tcW w:w="60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common shares used to compute net loss per basic and diluted</w:t>
            </w: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51,096,292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45,861,208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49,998,057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45,067,793</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of Common Stock</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401" w:right="339" w:bottom="1440" w:gutter="0" w:footer="0" w:header="0"/>
        </w:sectPr>
      </w:pPr>
    </w:p>
    <w:p>
      <w:pPr>
        <w:spacing w:after="0" w:line="209" w:lineRule="exact"/>
        <w:rPr>
          <w:sz w:val="20"/>
          <w:szCs w:val="20"/>
          <w:color w:val="auto"/>
        </w:rPr>
      </w:pPr>
    </w:p>
    <w:p>
      <w:pPr>
        <w:ind w:right="1180"/>
        <w:spacing w:after="0" w:line="301" w:lineRule="auto"/>
        <w:rPr>
          <w:sz w:val="20"/>
          <w:szCs w:val="20"/>
          <w:color w:val="auto"/>
        </w:rPr>
      </w:pPr>
      <w:r>
        <w:rPr>
          <w:rFonts w:ascii="Times New Roman" w:cs="Times New Roman" w:eastAsia="Times New Roman" w:hAnsi="Times New Roman"/>
          <w:sz w:val="16"/>
          <w:szCs w:val="16"/>
          <w:b w:val="1"/>
          <w:bCs w:val="1"/>
          <w:u w:val="single" w:color="auto"/>
          <w:color w:val="auto"/>
        </w:rPr>
        <w:t>Three Months Ended September 30,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192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9"/>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July 1, 2025</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82"/>
        </w:trPr>
        <w:tc>
          <w:tcPr>
            <w:tcW w:w="1780" w:type="dxa"/>
            <w:vAlign w:val="bottom"/>
            <w:vMerge w:val="continue"/>
          </w:tcPr>
          <w:p>
            <w:pPr>
              <w:spacing w:after="0"/>
              <w:rPr>
                <w:sz w:val="15"/>
                <w:szCs w:val="15"/>
                <w:color w:val="auto"/>
              </w:rPr>
            </w:pPr>
          </w:p>
        </w:tc>
        <w:tc>
          <w:tcPr>
            <w:tcW w:w="94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50,728,535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expense</w:t>
            </w: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convertible</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153,409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upon vesting of</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615,766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Series B Convertible</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Preferred Stock issuance</w:t>
            </w: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warrant</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liability due to warrant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amendment</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51,497,710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48"/>
        </w:trPr>
        <w:tc>
          <w:tcPr>
            <w:tcW w:w="178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47,101,631</w:t>
            </w:r>
          </w:p>
        </w:tc>
        <w:tc>
          <w:tcPr>
            <w:tcW w:w="60" w:type="dxa"/>
            <w:vAlign w:val="bottom"/>
          </w:tcPr>
          <w:p>
            <w:pPr>
              <w:spacing w:after="0"/>
              <w:rPr>
                <w:sz w:val="24"/>
                <w:szCs w:val="24"/>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04"/>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7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expense</w:t>
            </w: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convertible</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406,045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upon vesting of restricted</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773,368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Series B Convertible</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Preferred Stock issuance</w:t>
            </w: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3,216,666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with Private Placement</w:t>
            </w: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warrant</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liability due to warrant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amendment</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51,497,710</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49"/>
        </w:trPr>
        <w:tc>
          <w:tcPr>
            <w:tcW w:w="178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Series A Convertible</w:t>
            </w:r>
          </w:p>
        </w:tc>
        <w:tc>
          <w:tcPr>
            <w:tcW w:w="186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Series B Convertible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19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86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02"/>
        </w:trPr>
        <w:tc>
          <w:tcPr>
            <w:tcW w:w="8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4"/>
        </w:trPr>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8,207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120,783</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11,761</w:t>
            </w:r>
          </w:p>
        </w:tc>
        <w:tc>
          <w:tcPr>
            <w:tcW w:w="0" w:type="dxa"/>
            <w:vAlign w:val="bottom"/>
          </w:tcPr>
          <w:p>
            <w:pPr>
              <w:spacing w:after="0"/>
              <w:rPr>
                <w:sz w:val="1"/>
                <w:szCs w:val="1"/>
                <w:color w:val="auto"/>
              </w:rPr>
            </w:pPr>
          </w:p>
        </w:tc>
      </w:tr>
      <w:tr>
        <w:trPr>
          <w:trHeight w:val="283"/>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405"/>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13"/>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9"/>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513"/>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8"/>
        </w:trPr>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0" w:type="dxa"/>
            <w:vAlign w:val="bottom"/>
          </w:tcPr>
          <w:p>
            <w:pPr>
              <w:spacing w:after="0"/>
              <w:rPr>
                <w:sz w:val="1"/>
                <w:szCs w:val="1"/>
                <w:color w:val="auto"/>
              </w:rPr>
            </w:pPr>
          </w:p>
        </w:tc>
      </w:tr>
      <w:tr>
        <w:trPr>
          <w:trHeight w:val="274"/>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126,085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(111,964)</w:t>
            </w:r>
          </w:p>
        </w:tc>
        <w:tc>
          <w:tcPr>
            <w:tcW w:w="10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14,126</w:t>
            </w:r>
          </w:p>
        </w:tc>
        <w:tc>
          <w:tcPr>
            <w:tcW w:w="0" w:type="dxa"/>
            <w:vAlign w:val="bottom"/>
          </w:tcPr>
          <w:p>
            <w:pPr>
              <w:spacing w:after="0"/>
              <w:rPr>
                <w:sz w:val="1"/>
                <w:szCs w:val="1"/>
                <w:color w:val="auto"/>
              </w:rPr>
            </w:pPr>
          </w:p>
        </w:tc>
      </w:tr>
      <w:tr>
        <w:trPr>
          <w:trHeight w:val="100"/>
        </w:trPr>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-2082165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-1687830</wp:posOffset>
            </wp:positionV>
            <wp:extent cx="713232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-1045210</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-401955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-16510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257175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105,326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(105,081)</w:t>
            </w:r>
          </w:p>
        </w:tc>
        <w:tc>
          <w:tcPr>
            <w:tcW w:w="10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r>
      <w:tr>
        <w:trPr>
          <w:trHeight w:val="405"/>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3,073</w:t>
            </w:r>
          </w:p>
        </w:tc>
      </w:tr>
      <w:tr>
        <w:trPr>
          <w:trHeight w:val="405"/>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513"/>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500"/>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4,500</w:t>
            </w:r>
          </w:p>
        </w:tc>
      </w:tr>
      <w:tr>
        <w:trPr>
          <w:trHeight w:val="405"/>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r>
      <w:tr>
        <w:trPr>
          <w:trHeight w:val="513"/>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12,151</w:t>
            </w:r>
          </w:p>
        </w:tc>
      </w:tr>
      <w:tr>
        <w:trPr>
          <w:trHeight w:val="408"/>
        </w:trPr>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w:t>
            </w:r>
          </w:p>
        </w:tc>
      </w:tr>
      <w:tr>
        <w:trPr>
          <w:trHeight w:val="274"/>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4,500</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126,085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(111,964)</w:t>
            </w:r>
          </w:p>
        </w:tc>
        <w:tc>
          <w:tcPr>
            <w:tcW w:w="100" w:type="dxa"/>
            <w:vAlign w:val="bottom"/>
          </w:tcPr>
          <w:p>
            <w:pPr>
              <w:spacing w:after="0"/>
              <w:rPr>
                <w:sz w:val="23"/>
                <w:szCs w:val="23"/>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14,126</w:t>
            </w:r>
          </w:p>
        </w:tc>
      </w:tr>
      <w:tr>
        <w:trPr>
          <w:trHeight w:val="101"/>
        </w:trPr>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-2202180</wp:posOffset>
            </wp:positionV>
            <wp:extent cx="713232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-1687830</wp:posOffset>
            </wp:positionV>
            <wp:extent cx="7132320" cy="385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8544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-1045210</wp:posOffset>
            </wp:positionV>
            <wp:extent cx="713232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-402590</wp:posOffset>
            </wp:positionV>
            <wp:extent cx="71323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700" w:space="120"/>
            <w:col w:w="7420"/>
          </w:cols>
          <w:pgMar w:left="320" w:top="40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617" w:right="339" w:bottom="1440" w:gutter="0" w:footer="0" w:header="0"/>
        </w:sectPr>
      </w:pPr>
    </w:p>
    <w:p>
      <w:pPr>
        <w:spacing w:after="0" w:line="209" w:lineRule="exact"/>
        <w:rPr>
          <w:sz w:val="20"/>
          <w:szCs w:val="20"/>
          <w:color w:val="auto"/>
        </w:rPr>
      </w:pPr>
    </w:p>
    <w:p>
      <w:pPr>
        <w:ind w:right="1040"/>
        <w:spacing w:after="0" w:line="301" w:lineRule="auto"/>
        <w:rPr>
          <w:sz w:val="20"/>
          <w:szCs w:val="20"/>
          <w:color w:val="auto"/>
        </w:rPr>
      </w:pPr>
      <w:r>
        <w:rPr>
          <w:rFonts w:ascii="Times New Roman" w:cs="Times New Roman" w:eastAsia="Times New Roman" w:hAnsi="Times New Roman"/>
          <w:sz w:val="16"/>
          <w:szCs w:val="16"/>
          <w:b w:val="1"/>
          <w:bCs w:val="1"/>
          <w:u w:val="single" w:color="auto"/>
          <w:color w:val="auto"/>
        </w:rPr>
        <w:t>Three Months Ended September 30, 2024</w:t>
      </w:r>
    </w:p>
    <w:p>
      <w:pPr>
        <w:spacing w:after="0" w:line="14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32" w:lineRule="exact"/>
        <w:rPr>
          <w:sz w:val="20"/>
          <w:szCs w:val="20"/>
          <w:color w:val="auto"/>
        </w:rPr>
      </w:pPr>
    </w:p>
    <w:p>
      <w:pPr>
        <w:jc w:val="both"/>
        <w:ind w:left="2020"/>
        <w:spacing w:after="0"/>
        <w:tabs>
          <w:tab w:leader="none" w:pos="2960" w:val="left"/>
        </w:tabs>
        <w:rPr>
          <w:sz w:val="20"/>
          <w:szCs w:val="20"/>
          <w:color w:val="auto"/>
        </w:rPr>
      </w:pPr>
      <w:r>
        <w:rPr>
          <w:rFonts w:ascii="Times New Roman" w:cs="Times New Roman" w:eastAsia="Times New Roman" w:hAnsi="Times New Roman"/>
          <w:sz w:val="16"/>
          <w:szCs w:val="16"/>
          <w:b w:val="1"/>
          <w:bCs w:val="1"/>
          <w:color w:val="auto"/>
        </w:rPr>
        <w:t>Shares</w:t>
      </w:r>
      <w:r>
        <w:rPr>
          <w:sz w:val="20"/>
          <w:szCs w:val="20"/>
          <w:color w:val="auto"/>
        </w:rPr>
        <w:tab/>
      </w:r>
      <w:r>
        <w:rPr>
          <w:rFonts w:ascii="Times New Roman" w:cs="Times New Roman" w:eastAsia="Times New Roman" w:hAnsi="Times New Roman"/>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21590</wp:posOffset>
            </wp:positionV>
            <wp:extent cx="1225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-114935</wp:posOffset>
            </wp:positionV>
            <wp:extent cx="1225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Series A Convertible</w:t>
            </w:r>
          </w:p>
        </w:tc>
        <w:tc>
          <w:tcPr>
            <w:tcW w:w="19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Series B Convertible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196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9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r>
      <w:tr>
        <w:trPr>
          <w:trHeight w:val="202"/>
        </w:trPr>
        <w:tc>
          <w:tcPr>
            <w:tcW w:w="9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r>
    </w:tbl>
    <w:p>
      <w:pPr>
        <w:spacing w:after="0" w:line="187" w:lineRule="exact"/>
        <w:rPr>
          <w:sz w:val="20"/>
          <w:szCs w:val="20"/>
          <w:color w:val="auto"/>
        </w:rPr>
      </w:pPr>
    </w:p>
    <w:p>
      <w:pPr>
        <w:sectPr>
          <w:pgSz w:w="11900" w:h="16838" w:orient="portrait"/>
          <w:cols w:equalWidth="0" w:num="2">
            <w:col w:w="3560" w:space="260"/>
            <w:col w:w="7420"/>
          </w:cols>
          <w:pgMar w:left="320" w:top="617" w:right="339" w:bottom="1440" w:gutter="0" w:footer="0" w:header="0"/>
          <w:type w:val="continuous"/>
        </w:sectPr>
      </w:pPr>
    </w:p>
    <w:p>
      <w:pPr>
        <w:ind w:right="20"/>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Balance at July 1, 2024 </w:t>
      </w:r>
      <w:r>
        <w:rPr>
          <w:rFonts w:ascii="Times New Roman" w:cs="Times New Roman" w:eastAsia="Times New Roman" w:hAnsi="Times New Roman"/>
          <w:sz w:val="16"/>
          <w:szCs w:val="16"/>
          <w:color w:val="auto"/>
        </w:rPr>
        <w:t>Share-based compensation expense</w:t>
      </w:r>
    </w:p>
    <w:p>
      <w:pPr>
        <w:spacing w:after="0" w:line="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color w:val="auto"/>
        </w:rPr>
        <w:t>Dividends on convertible preferred stock Common Stock issued</w:t>
      </w:r>
    </w:p>
    <w:p>
      <w:pPr>
        <w:ind w:left="140" w:right="200"/>
        <w:spacing w:after="0" w:line="264" w:lineRule="auto"/>
        <w:rPr>
          <w:sz w:val="20"/>
          <w:szCs w:val="20"/>
          <w:color w:val="auto"/>
        </w:rPr>
      </w:pPr>
      <w:r>
        <w:rPr>
          <w:rFonts w:ascii="Times New Roman" w:cs="Times New Roman" w:eastAsia="Times New Roman" w:hAnsi="Times New Roman"/>
          <w:sz w:val="16"/>
          <w:szCs w:val="16"/>
          <w:color w:val="auto"/>
        </w:rPr>
        <w:t>upon convertible preferred stock exercising conversion rights</w:t>
      </w:r>
    </w:p>
    <w:p>
      <w:pPr>
        <w:ind w:left="140" w:right="280" w:hanging="134"/>
        <w:spacing w:after="0" w:line="264" w:lineRule="auto"/>
        <w:rPr>
          <w:sz w:val="20"/>
          <w:szCs w:val="20"/>
          <w:color w:val="auto"/>
        </w:rPr>
      </w:pPr>
      <w:r>
        <w:rPr>
          <w:rFonts w:ascii="Times New Roman" w:cs="Times New Roman" w:eastAsia="Times New Roman" w:hAnsi="Times New Roman"/>
          <w:sz w:val="16"/>
          <w:szCs w:val="16"/>
          <w:color w:val="auto"/>
        </w:rPr>
        <w:t>Common Stock issued upon vesting of restricted stock units</w:t>
      </w:r>
    </w:p>
    <w:p>
      <w:pPr>
        <w:spacing w:after="0"/>
        <w:rPr>
          <w:sz w:val="20"/>
          <w:szCs w:val="20"/>
          <w:color w:val="auto"/>
        </w:rPr>
      </w:pPr>
      <w:r>
        <w:rPr>
          <w:rFonts w:ascii="Times New Roman" w:cs="Times New Roman" w:eastAsia="Times New Roman" w:hAnsi="Times New Roman"/>
          <w:sz w:val="16"/>
          <w:szCs w:val="16"/>
          <w:color w:val="auto"/>
        </w:rPr>
        <w:t>Net income for the period</w:t>
      </w:r>
    </w:p>
    <w:p>
      <w:pPr>
        <w:spacing w:after="0" w:line="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45,793,112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97"/>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05"/>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715"/>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810"/>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76,278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08"/>
        </w:trPr>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4"/>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45,869,390</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101"/>
        </w:trPr>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102,793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(98,956)</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3,841</w:t>
            </w:r>
          </w:p>
        </w:tc>
        <w:tc>
          <w:tcPr>
            <w:tcW w:w="0" w:type="dxa"/>
            <w:vAlign w:val="bottom"/>
          </w:tcPr>
          <w:p>
            <w:pPr>
              <w:spacing w:after="0"/>
              <w:rPr>
                <w:sz w:val="1"/>
                <w:szCs w:val="1"/>
                <w:color w:val="auto"/>
              </w:rPr>
            </w:pPr>
          </w:p>
        </w:tc>
      </w:tr>
      <w:tr>
        <w:trPr>
          <w:trHeight w:val="297"/>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405"/>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715"/>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10"/>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8"/>
        </w:trPr>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1,990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1,990</w:t>
            </w:r>
          </w:p>
        </w:tc>
        <w:tc>
          <w:tcPr>
            <w:tcW w:w="0" w:type="dxa"/>
            <w:vAlign w:val="bottom"/>
          </w:tcPr>
          <w:p>
            <w:pPr>
              <w:spacing w:after="0"/>
              <w:rPr>
                <w:sz w:val="1"/>
                <w:szCs w:val="1"/>
                <w:color w:val="auto"/>
              </w:rPr>
            </w:pPr>
          </w:p>
        </w:tc>
      </w:tr>
      <w:tr>
        <w:trPr>
          <w:trHeight w:val="274"/>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103,685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(97,283)</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6,406</w:t>
            </w:r>
          </w:p>
        </w:tc>
        <w:tc>
          <w:tcPr>
            <w:tcW w:w="0" w:type="dxa"/>
            <w:vAlign w:val="bottom"/>
          </w:tcPr>
          <w:p>
            <w:pPr>
              <w:spacing w:after="0"/>
              <w:rPr>
                <w:sz w:val="1"/>
                <w:szCs w:val="1"/>
                <w:color w:val="auto"/>
              </w:rPr>
            </w:pPr>
          </w:p>
        </w:tc>
      </w:tr>
      <w:tr>
        <w:trPr>
          <w:trHeight w:val="101"/>
        </w:trPr>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-2205355</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-1819275</wp:posOffset>
            </wp:positionV>
            <wp:extent cx="713232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-919480</wp:posOffset>
            </wp:positionV>
            <wp:extent cx="7132320"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-405130</wp:posOffset>
            </wp:positionV>
            <wp:extent cx="713232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-1905</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1760" w:space="20"/>
            <w:col w:w="1920" w:space="120"/>
            <w:col w:w="7420"/>
          </w:cols>
          <w:pgMar w:left="320" w:top="6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Nine months Ended September 30, 2024</w:t>
      </w:r>
    </w:p>
    <w:p>
      <w:pPr>
        <w:sectPr>
          <w:pgSz w:w="11900" w:h="16838" w:orient="portrait"/>
          <w:cols w:equalWidth="0" w:num="1">
            <w:col w:w="11240"/>
          </w:cols>
          <w:pgMar w:left="320" w:top="617" w:right="339" w:bottom="1440" w:gutter="0" w:footer="0" w:header="0"/>
          <w:type w:val="continuous"/>
        </w:sectPr>
      </w:pPr>
    </w:p>
    <w:p>
      <w:pPr>
        <w:spacing w:after="0" w:line="20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6"/>
          <w:szCs w:val="16"/>
          <w:b w:val="1"/>
          <w:bCs w:val="1"/>
          <w:color w:val="auto"/>
        </w:rPr>
        <w:t>Balance at January 1, 2024</w:t>
      </w:r>
    </w:p>
    <w:p>
      <w:pPr>
        <w:spacing w:after="0" w:line="1" w:lineRule="exact"/>
        <w:rPr>
          <w:sz w:val="20"/>
          <w:szCs w:val="20"/>
          <w:color w:val="auto"/>
        </w:rPr>
      </w:pPr>
    </w:p>
    <w:p>
      <w:pPr>
        <w:jc w:val="both"/>
        <w:ind w:right="300"/>
        <w:spacing w:after="0" w:line="264" w:lineRule="auto"/>
        <w:rPr>
          <w:sz w:val="20"/>
          <w:szCs w:val="20"/>
          <w:color w:val="auto"/>
        </w:rPr>
      </w:pPr>
      <w:r>
        <w:rPr>
          <w:rFonts w:ascii="Times New Roman" w:cs="Times New Roman" w:eastAsia="Times New Roman" w:hAnsi="Times New Roman"/>
          <w:sz w:val="16"/>
          <w:szCs w:val="16"/>
          <w:color w:val="auto"/>
        </w:rPr>
        <w:t>Common Stock issued upon exercise of stock options</w:t>
      </w:r>
    </w:p>
    <w:p>
      <w:pPr>
        <w:ind w:right="20"/>
        <w:spacing w:after="0" w:line="264" w:lineRule="auto"/>
        <w:rPr>
          <w:sz w:val="20"/>
          <w:szCs w:val="20"/>
          <w:color w:val="auto"/>
        </w:rPr>
      </w:pPr>
      <w:r>
        <w:rPr>
          <w:rFonts w:ascii="Times New Roman" w:cs="Times New Roman" w:eastAsia="Times New Roman" w:hAnsi="Times New Roman"/>
          <w:sz w:val="16"/>
          <w:szCs w:val="16"/>
          <w:color w:val="auto"/>
        </w:rPr>
        <w:t>Share-based compensation expense</w:t>
      </w:r>
    </w:p>
    <w:p>
      <w:pPr>
        <w:ind w:right="120"/>
        <w:spacing w:after="0" w:line="264" w:lineRule="auto"/>
        <w:rPr>
          <w:sz w:val="20"/>
          <w:szCs w:val="20"/>
          <w:color w:val="auto"/>
        </w:rPr>
      </w:pPr>
      <w:r>
        <w:rPr>
          <w:rFonts w:ascii="Times New Roman" w:cs="Times New Roman" w:eastAsia="Times New Roman" w:hAnsi="Times New Roman"/>
          <w:sz w:val="16"/>
          <w:szCs w:val="16"/>
          <w:color w:val="auto"/>
        </w:rPr>
        <w:t>Dividends on convertible preferred stock Common Stock issued</w:t>
      </w:r>
    </w:p>
    <w:p>
      <w:pPr>
        <w:ind w:left="140" w:right="200"/>
        <w:spacing w:after="0" w:line="264" w:lineRule="auto"/>
        <w:rPr>
          <w:sz w:val="20"/>
          <w:szCs w:val="20"/>
          <w:color w:val="auto"/>
        </w:rPr>
      </w:pPr>
      <w:r>
        <w:rPr>
          <w:rFonts w:ascii="Times New Roman" w:cs="Times New Roman" w:eastAsia="Times New Roman" w:hAnsi="Times New Roman"/>
          <w:sz w:val="16"/>
          <w:szCs w:val="16"/>
          <w:color w:val="auto"/>
        </w:rPr>
        <w:t>upon convertible preferred stock exercising conversion rights</w:t>
      </w:r>
    </w:p>
    <w:p>
      <w:pPr>
        <w:ind w:left="140" w:right="280" w:hanging="134"/>
        <w:spacing w:after="0" w:line="264" w:lineRule="auto"/>
        <w:rPr>
          <w:sz w:val="20"/>
          <w:szCs w:val="20"/>
          <w:color w:val="auto"/>
        </w:rPr>
      </w:pPr>
      <w:r>
        <w:rPr>
          <w:rFonts w:ascii="Times New Roman" w:cs="Times New Roman" w:eastAsia="Times New Roman" w:hAnsi="Times New Roman"/>
          <w:sz w:val="16"/>
          <w:szCs w:val="16"/>
          <w:color w:val="auto"/>
        </w:rPr>
        <w:t>Common Stock issued upon vesting of restricted stock units</w:t>
      </w:r>
    </w:p>
    <w:p>
      <w:pPr>
        <w:spacing w:after="0"/>
        <w:rPr>
          <w:sz w:val="20"/>
          <w:szCs w:val="20"/>
          <w:color w:val="auto"/>
        </w:rPr>
      </w:pPr>
      <w:r>
        <w:rPr>
          <w:rFonts w:ascii="Times New Roman" w:cs="Times New Roman" w:eastAsia="Times New Roman" w:hAnsi="Times New Roman"/>
          <w:sz w:val="16"/>
          <w:szCs w:val="16"/>
          <w:color w:val="auto"/>
        </w:rPr>
        <w:t>Net income for the period</w:t>
      </w:r>
    </w:p>
    <w:p>
      <w:pPr>
        <w:spacing w:after="0" w:line="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43,855,503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513"/>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232,081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500"/>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05"/>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128,233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715"/>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1,391,183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810"/>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262,390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08"/>
        </w:trPr>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4"/>
        </w:trPr>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45,869,390</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100"/>
        </w:trPr>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9,898</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101,147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(97,988)</w:t>
            </w:r>
          </w:p>
        </w:tc>
        <w:tc>
          <w:tcPr>
            <w:tcW w:w="10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3,163</w:t>
            </w:r>
          </w:p>
        </w:tc>
      </w:tr>
      <w:tr>
        <w:trPr>
          <w:trHeight w:val="513"/>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588</w:t>
            </w:r>
          </w:p>
        </w:tc>
      </w:tr>
      <w:tr>
        <w:trPr>
          <w:trHeight w:val="500"/>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1,814</w:t>
            </w:r>
          </w:p>
        </w:tc>
      </w:tr>
      <w:tr>
        <w:trPr>
          <w:trHeight w:val="405"/>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715"/>
        </w:trPr>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810"/>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08"/>
        </w:trPr>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1,722</w:t>
            </w:r>
          </w:p>
        </w:tc>
      </w:tr>
      <w:tr>
        <w:trPr>
          <w:trHeight w:val="274"/>
        </w:trPr>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103,685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(97,283)</w:t>
            </w:r>
          </w:p>
        </w:tc>
        <w:tc>
          <w:tcPr>
            <w:tcW w:w="100" w:type="dxa"/>
            <w:vAlign w:val="bottom"/>
          </w:tcPr>
          <w:p>
            <w:pPr>
              <w:spacing w:after="0"/>
              <w:rPr>
                <w:sz w:val="23"/>
                <w:szCs w:val="23"/>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6,406</w:t>
            </w:r>
          </w:p>
        </w:tc>
      </w:tr>
      <w:tr>
        <w:trPr>
          <w:trHeight w:val="100"/>
        </w:trPr>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-2588260</wp:posOffset>
            </wp:positionV>
            <wp:extent cx="713232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-1945005</wp:posOffset>
            </wp:positionV>
            <wp:extent cx="7132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-1430655</wp:posOffset>
            </wp:positionV>
            <wp:extent cx="7132320" cy="643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64325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-401955</wp:posOffset>
            </wp:positionV>
            <wp:extent cx="7132320"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3">
            <w:col w:w="1760" w:space="20"/>
            <w:col w:w="1920" w:space="120"/>
            <w:col w:w="7420"/>
          </w:cols>
          <w:pgMar w:left="320" w:top="61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type w:val="continuous"/>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09"/>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Warranty provision</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 obsolescence reserve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Warranty settlement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Changes in other non-current assets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and equipment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Investment in patents and trademarks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Series B convertible preferred stock</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warrants and common stock, net of offering costs</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settled in cash</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of warrant liabilities to additional paid in capital</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on convertible preferred stock</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settled with common stock</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401" w:right="2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right="204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SUMMARY OF SIGNIFICANT ACCOUNTING POLICIES AND RECENT DEVELOPMENTS Organization and Business Description</w:t>
      </w:r>
    </w:p>
    <w:p>
      <w:pPr>
        <w:jc w:val="both"/>
        <w:spacing w:after="0" w:line="258" w:lineRule="auto"/>
        <w:rPr>
          <w:sz w:val="20"/>
          <w:szCs w:val="20"/>
          <w:color w:val="auto"/>
        </w:rPr>
      </w:pPr>
      <w:r>
        <w:rPr>
          <w:rFonts w:ascii="Times New Roman" w:cs="Times New Roman" w:eastAsia="Times New Roman" w:hAnsi="Times New Roman"/>
          <w:sz w:val="18"/>
          <w:szCs w:val="18"/>
          <w:color w:val="auto"/>
        </w:rPr>
        <w:t>Wrap Technologies, Inc., a Delaware corporation (the “Company”, “we”, “us”, and “our”), is a publicly traded company with its common stock, par value $0.0001 per share (“Common Stock”), listed on the Nasdaq Capital Market (“Nasdaq”)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Certain information and footnote disclosures normally included in financial statements prepared in accordance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2024, included in the Company’s Annual Report on Form 10-K for the year ended December 31, 2024 (the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as filed with the SEC on March 31, 2025 and as amended on April 25, 2025. The accompanying unaudited condensed consolidated balance sheet as of September 30, 2025 has been derived from the audited consolidated balance sheet as of December 31, 2024, contained in the Company's Annual Report on Form 10-K for the year ended December 31, 2024. Results of operations for interim periods are not necessarily indicative of the results of operations for a full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necessary, the prior year’s information has been reclassified to conform to the current year’s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three wholly owned subsidiaries, Wrap Reality, Inc., that sells a virtual reality (“</w:t>
      </w:r>
      <w:r>
        <w:rPr>
          <w:rFonts w:ascii="Times New Roman" w:cs="Times New Roman" w:eastAsia="Times New Roman" w:hAnsi="Times New Roman"/>
          <w:sz w:val="18"/>
          <w:szCs w:val="18"/>
          <w:i w:val="1"/>
          <w:iCs w:val="1"/>
          <w:color w:val="auto"/>
        </w:rPr>
        <w:t>VR</w:t>
      </w:r>
      <w:r>
        <w:rPr>
          <w:rFonts w:ascii="Times New Roman" w:cs="Times New Roman" w:eastAsia="Times New Roman" w:hAnsi="Times New Roman"/>
          <w:sz w:val="18"/>
          <w:szCs w:val="18"/>
          <w:color w:val="auto"/>
        </w:rPr>
        <w:t>”) training system primarily targeting law enforcement agencies, Intrensic, LLC (“Intrensic”), specializing in Body Worn Camera and Digital Evidence Management solutions and Wrap Federal, LLC. The condensed consolidated financial statements include the accounts of these subsidiaries after elimination of intercompany transactions and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segment. The Company’s chief operating decision maker is Scot Cohen, the Company’s Executive Chairman and Chief Executive Officer, who manages operations for purposes of allocating resources. Refer to Note 15. Major Customers and Related Information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difference, if any, between the aggregate consideration paid for an acquisition and the fair values of the underlying net assets and liabilities assumed from an acquired business. Goodwill is not amortized but instead is tested for impairment. The Company tests goodwill for impairment on an annual basis during the fourth quarter, or more frequently if conditions indicate that such impairment could exist. The Company evaluates qualitative factors to determine if it is more likely than not that the fair value of a reporting unit is less than its carrying value and whether it is necessary to perform goodwill impairment process.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Definite-lived intangible assets represent certain trade names, patents, licenses, software, acquired technology and customer relationships. Definite-lived intangible assets are recorded at cost less any accumulated amortization and accumulated impairment losses, if any. Definite-lived intangible assets acquired through the business combination are measured at fair value at the acquisition date. The Company amortizes these acquired definite-lived intangibles assets with a finite life on a straight-line basis, over 6 years for technology; between 3 and 7 years for customer relationships; and 8 years for trademarks and trade names.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expense, valuation of warrants,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issued warrants that do not meet all the criteria for equity classification, the warrants are required to be recorded at their initial fair value on the date of issuance, and each balance sheet date thereafter. The Company accounts for the warrants issued in accordance with the guidance contained in ASC 815-40-15-7C,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condensed consolidated statement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30, 2025, the Company entered into the Series A Warrant Amendment (as defined herein) and the 2025 Warrant Amendment (as defined herein). As a result, the Series A Warrants (as defined herein) and the PIPE Warrants (as defined herein), each satisfy the requirements outlined in ASC 815-10-15-74(a)(1) and in ASC 815-10-15-74(a)(2). Under ASC 815-40-35-10, the amended instruments qualify for equity-classification on a prospective basis. The effective date of the relating reclassification from warrant liabilities to additional paid-in capital was June, 30, 2025. See Footnote 8: Warrants for additional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and accounts for conversion options embedded in its convertible instruments in accordance with ASC 480 and ASC 815 to determine if those instruments or embedded components of those instruments qualify as derivatives and are subject to bifurcation accounting. The Company determines that the economic characteristics and risks of the embedded derivative instrument are clearly and closely related to the economic characteristics and risks of the host contract. The convertible instruments are accounted for as a single hybrid instrument. Additionally, the convertible instruments do not have any redemption features that would preclude permanent equity classification in accordance with the guidance contained in ASC 480-10-S99.</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issued the Series A Warrants (as defined herein), which are classified as liabilities and measured at fair value on a recurring basis, and the Company's Series A Convertible Preferred Stock, par value $0.0001 per share (the “Series A Preferred Stock”) in one transaction. The proceeds from the issuances were allocated by using the with-and-without method. Under this method, the Company first allocated the proceeds to the Series A Warrants based on their initial fair value measurement and then allocated the remaining proceeds to the Series A Preferred Stock. On June 30, 2025, the Company and holders of the Series A Warrants amended the Series A Warrants, which allowed the Company to account for the Series A Warrants as equity under ASC 480 and a reclassification was recorded from warrant liability to additional paid-in-capital.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under ASC Topic 606 - Revenue from Contracts with Customers (“ASC 606”). Revenue is recognized when control of the promised goods or performance obligations for services is transferred to the Company’s customers, in an amount that reflects the consideration the Company expects to be entitled to in exchange for the goods or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that include various combinations of products, accessories, software and services, each of which are generally distinct and are accounted for as separate performance obligations. Product sales include BolaWrap products and accessories. Managed services revenue represents the consulting services provided to customers of W1 Global, LLC (“W1”). Other revenue includes VR revenues, service, training and shipping revenues.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after invoicing. The Company recognizes an asset if there are incremental costs of obtaining a contract with a customer such as commissions. These costs are ascribed to or allocated to the underlying performance obligations in the contract. The Company may receive consideration, per the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completed. In such instances, a deferred revenue liability is recorded. The Company recognizes these contract liabilities as revenue after all revenue recognition criteria are met.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costs for the Company’s standard warranty, generally one-year, are charged to cost of products sold when revenue is recorded for the related product. Royalties are also charged to the cost of products sold.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loss per share (EPS) is computed by dividing net loss, less any dividends, accretion or decretion, redemption or induced conversion, if any, on the Company’s Series A Preferred Stock, by the weighted average number of shares outstanding during the reported period.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computing diluted EPS, the Company adjusts the numerator used in the basic EPS computation, subject to anti-dilution requirements, to add back the dividends (declared or cumulative undeclared) applicable to the Series A Preferred Stock. Such add-back would also include any adjustments to equity in the period to accrete the Series A Preferred Stock to its redemption price, or recorded upon a redemption or induced conversion, if any. The Company adjusts the denominator used in the basic EPS computation, subject to anti-dilution requirements, to include the dilution from potential shares resulting from the issuance of the Series A Preferred Stock, restricted stock units, and stock options. Stock options and restricted stock units exercisable or issuable for a total of 7,089,678 shares and 4,979,745 shares of Common Stock were outstanding as of September 30, 2025 and 2024, respectively. These securities are not included in the computation of diluted net loss per share of Common Stock for the periods presented as their inclusion would be antidilutive due to losses incurred by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Effective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disaggregation of certain costs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employee compensation, and requires other improvements to disclosures. The amendments in this update are effective for annual periods beginning after December 15, 2026 and interim reporting periods beginning after December 15, 2027. The update may be applied on a prospective or retrospective basis. The Company is evaluating the impact of ASU 2024-03 on the Company’s notes to the consolidated financial statements.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 REVENUE AND PRODUCT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consists of product revenue, technology enabled services, and managed services. Product sales include BolaWrap products and accessories. Technology enabled services includes VR revenue, service, training and shipping revenue. Managed services revenue includes consulting services delivered to third parties and billed on an agreed hourly fee basis when enforceable right to payment exists.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recognizes an asset if there are incremental costs of obtaining a contract with a customer such as commissions. These costs are ascribed to or allocated to the underlying performance obligations in the contract. The Company may receive consideration, per the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completed. In such instances, a deferred revenue liability is recorded. The Company recognizes these contract liabilities as revenue after all revenue recognition criteria are met. Estimated costs for the Company’s standard warranty, generally one-year, are charged to cost of products sold when revenue is recorded for the related product. Royalties are also charged to the cost of products sold.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details the activity in our contract liabilities during the nine months ended September 30, 2025.</w:t>
            </w:r>
          </w:p>
        </w:tc>
        <w:tc>
          <w:tcPr>
            <w:tcW w:w="180" w:type="dxa"/>
            <w:vAlign w:val="bottom"/>
          </w:tcPr>
          <w:p>
            <w:pPr>
              <w:spacing w:after="0"/>
              <w:rPr>
                <w:sz w:val="20"/>
                <w:szCs w:val="20"/>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20"/>
                <w:szCs w:val="20"/>
                <w:color w:val="auto"/>
              </w:rPr>
            </w:pPr>
          </w:p>
        </w:tc>
        <w:tc>
          <w:tcPr>
            <w:tcW w:w="10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0" w:type="dxa"/>
            <w:vAlign w:val="bottom"/>
          </w:tcPr>
          <w:p>
            <w:pPr>
              <w:spacing w:after="0"/>
              <w:rPr>
                <w:sz w:val="1"/>
                <w:szCs w:val="1"/>
                <w:color w:val="auto"/>
              </w:rPr>
            </w:pPr>
          </w:p>
        </w:tc>
      </w:tr>
      <w:tr>
        <w:trPr>
          <w:trHeight w:val="194"/>
        </w:trPr>
        <w:tc>
          <w:tcPr>
            <w:tcW w:w="8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8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09"/>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net</w:t>
            </w: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 to revenue</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0"/>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portion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Company’s deferred revenue of $400 consisted of $15 related to BolaWrap extended warranties and services, $20 related to WRAP Ready, $289 related to Intrensic extended warranties and services, $39 related to VR, and $37 related to training.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 by little or no market data.</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shows the Company’s short-term investments by significant investment category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Market</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Market</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gains or losses resulting from our short-term investments are recorded in accumulated other comprehensive gain or loss as they are classified as available for sale. During the nine months ended September 30, 2025, as well as the nine months ended September 30, 2024, no gain (loss) was recorded to comprehensive loss.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measured at fair value on a recurring basis. The subsequent measurement of the warrant liabilities as of September 30, 2025, is classified as Level 3 due to the use of an observable market quote in a non-active market and the management’s assumption of the expected stock price volatility.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in the beginning of the period, the changes in the fair value, and the fair value at the end of the period of the warrant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inceptions for December 31, 2024 or the beginning of the period for September 30, 2025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w:t>
            </w:r>
          </w:p>
        </w:tc>
      </w:tr>
      <w:tr>
        <w:trPr>
          <w:trHeight w:val="216"/>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Warrants issued with Private Placement</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9,572</w:t>
            </w:r>
          </w:p>
        </w:tc>
      </w:tr>
      <w:tr>
        <w:trPr>
          <w:trHeight w:val="216"/>
        </w:trPr>
        <w:tc>
          <w:tcPr>
            <w:tcW w:w="7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period 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used a Monte Carlo simulation to estimate the fair value of warrant liabilities as of June 30, 2025, being the date the Company entered into the Series A Warrant Amendment and the 2025 Warrant Amendment. Under ASC 815-40-35-10, the amended instruments qualify for equity-classification on a prospective basis. The effective date of the relating reclassification from warrant liabilities to additional paid-in capital was June, 30, 2025 (the "Reclassification Date"). The valuation was performed based on the amended terms of the Series A Warrants and PIPE Warrants. The following table summarizes the assumptions used to compute the fair value of the Company’s warrants: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MONTE CARLO SIMULATION MODEL – PIPE WARRANTS</w:t>
            </w: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51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r>
      <w:tr>
        <w:trPr>
          <w:trHeight w:val="210"/>
        </w:trPr>
        <w:tc>
          <w:tcPr>
            <w:tcW w:w="51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Reclassification Date</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yield</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Terms (years)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4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Warrant Share</w:t>
            </w:r>
          </w:p>
        </w:tc>
        <w:tc>
          <w:tcPr>
            <w:tcW w:w="4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1.235</w:t>
            </w:r>
          </w:p>
        </w:tc>
      </w:tr>
      <w:tr>
        <w:trPr>
          <w:trHeight w:val="516"/>
        </w:trPr>
        <w:tc>
          <w:tcPr>
            <w:tcW w:w="5140" w:type="dxa"/>
            <w:vAlign w:val="bottom"/>
          </w:tcPr>
          <w:p>
            <w:pPr>
              <w:spacing w:after="0"/>
              <w:rPr>
                <w:sz w:val="24"/>
                <w:szCs w:val="24"/>
                <w:color w:val="auto"/>
              </w:rPr>
            </w:pPr>
          </w:p>
        </w:tc>
        <w:tc>
          <w:tcPr>
            <w:tcW w:w="4280" w:type="dxa"/>
            <w:vAlign w:val="bottom"/>
          </w:tcPr>
          <w:p>
            <w:pPr>
              <w:jc w:val="right"/>
              <w:ind w:right="3635"/>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8"/>
        </w:trPr>
        <w:tc>
          <w:tcPr>
            <w:tcW w:w="5140" w:type="dxa"/>
            <w:vAlign w:val="bottom"/>
            <w:tcBorders>
              <w:bottom w:val="single" w:sz="8" w:color="auto"/>
            </w:tcBorders>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405"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MONTE CARLO SIMULATION MODEL – 2025 WARRANTS</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7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0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r>
      <w:tr>
        <w:trPr>
          <w:trHeight w:val="210"/>
        </w:trPr>
        <w:tc>
          <w:tcPr>
            <w:tcW w:w="7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Reclassification Date</w:t>
            </w: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yield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Terms (years)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2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Warrant Share</w:t>
            </w:r>
          </w:p>
        </w:tc>
        <w:tc>
          <w:tcPr>
            <w:tcW w:w="2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modified Black-Scholes option pricing model to determine the fair value of warrant liabilities as of December 31, 2024. The following table summarizes the assumptions used to compute the fair value of the Company’s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95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yield</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life of warrants (years)</w:t>
            </w:r>
          </w:p>
        </w:tc>
        <w:tc>
          <w:tcPr>
            <w:tcW w:w="1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other financial instruments also include accounts receivable, accounts payable, accrued liabilities and customer deposits. Due to the short-term nature of these instruments, their fair values approximate their carrying values on the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4,387</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Obsolescence</w:t>
            </w: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6,170</w:t>
            </w: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Inventory reserve expense was $83 and $270 for the three and nine months ended September 30, 2025, respectively, and $0 and $12 for the three and nine months ended September 30, 2024, respectively.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20" w:type="dxa"/>
            <w:vAlign w:val="bottom"/>
          </w:tcPr>
          <w:p>
            <w:pPr>
              <w:spacing w:after="0"/>
              <w:rPr>
                <w:sz w:val="24"/>
                <w:szCs w:val="24"/>
                <w:color w:val="auto"/>
              </w:rPr>
            </w:pP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4"/>
                <w:szCs w:val="24"/>
                <w:color w:val="auto"/>
              </w:rPr>
            </w:pPr>
          </w:p>
        </w:tc>
        <w:tc>
          <w:tcPr>
            <w:tcW w:w="1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lab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Tooling</w:t>
            </w: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fixtures and improvements</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$25 and $92 for the three and nine months ended September 30, 2025, respectively, and $82 and $312 for the three and nine months ended September 30,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3"/>
        </w:trPr>
        <w:tc>
          <w:tcPr>
            <w:tcW w:w="77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software and technology</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amortizable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Indefinite life assets (non-amortizable)</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was $125 and $362 for the three and nine months ended September 30, 2025, respectively, and $114 and $334 for the three and nine months ended September 30, 2024, respectively. The Company recognized impairment charges for Customer Relationships of $54 and $54 for the three and nine months ended September 30, 2025, respectively, related to the managed services realignment. No impairment charges were recognized in the three and nine months ended September 30,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2025, future amortization expense is as follows:</w:t>
            </w:r>
          </w:p>
        </w:tc>
        <w:tc>
          <w:tcPr>
            <w:tcW w:w="4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2025 (3 months)</w:t>
            </w:r>
          </w:p>
        </w:tc>
        <w:tc>
          <w:tcPr>
            <w:tcW w:w="5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880" w:type="dxa"/>
            <w:vAlign w:val="bottom"/>
            <w:vMerge w:val="restart"/>
          </w:tcPr>
          <w:p>
            <w:pPr>
              <w:jc w:val="right"/>
              <w:ind w:right="4353"/>
              <w:spacing w:after="0"/>
              <w:rPr>
                <w:sz w:val="20"/>
                <w:szCs w:val="20"/>
                <w:color w:val="auto"/>
              </w:rPr>
            </w:pPr>
            <w:r>
              <w:rPr>
                <w:rFonts w:ascii="Times New Roman" w:cs="Times New Roman" w:eastAsia="Times New Roman" w:hAnsi="Times New Roman"/>
                <w:sz w:val="14"/>
                <w:szCs w:val="14"/>
                <w:color w:val="auto"/>
              </w:rPr>
              <w:t>12</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526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26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ACCOUNTS PAYABLE AND ACCRUED LIABILITIES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September 30, 2025</w:t>
            </w:r>
          </w:p>
        </w:tc>
        <w:tc>
          <w:tcPr>
            <w:tcW w:w="60" w:type="dxa"/>
            <w:vAlign w:val="bottom"/>
          </w:tcPr>
          <w:p>
            <w:pPr>
              <w:spacing w:after="0"/>
              <w:rPr>
                <w:sz w:val="24"/>
                <w:szCs w:val="24"/>
                <w:color w:val="auto"/>
              </w:rPr>
            </w:pPr>
          </w:p>
        </w:tc>
        <w:tc>
          <w:tcPr>
            <w:tcW w:w="16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and legal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8"/>
                <w:szCs w:val="18"/>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Royalty</w:t>
            </w:r>
          </w:p>
        </w:tc>
        <w:tc>
          <w:tcPr>
            <w:tcW w:w="120" w:type="dxa"/>
            <w:vAlign w:val="bottom"/>
          </w:tcPr>
          <w:p>
            <w:pPr>
              <w:spacing w:after="0"/>
              <w:rPr>
                <w:sz w:val="18"/>
                <w:szCs w:val="18"/>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settlement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120" w:type="dxa"/>
            <w:vAlign w:val="bottom"/>
          </w:tcPr>
          <w:p>
            <w:pPr>
              <w:spacing w:after="0"/>
              <w:rPr>
                <w:sz w:val="18"/>
                <w:szCs w:val="18"/>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w:t>
            </w: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Changes in our estimated product warranty costs were as follows:</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7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Warranty settlements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-10795</wp:posOffset>
            </wp:positionV>
            <wp:extent cx="1637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-125095</wp:posOffset>
            </wp:positionV>
            <wp:extent cx="1637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29, 2023, the Company entered into a Securities Purchase Agreement (the “Series A Purchase Agreement”) with certain directors of the Company and certain accredited and institutional investors (collectively, the “Series A Investors”), pursuant to which it agreed to sell to the Series A Investors in a registered direct offering (the “Series A Offering”): (i) an aggregate of 10,000 shares of the Company’s newly-designated Series A Convertible Preferred Stock, with par value $0.0001 per share and a stated value of $1,000 per share (the “Series A Preferred Stock”), initially convertible into up to 6,896,553 shares of Common Stock, at an initial conversion price of $1.45 per share (the “Conversion Price”), and (ii) warrants to acquire up to an aggregate of 6,896,553 shares of Common Stock (the “Series A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Series A Warrant has an exercise price of $1.45 per share,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 The closing of the Series A Offering occurred on July 3, 2023. The aggregate gross proceeds from the Series A Offering were $10,000, of which $7,717 was allocated to the Series A Warrants.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2025, the Company entered into a securities purchase agreement (the “PIPE Purchase Agreement”) with certain accredited investors (collectively, the “PIPE Purchasers”) for the issuance and sale in a private placement (the “Private Placement”) of an aggregate of 3,216,666 shares (the “Common Shares”) of Common Stock and accompanying warrants (“PIPE Warrants”) to purchase up to 3,216,666 shares of Common Stock, with an exercise price of $1.80 per share. The purchase price for one Common Share and accompanying PIPE Warrant was $1.80. The gross proceeds to the Company were $5,790 before estimated offering expenses payable by the Company, of which $5,185 was allocated to the PIPE Warrants.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2025, the Company entered into a warrant amendment (the “Series A Warrant Amendment”) with the Required Holders (as defined in the Series A Purchase Agreement), pursuant to which, the Required Holders agreed to amend the terms of the Series A Warrants to make certain adjustments to the definition of “Black Scholes Value” in each of the Series A Warrants, as described in the Series A Warrant Amendment, such that the underlying price per share as used in such calculation equals the sum of the price per share being offered in cash in the applicable Fundamental Transaction (as defined in the Series A Warrants), if any, plus the value of the non-cash consideration being offered in the applicable Fundamental Transaction, if any. As consideration for entering into the Series A Warrant Amendment, the Company and the Required Holders agreed to amend the term of the Series A Warrants to be six and one-half years from the date of issuance.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on June 30, 2025, the Company entered into a warrant amendment (the “2025 Warrant Amendment”) with certain of the PIPE Purchasers, pursuant to which, such PIPE Purchasers agreed to amend the terms of their respective PIPE Warrants to make certain adjustments to the definition of “Black Scholes Value,” as described in the 2025 Warrant Amendment, such that the underlying price per share as used in such calculation equals the sum of the price per share being offered in cash in the applicable Fundamental Transaction (as defined in the PIPE Warrants), if any, plus the value of the non-cash consideration being offered in the applicable Fundamental Transaction, if any. As consideration for entering into the 2025 Warrant Amendment, the Company and the applicable PIPE Purchasers agreed to amend the term of their respective 2025 Warrants to be five and one-half years from the date of issuance.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ASC 815-40-35-10, upon effective amendment on June 30, 2025, each of the Series A Warrants and PIPE Warrants qualify for equity-classification. Immediately before the equity reclassification, such warrants were each revalued at fair value with the resulting gain or loss being recorded in the Statement of Operations. After fair value remeasurement, the reclassification from warrant liabilities to additional paid-in capital was completed. See Footnote 3: Financial Instruments for details of the fair value measurement and impact on the Statement of Operations.</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18, 2025, the Company entered into a securities purchase agreement (the “Series B Purchase Agreement”) with certain accredited investors (collectively, the “Series B Purchasers”) for the issuance and sale in a private placement (the “Series B Private Placement”) of an aggregate of (i) 4,500 shares of the Company’s newly-designated Series B Convertible Preferred Stock, with a par value of $0.0001 per share and a stated value of $1,000 per share, initially convertible into up to 3,000,000 shares of Common Stock, at an initial conversion price of $1.50 per share (the “Series B Preferred Stock”), and (ii) accompanying warrants (“Series B Warrants”) to purchase up to 3,000,000 shares of Common Stock, with an initial exercise price of $1.50 per share. The Series B Warrants and the shares of Series B Preferred Stock will be exercisable or convertible, respectively, into shares of Common Stock (“Series B Conversion Shares”) beginning on the effective date of stockholder approval of (i) under Nasdaq Stock Market Rule 5635(d), the issuance of shares of Common Stock in excess of 19.99% of the Company’s issued and outstanding shares of Common Stock at prices below the “Minimum Price” (as defined in Rule 5635 of the Rules of the Nasdaq Stock Market) on the date of the Series B Purchase Agreement pursuant to the terms of the Series B Preferred Stock and the Series B Warrants, and (ii) an increase in the authorized shares of the Company (the “Series B Stockholder Approval”). As of the date of this Quarterly Report on Form 10-Q, the Company has not obtained the Series B Stockholder Approval. However, the Company plans to hold a special meeting of its stockholders on December 12, 2025, to, among other things, obtain the Series B Stockholder Approval. The Series B Warrants will expire five years from the effective date of the Series B Stockholder 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guidance in FASB ASC Topic 842, Leases defines a lease as a contract, or part of a contract, that conveys the right to control the use of identified property, plant, or equipment (an identified asset) for a period of time in exchange for consideration. Operating lease right of use (“ROU”)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For leases beginning on or after January 1, 2019, lease components are accounted for separately from non-lease components for all asset classes. On January 21, 2023, the Company’s lease was amended to extend the expiration date to July 31, 2025. Upon execution of the amendment, which was deemed a lease modification, the Company reassessed the lease liability using the discount rate determined at the modification date and recorded an additional ROU asset for the same amount. The Company’s lease contains renewal provisions and escalating rental clauses and generally requires the Company to pay utilities, insurance, taxes and other operating expenses. The renewal provisions of the existing lease agreement were not included in the determination of the operating lease liabilities and the ROU assets. The Company also reassessed the lease classification and concluded that the lease continues to be an operating lease.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was $76 and $204 for the three and nine months ended September 30, 2025, respectively, and $74 and $217 for the three and nine months ended September 30, 2024, respectively. Operating lease expense for capitalized operating leases included in operating activities was $154 and $463 for the three and nine months ended September 30, 2025, respectively, and $154 and $463 for the three months and nine months ended September 30, 2024,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recorded on the balance sheet at September 30, 2025 are:</w:t>
            </w: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80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short term</w:t>
            </w:r>
          </w:p>
        </w:tc>
        <w:tc>
          <w:tcPr>
            <w:tcW w:w="23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liability - long term</w:t>
            </w:r>
          </w:p>
        </w:tc>
        <w:tc>
          <w:tcPr>
            <w:tcW w:w="19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2,186</w:t>
            </w:r>
          </w:p>
        </w:tc>
      </w:tr>
      <w:tr>
        <w:trPr>
          <w:trHeight w:val="20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9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included in the measurement of lease liabilities on the balance sheet at September 30, 2025 for future periods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(3 months)</w:t>
            </w:r>
          </w:p>
        </w:tc>
        <w:tc>
          <w:tcPr>
            <w:tcW w:w="400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6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3,569</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10"/>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2,491</w:t>
            </w:r>
          </w:p>
        </w:tc>
      </w:tr>
      <w:tr>
        <w:trPr>
          <w:trHeight w:val="20"/>
        </w:trPr>
        <w:tc>
          <w:tcPr>
            <w:tcW w:w="63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is 5.37 years, and the weighted average discount rate is 13.50%</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leases contain provisions for payment of real estate taxes, insurance and maintenance costs by the Company. These expenses are treated as variable lease payments and recognized in the period in which the obligation for those payments was incurred. The Company had $2 and $33 variable lease expenses for the three and nine months ended September 30, 2025, respectively, and $23 and $41 variable lease expenses for the three and nine months ended September 30, 2024,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short-term lease expenses for the three and nine months ended September 30, 2025, respectively, and had $1 and $16 in short-term lease expenses for the three and nine months ended September 30, 2024, respectively. The Company does not have any finance leases.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authorized capital consists of 150,000,000 shares of Common Stock and 5,000,000 shares of preferred stock, par value $0.0001 per share (“Preferred Stock”), of which 10,000 and 4,500 are designated as Series A and Series B Preferred Stock,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Preferred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 2023, the Company filed the Certificate of Designations of the Series A Preferred Stock (the “Certificate of Designations”) with the Secretary of State of the State of Delaware, designating 10,000 shares of its Preferred Stock as Series A Convertible Preferred Stock. The terms of the Series A Preferred Stock are as set forth in the form of Certificate of Designations of the Series A Preferred Stock (the “Certificate of Designations”). The Series A Preferred Stock is convertible into shares of Common Stock (the “Conversion Shares”) at the election of the holder at any time at an initial conversion price of $1.45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dividends of 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20% per annum. If the Company elects to pay any dividends in shares of Common Stock, the Conversion Price used to calculate the number of shares issuable will be equal to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Stockholder Approval (subject to adjustment for stock splits, stock dividends, stock combinations, recapitalizations or other similar events) or, in any case, such lower amount as permitted, from time to time, by the Nasdaq Stock Market.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19, 2024, the Company entered into an Amendment Agreement (the “August 2024 Amendment”) with the Required Holders (as defined in the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w:t>
      </w:r>
    </w:p>
    <w:p>
      <w:pPr>
        <w:spacing w:after="0" w:line="3" w:lineRule="exact"/>
        <w:rPr>
          <w:sz w:val="20"/>
          <w:szCs w:val="20"/>
          <w:color w:val="auto"/>
        </w:rPr>
      </w:pPr>
    </w:p>
    <w:p>
      <w:pPr>
        <w:jc w:val="both"/>
        <w:ind w:firstLine="8"/>
        <w:spacing w:after="0" w:line="250" w:lineRule="auto"/>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August 2024 Amendment to amend (i) the Certificate of Designations, as described below, by filing a Certificate of Amendment to the Certificate of Designations (the “August 2024 Certificate of Amendment”) and (ii) the Series A Purchase Agreement to amend the definition of “Excluded Securities.” The August 2024 Certificate of Amendment amends the Certificate of Designations to, among other things,</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(as described below), and (ii) the Company’s right to redeem, all or a portion, of the Series A Preferred Stock outstanding pursuant to an optional redemption (as described below), in each case, pursuant to the terms of the Certificate of Designations.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August 2024 Certificate of Amendment, 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Certificate of Designations are satisfied.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August 2024 Certificate of Amendment, at any time beginning 18 months from the date of the issuance, provided that the Company has filed all reports required to be filed by it pursuant to the Exchange Act on a timely basis for a continuous period of one year and provided further that certain equity conditions described in the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2024, the Company entered into an Amendment Agreement with the Required Holders (as defined in the Certificate of Designations), pursuant to which, the Required Holders agreed to amend the Certificate of Designations of the Company’s Series A Preferred Stock, as described below, by filing a Certificate of Amendment to the Certificate of Designations (the “October 2024 Certificate of Amendment”). The October 2024 Certificate of Amendment amends the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$1.414 per share, which was the Minimum Price (as defined in Rule 5635 of the Rule of the Nasdaq Stock Market) applicable immediately before the execution and delivery of the Series A Purchase Agreement, subject to certain beneficial ownership limitations as set forth in the Certificate of Designations. The October 2024 Certificate of Amendment further provides that (i) certain holders of the Series A Preferred Stock will not be subject to certain beneficial ownership limitations as described in the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 The holders of the Series A Preferred Stock have no voting rights, other than with respect to certain matters affecting the rights of the Series A Preferred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25, 2024, the Company entered into an Amendment and Agreement with the Series A Investors (the “November 2024 Amendment Agreement”), pursuant to which, (i) the Series A Investors agreed to amend the Certificate of Designations, as described below, by filing a Certificate of Amendment to the Certificate of Designations with the Secretary of State (the “November 2024 Certificate of Amendment”), and (ii) the Series A Investors and the Company agreed that all payment amounts that have accrued and are unpaid as of November 25, 2024, pursuant to the Certificate of Designations and the August 2024 Amendment will be satisfied by delivery of shares of Common Stock on or prior to November 25, 2024, with each Series A Investor entitled to receive the number of shares of Common Stock specified below such Series A Investor’s name on its respective signature page thereto. The November 2024 Certificate of Amendment amends the Certificate of Designations to provide that upon the occurrence of a Triggering Event (as defined in the Certificate of Designations), the Series A Preferred Stock will accrue dividends compounded monthly at the rate of 20% per annum. The Certificate of Amendment became effective with the Secretary of State on December 6, 2024.</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time of issuance, $2,036 of the net proceeds less transaction cost of the Series A Purchase Agreement was allocated to the 10,000 shares of Series A Preferred Stock initially issued. As of December 31, 2024, a total of 1,793 shares of Series A Preferred Stock were converted into approximately 1,468,000 shares of Common Stock. There were no additional conversions in the nine months ended September 30, 2025. As of September 30, 2025, the Company has authorized, declared and paid $492 in dividends in the form of shares of the Company’s Common Stock during the nine months ended September 30, 2025. For the nine months ended September 30, 2024, authorized and declared dividends totaling $1,017, of which $60 was paid in cash, $129 was paid in shares of the Company’s Common Stock.</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B Preferred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18, 2025, the Company entered into the Series B Purchase Agreement with the Series B Purchasers for the issuance and sale in a private placement of an aggregate of (i) 4,500 shares of the Company’s Series B Preferred Stock initially convertible into up to 3,000,000 shares of Common Stock, at an initial conversion price of $1.50 per share, and (ii) accompanying Series B Warrants to purchase up to 3,000,000 shares of Common Stock, with an initial exercise price of $1.50 per share. The Series B Warrants and the shares of Series B Preferred Stock will be exercisable or convertible, respectively, into shares of Common Stock beginning on the effective date of stockholder approval of (i) under Nasdaq Stock Market Rule 5635(d), the issuance of shares of Common Stock in excess of 19.99% of the Company’s issued and outstanding shares of Common Stock at prices below the “Minimum Price” (as defined in Rule 5635 of the Rules of the Nasdaq Stock Market) on the date of the Series B Purchase Agreement pursuant to the terms of the Series B Preferred Stock and the Series B Warrants, and (ii) an increase in the authorized shares of the Company. As of the date of this Quarterly Report on Form 10-Q, the Company has not obtained the Series B Stockholder Approval. However, the Company plans to hold a special meeting of its stockholders on December 12, 2025, to, among other things, obtain the Series B Stockholder Approval. The Series B Warrants will expire five years from the effective date of the Series B Stockholder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20, 2025, the Company filed the Series B Certificate of Designations, thereby creating the Series B Preferred Stock. The Series B Certificate of Designations became effective with the Secretary of State of the State of Delaware upon filing. The terms of the Series B Convertible Preferred Stock are as set forth in the Series B Certificate of Designations. The Series B Preferred Stock are convertible into the Series B Conversion Shares at the election of the holders of the Series B Preferred Stock at any time at an initial conversion price of $1.50 per share. The conversion price is subject to customary adjustments for stock dividends, stock splits, reclassifications, stock combinations and the like (subject to certain exceptions).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Series B Preferred Stock shall be entitled to receive dividends when and as declared by the Board, from time to time, in its sole discretion, which dividends will be paid by the Company out of funds legally available therefor, payable, subject to the conditions and other terms of the Series B Certificate of Designations, in cash, in securities of the Company or using assets as determined by the Board on the stated value of such Series B Preferred Stock.</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the Series B Certificate of Designations or as otherwise required by law, the Series B Preferred Stock has no voting rights. However, as long as any shares of Series B Preferred Stock are outstanding, the Company shall not, without the affirmative vote of the holders of Series B Preferred Stock of a majority of the then outstanding shares of the Series B Preferred Stock, (a) alter or change adversely the powers, preferences or rights given to the of the Series B Preferred Stock or alter or amend the Series B Certificate of Designations, (b) amend its certificate of incorporation or other charter documents in any manner that adversely affects any rights of the holders of Series B Preferred Stock, (c) increase the number of authorized shares of the Series B Preferred Stock, or (d) enter into any agreement with respect to any of the foregoing.</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Series B Preferred Stock and the Company does not intend to list the Series B Preferred Stock on any national securities exchange or nationally recognized trading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28, 2017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adopted, and the Company’s stockholders approved, the Wrap Technologies, Inc. 2017 Equity Incentive Plan (the “2017 Plan”), which was adopted by the Board on November 12, 2024, subject to stockholder approval. Under the 2017 Plan as originally adopted, the Company initially reserved 2,000,000 shares of Common Stock for issuance as awards under the 2017 Plan. The 2017 Plan was amended by the First Amendment to the 2017 Plan to increase the total number of shares of Common Stock for issuance under the 2017 Plan to 4,100,000 shares, which was adopted by the Board on March 16, 2019, and by stockholders on May 23, 2019. The 2017 Plan was also amended by the Second Amendment to the 2017 Plan to increase the total number of shares of Common Stock for issuance under the 2017 Plan to 6,000,000 shares which was adopted by the Board on April 8, 2020, and by stockholders on June 5, 2020. The 2017 Plan was also amended by the Third Amendment to the 2017 Plan to increase the total number of shares of Common Stock for issuance under the 2017 Plan to 7,500,000 shares which was adopted by the Board on April 23, 2021, and by stockholders on June 22, 2021. The 2017 Plan was also amended by the Fourth Amendment to the 2017 Plan to increase the total number of shares of Common Stock for issuance under the 2017 Plan to 9,000,000 shares which was adopted by the Board on April 22, 2022, and by our stockholders on June 23, 2022.The 2017 Plan was amended by the Fifth Amendment to the 2017 Plan to increase the total number of shares of Common Stock for issuance under the 2017 Plan to 16,500,000 shares which was adopted by the Board on November 12, 2024, and by our stockholders on December 23, 2024.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As of September 30, 2025, there were 4,654,885 shares of Common Stock remaining available for grant under the 2017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Options on</w:t>
            </w:r>
          </w:p>
        </w:tc>
        <w:tc>
          <w:tcPr>
            <w:tcW w:w="200" w:type="dxa"/>
            <w:vAlign w:val="bottom"/>
          </w:tcPr>
          <w:p>
            <w:pPr>
              <w:spacing w:after="0"/>
              <w:rPr>
                <w:sz w:val="20"/>
                <w:szCs w:val="20"/>
                <w:color w:val="auto"/>
              </w:rPr>
            </w:pPr>
          </w:p>
        </w:tc>
        <w:tc>
          <w:tcPr>
            <w:tcW w:w="25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0" w:type="dxa"/>
            <w:vAlign w:val="bottom"/>
          </w:tcPr>
          <w:p>
            <w:pPr>
              <w:spacing w:after="0"/>
              <w:rPr>
                <w:sz w:val="20"/>
                <w:szCs w:val="20"/>
                <w:color w:val="auto"/>
              </w:rPr>
            </w:pPr>
          </w:p>
        </w:tc>
        <w:tc>
          <w:tcPr>
            <w:tcW w:w="10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3,944,284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4,113,927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 cancelled, expired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(2,024,762)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6,033,449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September 30, 2025</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1,625,078</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4,743,283 service-based stock options outstanding, and 1,290,166 performance-based stock options outstanding which were granted in October 2023 to the Company’s current Chief Executive Officer, subject to vesting based on future market capitalization targets.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the service-based options that have been granted. The following table summarizes the assumptions used to compute the fair value of options granted to employees and non-employees: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6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8600" w:type="dxa"/>
            <w:vAlign w:val="bottom"/>
          </w:tcPr>
          <w:p>
            <w:pPr>
              <w:spacing w:after="0"/>
              <w:rPr>
                <w:sz w:val="20"/>
                <w:szCs w:val="20"/>
                <w:color w:val="auto"/>
              </w:rPr>
            </w:pPr>
          </w:p>
        </w:tc>
        <w:tc>
          <w:tcPr>
            <w:tcW w:w="2160" w:type="dxa"/>
            <w:vAlign w:val="bottom"/>
            <w:tcBorders>
              <w:bottom w:val="single" w:sz="8" w:color="auto"/>
            </w:tcBorders>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r>
      <w:tr>
        <w:trPr>
          <w:trHeight w:val="209"/>
        </w:trPr>
        <w:tc>
          <w:tcPr>
            <w:tcW w:w="86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3.79%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w:t>
            </w:r>
          </w:p>
        </w:tc>
        <w:tc>
          <w:tcPr>
            <w:tcW w:w="78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78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1.28</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1.48</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the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on zero coupon U.S. Treasury bonds whose maturity period is appropriate for the term of the options. The dividend yield of zero 0 is based on the fact that the Company has never paid cash dividends and has no present intention of paying cash dividends. The Company calculates the expected life of the options using the Simplified Method for the employee stock options as the Company does not have sufficient historical exercise data.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 expense was $295 and $341 for the three months ended September 30, 2025 and 2024, respectively. Stock option expense was $1,158 and $776 for the nine months ended September 30, 2025 and 2024, respectively.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provides for the grant of restricted stock units (“RSUs”). RSUs are settled in shares of the Company’s Common Stock as the RSUs vest. The following table summarizes RSU activity for the nine months ended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RSU's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130"/>
        </w:trPr>
        <w:tc>
          <w:tcPr>
            <w:tcW w:w="73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0" w:type="dxa"/>
            <w:vAlign w:val="bottom"/>
          </w:tcPr>
          <w:p>
            <w:pPr>
              <w:spacing w:after="0"/>
              <w:rPr>
                <w:sz w:val="1"/>
                <w:szCs w:val="1"/>
                <w:color w:val="auto"/>
              </w:rPr>
            </w:pPr>
          </w:p>
        </w:tc>
      </w:tr>
      <w:tr>
        <w:trPr>
          <w:trHeight w:val="108"/>
        </w:trPr>
        <w:tc>
          <w:tcPr>
            <w:tcW w:w="7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2025</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988,102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Granted-service based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841,495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 and cancelled</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1,056,229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used the Monte Carlo Simulation Model to value at the grant date the aggregate of 632,911 market condition performance RSUs granted in January 2024 to the Company’s Chief Executive Officer. The assumptions used in the Monte Carlo Simulation were stock price on the date of grant equal to $3.40, a contract term of 10 years, expected volatility of 78% and risk-free interest rate of 4.10%. Vesting is based on sustained market capitalization of $1 billion, and the derived service period is 4.3 years.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RSU expense was $343 and $555 for the three months ended September 30, 2025 and 2024, respectively. RSU expense was $1,915 and $1,038 for the nine months ended September 30,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share-based compensation for options and RSUs in its statements of operations for the relevant periods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4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w:t>
            </w:r>
          </w:p>
        </w:tc>
      </w:tr>
      <w:tr>
        <w:trPr>
          <w:trHeight w:val="238"/>
        </w:trPr>
        <w:tc>
          <w:tcPr>
            <w:tcW w:w="5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Borders>
              <w:bottom w:val="single" w:sz="8" w:color="auto"/>
            </w:tcBorders>
          </w:tcPr>
          <w:p>
            <w:pPr>
              <w:spacing w:after="0"/>
              <w:rPr>
                <w:sz w:val="20"/>
                <w:szCs w:val="20"/>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1,735</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expense</w:t>
            </w:r>
          </w:p>
        </w:tc>
        <w:tc>
          <w:tcPr>
            <w:tcW w:w="84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1,814</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total estimated compensation cost of stock options granted and outstanding but not yet vested was $3,974 which is expected to be recognized over the weighted average period of 3.01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total estimated compensation cost of RSUs granted and outstanding but not yet vested was $1,282, which is expected to be recognized over the weighted average period of 2.31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DEFINED CONTRIBUTION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each of the nine months ended September 30, 2025 and 2024 was $23 and $0, respectively.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Commitments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was committed for approximately $391 for future component deliveries that are generally subject to modification or rescheduling in the normal course of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Indemnifications and Guarantees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officers and directors are indemnified as to personal liability as provided by Delaware law and the Company’s certificate of incorporation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Agencies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oversight from regulatory agencies regarding firearms that arise in the ordinary course of its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litigation and other claims in the ordinary course of business. The Company records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As of September 30, 2025, the Company had no provision for liability under existing litigation.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Facility lease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entered into a facility lease agreement for its new production facility based in Norton, Virginia. The initial term of the agreement is for five years and commenced on October 1, 2025 (the "Term"). The Company was granted early occupancy of the facility for use beginning on August 18, 2025. The total cash payments to the lessor during the Term are $600.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29, 2023, the Company entered into the Series A Purchase Agreement with certain investors, including Scot Cohen, the Company’s Chief Executive Officer, and V4 Global LLC (“V4”). Mr. Cohen has voting and dispositive control with respect to the securities and is deemed to be the beneficial owner of the securities held by V4. Pursuant to the Series A Purchase Agreement, the Company issued Mr. Cohen and V4 an aggregate of 3,000 shares of Series A Preferred Stock and Series A Warrants to purchase up to an aggregate of 2,068,966 shares of Common Stock for aggregate gross proceeds of $3,000. For the nine months ended September 30, 2025, Mr. Cohen earned dividends totaling $120 on his Series A Preferred Stock.</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24, 2025, the Company entered into the PIPE Purchase Agreement with certain accredited including: V4 Global, LLC (“V4”), an entity controlled by Mr. Cohen, the Company’s Chief Executive Officer; Continuum Ventures, LLC (“Continuum”), an entity controlled by Jared Novick, the Company’s President and Chief Operating Officer; and Savbo Investments LLC (“Savbo”), an entity controlled by Marc Savas, a member of the Company’s Board, pursuant to which, the Company issued and sold in a private placement an aggregate of 3,216,666 shares of Common Stock and PIPE Warrants with an exercise price of $1.80 per share, to purchase up to 3,216,666 shares of Common Stock (the “Private Placement”). Pursuant to the PIPE Private Placement, the Company sold to (i) V4 1,100,000 shares of Common Stock and PIPE Warrants to purchase up to an aggregate of 1,100,000 shares of Common Stock, for aggregate gross proceeds of $1,980, (ii) Continuum an aggregate of 275,000 shares of Common stock and PIPE Warrants to purchase up to an aggregate of 275,000 shares of Common Stock for aggregate gross proceeds of $495 and (iii) Savbo an aggregate of 50,000 shares of Common stock and PIPE Warrants to purchase up to an aggregate of 50,000 shares of Common Stock for aggregate gross proceeds of $90.</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18, 2025, the Company entered into the Series B Purchase Agreement with the Series B Purchasers, including V4, pursuant to which, the Company issued and sold in a private placement an aggregate of (i) 4,500 shares of the Company’s Series B Preferred Stock initially convertible into up to 3,000,000 shares of Common Stock, at an initial conversion price of $1.50 per share, and (ii) accompanying Series B Warrants to purchase up to 3,000,000 shares of Common Stock, with an initial exercise price of $1.50 per share. Pursuant to the Series B Private Placement, the Company sold to V4 1,000 shares of Series B Preferred Stock and 666,667 Series B Warrants for aggregate gross proceeds of $100.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MAJOR CUSTOMERS AND RELATED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revenue from one customer accounted for approximately 93% of revenue, with no other single customer accounting for more than 10% of total revenue. For the three months ended September 30, 2024, revenue from one distributor accounted for approximately 20% with no other single customer accounting for more than 10% of total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revenue from three distributors accounted for approximately 42%, 11%, and 10% of revenue, respectively, with no other single customer accounting for more than 10% of total revenue. For the nine months ended September 30, 2024, revenue from two distributors accounted for approximately 28% and 17% of revenue, respectively, with no other single customer accounting for more than 10% of total revenue.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accounts receivable from one customer accounted for 76%, of net accounts receivable with no other single customer accounting for more than 10% of the accounts receivable balance. At December 31, 2024, accounts receivable from two distributors accounted for 11% and 10%, respectively, of net accounts receivable with no other single customer accounting for more than 10% of the accounts receivable balance.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geographic region. Revenue is attributed to countries based on customer’s delivery location: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20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39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39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16. W1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18, 2025, the Company and W1, entered into an Asset Purchase Agreement, dated as of February 18, 2025 pursuant to which, subject to the terms and conditions set forth therein, the Company agreed to acquire substantially all the assets of W1 used in, held for use in or relating to the business of advisory and investigative professional services which related to specific identified customer contracts. The Company recorded the transaction as an Asset Acquisition in accordance with ASC 805 and recorded $54 as intangible assets included in Customer Relationships (See Note 6 “Intangible Assets” above). The Company has preliminarily assigned a three-year life to such Customer Relationships.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acquired W1 Global to integrate technology enablement into its core offerings and expand into managed technology services supporting the BolaWrap go-to-market strategy. Following a third-quarter evaluation, the company determined that W1’s investigative services were not essential to Wrap’s domestic or international expansion; however, customers strongly valued managed services related to policy and training. As a result, Wrap will continue focusing on managed services in policy governance and training to advance the next era of non-lethal technology development, delivering an integrated response package that combines technology with the support, policy alignment, and governance needed for adoption at the state and federal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Mutual Separation with Jerry Ratigan and Appointment of Scot Cohen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21, 2025, the Company and Jerry Ratigan, who served as the Company’s Chief Financial Officer, Principal Accounting Officer and Principal Financial Officer, mutually agreed to the separation of Mr. Ratigan from such roles, effective as of October 24, 2025.</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Mr. Ratigan’s separation from the Company have been memorialized pursuant to a General Release and Severance Agreement, dated as of October 21, 2025, which was executed by the Company and Mr. Ratigan on October 24, 2025 (the “Separation Agreement”). Pursuant to the Separation Agreement, Mr. Ratigan is entitled to receive a severance payment in an amount equal to $50,000, representing three months of Mr. Ratigan’s base salary, less all lawful and authorized withholdings and deductions, payable in a lump sum on the Company’s first regular pay date following the Effective Date (as defined in the Separation Agreement). In exchange for the consideration provided to Mr. Ratigan in the Separation Agreement, Mr. Ratigan agreed to waive and release any claims in connection with Mr. Ratigan’s employment and separation from the Company. On October 25, 2025, the board of directors of the Company appointed Scot Cohen, who serves as the Company’s Chief Executive Officer and Principal Executive Officer, to the position of Chief Executive Officer, Principal Executive Officer, Principal Financial Officer and Principal Accounting Officer, effective immediately.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Appointment of John Shulman to the Board of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25, 2025, the Board increased the size of the Board to six (6) members and appointed John Shulman to serve as a member of the Company’s Board, to serve until the Company’s next annual meeting of stockholders or until his successor is duly elected and qualified. Mr. Shulman will be entitled to the standard compensation paid by the Company to all its nonemployee directors under the Company’s director compensation program.</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in conjunction with the financial statements and other financial information included elsewhere in this Quarterly Report on Form 10-Q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with our audited financial statements and other information presented in our Annual Report on Form 10-K for the year ended December 31, 2024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This Report may contain or incorporate by reference forward-looking statements within the meaning of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Such forward-looking statements are based upon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assumptions, expectations, projections, intentions and beliefs about future events. Except for historical information, the use of predictive, future-tense or forward-looking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the negative or plural of such words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expressions or variations of such words are intended to identify forward-looking statements but are not the only means of identifying forward-looking statements. Such forward-looking statements are subject to several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including particularly matters set forth under Part I, Item 1A (Risk Factors) of the Annual Report.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management’s discussion and analysis to “we,” “us,” “our,” “the Company,” “our Company,” or “Wrap” refer to Wrap Technologies, Inc. and its subsidiaries.</w:t>
      </w:r>
    </w:p>
    <w:p>
      <w:pPr>
        <w:sectPr>
          <w:pgSz w:w="11900" w:h="16838" w:orient="portrait"/>
          <w:cols w:equalWidth="0" w:num="1">
            <w:col w:w="11240"/>
          </w:cols>
          <w:pgMar w:left="320" w:top="4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global public safety technology and services company that delivers safe and effective policing solutions to law enforcement and security personnel worldwide. We are leading the movement for safer outcomes by equipping law enforcement with safer, non-painful compliance tools, and immersive training fit for modern society. We began sales of our first public safety product, the BolaWrap 100 remote restraint device, in late 2018. In the first quarter of 2022, we delivered a new generation product, the BolaWrap 150. The BolaWrap 150 is electronically deployed and is more robust, smaller, lighter and simpler to deploy than the BolaWrap 100 that has since been phased out. In late 2020 we added a new solution to our public safety technologies, our virtual reality (“VR”) training platform, Wrap Reality, and in August 2023 we acquired Intrensic, LLC, a Delaware limited liability company (“Intrensic”), which added a Body-Worn Camera (“BWC”) and Digital Evidence Management (“DEM”) solution to our portfolio of policing solutions. Wrap Reality is now sold to law enforcement agencies for simulation training as well as corrections departments for the societal reentry scenarios.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we expanded our product portfolio with the launch of WrapTactics, a digital pre-escalation and performance training platform, and WrapVision, a North American-made body-worn camera solution designed to meet federal procurement standards. We also advanced several counter-unmanned-aircraft-system (“C-UAS”) initiatives, including our MERLIN and PAN-DA programs, which apply our tether-deployment technology to non-lethal drone interdiction and defense applications. These developments broaden our reach beyond traditional policing to include defense, homeland security, and other public-safety markets, while maintaining our focus on de-escalation, accountability, and safer outcomes.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 market for our product and technology enabled services includes approximately 900,000 full-time sworn law enforcement officers in over 18,000 federal, state, and local law enforcement agencies in the U.S. and over 12 million police officers in more than 100 countries. Additionally, we are exploring opportunities to increase our presence in other adjacent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focus our efforts on the following products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BolaWrap Remote Restraint Device </w:t>
      </w:r>
      <w:r>
        <w:rPr>
          <w:rFonts w:ascii="Times New Roman" w:cs="Times New Roman" w:eastAsia="Times New Roman" w:hAnsi="Times New Roman"/>
          <w:sz w:val="18"/>
          <w:szCs w:val="18"/>
          <w:color w:val="auto"/>
        </w:rPr>
        <w:t>- a hand-held remote restraint device that discharges a seven and half-foot Kevlar tether to entangle an individual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10-25 feet. BolaWrap assists law enforcement to safely and effectively control encounters early without resorting to painful use of force options.  </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Wrap Reality </w:t>
      </w:r>
      <w:r>
        <w:rPr>
          <w:rFonts w:ascii="Times New Roman" w:cs="Times New Roman" w:eastAsia="Times New Roman" w:hAnsi="Times New Roman"/>
          <w:sz w:val="18"/>
          <w:szCs w:val="18"/>
          <w:color w:val="auto"/>
        </w:rPr>
        <w:t>- a law enforcement 3D training system employing immersive computer graphics VR with proprietary software-enabled content. It allows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two participants to enter a simulated training environment simultaneously, and customized weapons controllers enable trainees to engage in strategic decision making along the force continuum. Wrap Reality has 45 scenarios for law enforcement and corrections and 15 scenarios for societal reentry. Wrap Reality is one of the most robust 3D Virtual Reality solutions on the market for law enforcement and societal reentry today.  </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Wrap Intrensic </w:t>
      </w:r>
      <w:r>
        <w:rPr>
          <w:rFonts w:ascii="Times New Roman" w:cs="Times New Roman" w:eastAsia="Times New Roman" w:hAnsi="Times New Roman"/>
          <w:sz w:val="18"/>
          <w:szCs w:val="18"/>
          <w:color w:val="auto"/>
        </w:rPr>
        <w:t>- a Body-Worn Camera and Digital Evidence Management solutions provider. BWC and DEM play crucial roles in capturing, storing,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digital evidence, such as video and audio recordings for various purposes, including criminal investigations and maintaining transparency in public interactions. The Wrap Intrensic X2 camera hardware and storage and data management capability, along with awareness of front-line operations, provides customers with a solution to meet their challenges. Wrap Intrensic Evidence on our cloud-based video storage platform provides an unlimited video storage platform that includes video and other evidence uploading, search, retrieval, redaction, and evidence sharing while reducing the need for resources required to manage this evidence.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WrapTactics Digital Training Platform </w:t>
      </w:r>
      <w:r>
        <w:rPr>
          <w:rFonts w:ascii="Times New Roman" w:cs="Times New Roman" w:eastAsia="Times New Roman" w:hAnsi="Times New Roman"/>
          <w:sz w:val="18"/>
          <w:szCs w:val="18"/>
          <w:color w:val="auto"/>
        </w:rPr>
        <w:t>- a subscription-based digital learning and training system that delivers short-form, scenario-based courses focused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pre-escalation tactics, emotional regulation, and post-deployment control techniques. The platform reinforces officer readiness through burst-learning modules and supports recurring-revenue opportunities by integrating with Wrap’s bundled offerings, WrapReady and WrapPlus. WrapTactics includes an exclusive partnership with STORM Training Group, whose evidence-based defensive-tactics curriculum is incorporated into Wrap’s subscription ecosystem to provide post-BolaWrap arrest and control instruction</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WrapReality Training Simulator</w:t>
      </w:r>
      <w:r>
        <w:rPr>
          <w:rFonts w:ascii="Times New Roman" w:cs="Times New Roman" w:eastAsia="Times New Roman" w:hAnsi="Times New Roman"/>
          <w:sz w:val="18"/>
          <w:szCs w:val="18"/>
          <w:color w:val="auto"/>
        </w:rPr>
        <w:t>- a fully immersive VR training simulator that provides first responders with realistic, interactive scenarios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decision-making under pressure. The system continues to expand its content library and complements WrapTactics and BolaWrap deployments.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WrapVision Body-Worn Camera and Evidence Management System </w:t>
      </w:r>
      <w:r>
        <w:rPr>
          <w:rFonts w:ascii="Times New Roman" w:cs="Times New Roman" w:eastAsia="Times New Roman" w:hAnsi="Times New Roman"/>
          <w:sz w:val="18"/>
          <w:szCs w:val="18"/>
          <w:color w:val="auto"/>
        </w:rPr>
        <w:t>- a North American-made, Trade Agreements Act-compliant body-worn camera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 designed for law enforcement, public-safety, and healthcare users. The device integrates LTE, Wi-Fi, Bluetooth, and VPN connectivity for secure live streaming, provides up to twelve hours of operation per charge, and is compatible with leading video-management platforms. WrapVision complements our pre-escalation and accountability initiatives by offering secure domestic data storage and alignment with federal procurement standards.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C-UAS and Drone-Based Solutions - we have expanded into the C-UAS and aerial-interdiction markets through multiple research, development, and demonstration programs including:</w:t>
      </w:r>
    </w:p>
    <w:p>
      <w:pPr>
        <w:spacing w:after="0" w:line="160" w:lineRule="exact"/>
        <w:rPr>
          <w:sz w:val="20"/>
          <w:szCs w:val="20"/>
          <w:color w:val="auto"/>
        </w:rPr>
      </w:pPr>
    </w:p>
    <w:p>
      <w:pPr>
        <w:jc w:val="both"/>
        <w:ind w:firstLine="8"/>
        <w:spacing w:after="0" w:line="258" w:lineRule="auto"/>
        <w:tabs>
          <w:tab w:leader="none" w:pos="1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MERLIN 1</w:t>
      </w:r>
      <w:r>
        <w:rPr>
          <w:rFonts w:ascii="Times New Roman" w:cs="Times New Roman" w:eastAsia="Times New Roman" w:hAnsi="Times New Roman"/>
          <w:sz w:val="18"/>
          <w:szCs w:val="18"/>
          <w:color w:val="auto"/>
        </w:rPr>
        <w:t>- a lightweight, modular, open-architecture system that equips drones and ground robots with Wraps BolaWrap cassette and multi-shot 1KC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entanglement cassette for rapid, low-collateral interdiction of Group-1 UAS threats. Designed for plug-and-play integration and tool-less reload, it delivers precise effects and operator-simple controls for public safety and defense missions.</w:t>
      </w:r>
    </w:p>
    <w:p>
      <w:pPr>
        <w:ind w:firstLine="8"/>
        <w:spacing w:after="0" w:line="250" w:lineRule="auto"/>
        <w:tabs>
          <w:tab w:leader="none" w:pos="111"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Project PAN-DA (Personal Anti-Drone Armament) </w:t>
      </w:r>
      <w:r>
        <w:rPr>
          <w:rFonts w:ascii="Times New Roman" w:cs="Times New Roman" w:eastAsia="Times New Roman" w:hAnsi="Times New Roman"/>
          <w:sz w:val="18"/>
          <w:szCs w:val="18"/>
          <w:color w:val="auto"/>
        </w:rPr>
        <w:t>- a handheld, surface-to-air, quick-reaction C-UAS launcher derived from the BolaWrap 150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individual operators with a portable non-lethal defense capability against small drones.</w:t>
      </w:r>
    </w:p>
    <w:p>
      <w:pPr>
        <w:ind w:firstLine="8"/>
        <w:spacing w:after="0" w:line="260" w:lineRule="auto"/>
        <w:tabs>
          <w:tab w:leader="none" w:pos="1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1KC Wide Area Kinetic Anti-Drone Cassette </w:t>
      </w:r>
      <w:r>
        <w:rPr>
          <w:rFonts w:ascii="Times New Roman" w:cs="Times New Roman" w:eastAsia="Times New Roman" w:hAnsi="Times New Roman"/>
          <w:sz w:val="18"/>
          <w:szCs w:val="18"/>
          <w:color w:val="auto"/>
        </w:rPr>
        <w:t>- a patent-pending, modular cassette designed for integration with PAN-DA and MERLIN systems to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wide-area coverage and multiple drone engagements per 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U.S. law enforcement market, we have shipped our restraint products to 62 countries. We have distribution agreements with 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distributors covering 43 countries. We focus significant sales, training and business development efforts to support our distribution network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to our internal sales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Leadership Changes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and fourth quarters of 2025, the Company strengthened its leadership team with several key appointments. On July 2, 2025, Dr. Todd Larson, was named Strategic Advisor to lead the development of WrapTactics. On September 24, 2025, Joseph Cameron was appointed Chief Revenue Officer of the Company, and on October 27, 2025, Braden Frame was appointed Chief Commercial Officer of the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21, 2025, the Company and Jerry Ratigan, who served as the Company’s Chief Financial Officer, Principal Accounting Officer and Principal Financial Officer, mutually agreed to the separation of Mr. Ratigan from such roles, effective as of October 24, 2025. The terms of Mr. Ratigan’s separation from the Company have been memorialized pursuant to a General Release and Severance Agreement, dated as of October 21, 2025 (the “Separation Agreement”). Pursuant to the Separation Agreement, Mr. Ratigan is entitled to receive a severance payment in an amount equal to $50,000, representing three months of Mr. Ratigan’s base salary, less all lawful and authorized withholdings and deductions, payable in a lump sum on the Company’s first regular pay date following the Effective Date (as defined in the Separation Agreement). In exchange for the consideration provided to Mr. Ratigan in the Separation Agreement, Mr. Ratigan agreed to waive and release any claims in connection with Mr. Ratigan’s employment and separation from the Company.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Mr. Ratigan’s separation, on October 25, 2025, the board of directors of the Company appointed Scot Cohen, to the position of Principal Financial Officer and Principal Accounting Officer, effective as of October 25, 2025. On October 25, 2025, the Board increased the size of the Board to six</w:t>
      </w:r>
    </w:p>
    <w:p>
      <w:pPr>
        <w:jc w:val="both"/>
        <w:ind w:firstLine="8"/>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and appointed John Shulman to serve as a member of the Company’s Board, to serve until the Company’s next annual meeting of stockholders or until his successor is duly elected and qualified. Mr. Shulman will be entitled to the standard compensation paid by the Company to all its nonemployee directors under the Company’s director compensation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and Product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and fourth quarters of 2025, we announced the following relating to our business and products:</w:t>
      </w:r>
    </w:p>
    <w:p>
      <w:pPr>
        <w:spacing w:after="0" w:line="225" w:lineRule="exact"/>
        <w:rPr>
          <w:sz w:val="20"/>
          <w:szCs w:val="20"/>
          <w:color w:val="auto"/>
        </w:rPr>
      </w:pPr>
    </w:p>
    <w:p>
      <w:pPr>
        <w:jc w:val="both"/>
        <w:ind w:firstLine="8"/>
        <w:spacing w:after="0" w:line="257" w:lineRule="auto"/>
        <w:tabs>
          <w:tab w:leader="none" w:pos="1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launched WrapVision, a North American-made, Trade Agreements Act-compliant, all-in-one body-worn-camera and digital-evidence-management platform for law enforcement, public-safety, and healthcare users. WrapVision integrates secure data storage, LTE connectivity, and compatibility with major video-management systems.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1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initiated our Drone Counter-UAS R&amp;D Program, adapting the BolaWrap 150 for kinetic aerial delivery. The program’s first concept, Wrap MERLIN-1, is a modular drone-mounted payload engineered to entangle and neutralize hostile drones mid-flight, representing our first entry into the defense and allied-operations market.</w:t>
      </w:r>
    </w:p>
    <w:p>
      <w:pPr>
        <w:spacing w:after="0" w:line="1" w:lineRule="exact"/>
        <w:rPr>
          <w:rFonts w:ascii="Times New Roman" w:cs="Times New Roman" w:eastAsia="Times New Roman" w:hAnsi="Times New Roman"/>
          <w:sz w:val="18"/>
          <w:szCs w:val="18"/>
          <w:color w:val="auto"/>
        </w:rPr>
      </w:pPr>
    </w:p>
    <w:p>
      <w:pPr>
        <w:ind w:firstLine="8"/>
        <w:spacing w:after="0" w:line="265" w:lineRule="auto"/>
        <w:tabs>
          <w:tab w:leader="none" w:pos="10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2025, we unveiled Project PAN-DA, a handheld, surface-to-air, quick-reaction C-UAS concept derived from our BolaWrap 150 platform. PAN-DA is intended to provide individual operators with a portable, non-lethal defense tool capable of disabling small unmanned aerial systems at close range.</w:t>
      </w:r>
    </w:p>
    <w:p>
      <w:pPr>
        <w:ind w:right="20" w:firstLine="8"/>
        <w:spacing w:after="0" w:line="250" w:lineRule="auto"/>
        <w:tabs>
          <w:tab w:leader="none" w:pos="1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introduced the 1KC Wide Area Kinetic Anti-Drone Cassette, a patent-pending modular payload designed for defense and homeland-security operators. The 1KC system extends our C-UAS portfolio by enabling multi-drone interdiction capability using tether-and-anchor technology.</w:t>
      </w:r>
    </w:p>
    <w:p>
      <w:pPr>
        <w:jc w:val="both"/>
        <w:ind w:firstLine="8"/>
        <w:spacing w:after="0" w:line="255" w:lineRule="auto"/>
        <w:tabs>
          <w:tab w:leader="none" w:pos="1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in collaboration with Vector, we achieved the first known air-to-air interdiction using our BolaWrap entanglement system. The successful demonstration of the MERLIN-Interdictor payload on Vector’s Hammer drone platform bolstered our C-UAS program and demonstrated the feasibility of non-lethal aerial interdiction in live-flight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w:t>
      </w:r>
    </w:p>
    <w:p>
      <w:pPr>
        <w:spacing w:after="0" w:line="22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On October 2, 2025, we announced a strategic partnership with Carahsoft Technology Corp. (“Carahsoft”). Under the agreement, Carahsoft will serve as Wrap's Master Government Aggregator, making our portfolio of technologies available to the public sector through Carahsoft's reseller partners and National Association of State Procurements Officials (NASPO) ValuePoint and OMNIA Partners contracts.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W1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18, 2025, we entered into an Asset Purchase Agreement, dated as of February 18, 2025, pursuant to which, subject to the terms and conditions set forth therein, we acquired substantially all the assets of W1 Global, LLC, (“W1”) used in, held for use in or relating to the business of advisory and investigative professional services, which were primarily the customer contracts assigned at the closing, for a nominal purchase price.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acquired W1 Global to integrate technology enablement into its core offerings and expand into managed technology services supporting the BolaWrap go-to-market strategy. Following a third-quarter evaluation, the company determined that W1’s investigative services were not essential to Wrap’s domestic or international expansion; however, customers strongly valued managed services related to policy and training. As a result, Wrap will continue focusing on managed services in policy governance and training to advance the next era of non-lethal technology development, delivering an integrated response package that combines technology with the support, policy alignment, and governance needed for adoption at the state and federal levels.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Series B Securities Purchase Agreement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18, 2025, the Company entered into a securities purchase agreement (the “Series B Purchase Agreement”) with certain accredited investors (collectively, the “Series B Purchasers”) for the issuance and sale in a private placement (the “Series B Private Placement”) of an aggregate of (i) 4,500 shares of the Company’s newly-designated Series B Convertible Preferred Stock, with a par value of $0.0001 per share and a stated value of $1,000 per share, initially convertible into up to 3,000,000 shares of Common Stock, at an initial conversion price of $1.50 per share (the “Series B Preferred Stock”), and (ii) accompanying warrants (“Series B Warrants”) to purchase up to 3,000,000 shares of Common Stock, with an initial exercise price of $1.50 per share. The Series B Warrants and the shares of Series B Preferred Stock will be exercisable or convertible, respectively, into shares of Common Stock (“Series B Conversion Shares”) beginning on the effective date of stockholder approval of (i) under Nasdaq Stock Market Rule 5635(d), the issuance of shares of Common Stock in excess of 19.99% of the Company’s issued and outstanding shares of Common Stock at prices below the “Minimum Price” (as defined in Rule 5635 of the Rules of the Nasdaq Stock Market) on the date of the Series B Purchase Agreement pursuant to the terms of the Series B Preferred Stock and the Series B Warrants, and (ii) an increase in the authorized shares of the Company (the “Series B Stockholder Approval”). As of the date of this Quarterly Report on Form 10-Q, the Company has not obtained the Series B Stockholder Approval. However, the Company plans to hold a special meeting of its stockholders on December 12, 2025, to, among other things, obtain the Series B Stockholder Approval. The Series B Warrants will expire five years from the effective date of the Series B Stockholder Approval. On August 20, 2025, the Company filed the Certificate of Designations of Series B Preferred Stock with the Secretary of State of the State of Delaware (the “Series B Certificate of Designations”), thereby creating the Series B Preferred Stock. The Series B Certificate of Designations became effective with the Secretary of State of the State of Delaware upon filing. The terms of the Series B Convertible Preferred Stock are as set forth in the Series B Certificate of Designations.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and Challenges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Company’s products and solutions are gaining global recognition and awareness through various channels such as social media, trade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shows, and media exposure, among others. In part, this recognition and awareness can be attributed to positive feedback from law enforcement agencies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successful deployment of our products. As a result, we believe our brand is becoming increasingly recognized on a global scale as a leader in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escalation and non-lethal solutions.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addition, we are focused on sales, marketing, public and investor relations efforts. We believe there are increasing market opportunities for our products and solutions in the law enforcement and security sectors worldwide. These opportunities are driven by the increasing demand for less-lethal policing.  </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law enforcement sector, our BolaWrap product has been successfully deployed in the field, as reported by many agencies. BolaWrap is now in use by over 900 U.S. law enforcement agencies and in 62 countries. Due to its non-lethal, non-pain-based-compliance capabilities, some agencies do not deem its usage a categorical reportable use of force and rather place it underneath early use of force such as handcuffs. In our strategic roadmap, we clarified that law enforcement agencies deploy BolaWrap when verbal commands breakdown but long before there is justifiable escalation to pepper spray, pepper ball, batons, bean bags, tasers or Conducted Electrical Weapons (CEW’s) or firearms.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agencies voluntarily report usage to Wrap but many do not. In the usage reports we have been provided, officers have reported successful outcomes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85% of the use cases. This percentage is higher than what is often seen with less lethal tools. From the information we have been provided, the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BolaWrap use case is for individuals with or experiencing behavioral health issues, and the second most common BolaWrap use case is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violence calls.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are many reasons why we may not receive reports on all the use of the BolaWrap, including, when uses of BolaWrap are considered evidence in ongoing criminal cases, are controlled by local policy or regulation, or require officer and union permission to be shared with us. However, some agencies have shared bodycam footage of successful field deployments with us, which we may use in our training and education efforts. We believe that as the reports of BolaWrap’s effectiveness in pre-escalation continue to increase, it will contribute to our future revenue growth.  </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anticipate and believe that our portfolio of non-lethal, non-pain-based compliance products and training services has a strong and expanding pipeline of market opportunities in the law enforcement, military, corrections, and homeland security sectors both domestically and internationally. With the increasing demand for more humane and safer policing practices,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t>As part of our efforts to expand our sales and distribution operations, we provide a comprehensive training program for law enforcement officers and trainers in using the BolaWrap. This training equips them with knowledge about the appropriate use and limitations of BolaWrap in tandem with modern policing techniques for de-escalation of encounters. We now focus on also teaching when and why BolaWrap should be used, including the specific area of success, such as after verbal commands break down and before the law enforcement officer is ready to escalate to less lethal pain compliance tools. We believe that law enforcement trainers and officers who have been trained to use our products, or have witnessed demonstrations, are more inclined to support the acquisition and deployment of our products by their respective departments to drive successful outcomes. As of September 30, 2025, over 1,590 agencies have received BolaWrap training with over 5,600 training officers at those agencies certified as BolaWrap instructors and qualified to train the rest of their departments, representing a 4% increase in agencies and a 3% increase in trained officers as compared to September 30, 2024.  </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 of $3.6 million for the three months ended September 30, 2025 decreased by $0.3 million, when compared to $3.9 million for the three months ended September 30, 2024, as a result of the Company’s ongoing cost containment initiatives enacted beginning during the first half of 2024. Operating expense of $11.5 million for the nine months ended September 30, 2025 decreased by $1.5 million, when compared to $13.0 million for the nine months ended September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geopolitical tensions and macroeconomic challenges have affected our quarterly results in the past and may in the future, we believe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uniquely positioned to provide lifesaving technologies and training that enable law enforcement officers worldwide to conduct safe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encounters while reducing the use of force. With an increasing addressable market, the Company offers what we believe is a unique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proposition. Our improved pricing strategy, coupled with reduced operating expenses and our growing sales outlook, is expected to help reduce losses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 cash flow in the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increase the number of product demonstrations and training sessions, particularly in international markets. Our new focus on the when and why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BolaWrap is used has shown improved results. This is a departure from the hardware product only approach of the past. Our sales of the BolaWrap 150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Wrap Reality are expected to continue to rise, aided by our ongoing cost savings and cost control measures, which we expect to lead to an overall reduction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burn.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September 30, 2025, we had backlog of approximately $80 thousand which was expected to be delivered in the fourth quarter of 2025. Additionally, as of September 30, 2025, we had deferred revenue of $400 thousand consisting of $39 thousand related to VR, $289 thousand related to Intrensic, $35 thousand related to BolaWrap extended warranties and services and $37 thousand related to training. Distributor and customer orders for future deliveries are generally subject to modification, rescheduling or in some instances, cancellation, in the normal course of business.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have adequate financial resources to sustain our operations for the next twelve months. We recorded net loss from operations of $2.8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during the three months ended September 30, 2025, compared to a net loss from operations of $3.6 million for the three months ended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2024; primarily driven by a decrease in operating expenses. For the nine months ended September 30, 2025 and September 30, 2024, we recorded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 of $9.5 and $10.9 million, respectively; primarily driven by a decrease in operating expenses. Net cash used in operations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from a net cash used in operating activities of $6.9 million for the nine months ended September 30, 2024, to net cash used in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of $7.6 million for the nine months ended September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that we will continue to innovate new applications for our public safety technology, open new geographies, develop new products and technologies to meet diverse customer requirements and identify and develop new markets for our products.</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Supply chain disruptions could also affect our operations and could negatively impact our ability to source materials, manufacture and distribute products in the future. Moreover, financial markets continue to experience significant volatility, which could potentially affect our ability to enter or modify favorable terms and conditions regarding equity and debt financing activities. Nevertheless, we had $6.0 million in cash and cash equivalents as of September 30, 2025 as compared to $3.6 million as of December 31, 2024. We therefore believe we have sufficient capital to fund our operations for the next twelve months following the date of this Quarterly Report on Form 10-Q. However, we may require additional working capital and liquidity constraints and access to capital markets could still negatively affect our liquidity and may require changes to our plan of operations.  </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Our Company may be positively or negatively impacted by continued social unrest and protests against law enforcement. Such unrest may be further fueled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misleading information or negative publicity about our solutions. We believe our solutions are the answer to reducing use of force and driving safer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for officers and the citizens they interact with each day. Although the intensity of these events may have subsided, some may still indirectly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influence police agency budgets and the funding available to current and potential customers. In addition, participants in these events may attempt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create the impression that our solutions are contributing to the perceived problems, potentially harming our business and operations, including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earnings, and cash flows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Changes in our management and other critical personnel have the potential to positively or negatively affect our business. Such disruptions could have an adverse impact on our operations, programs, growth, financial condition, or results of operations. On the other hand, improvements in our operations, operating expenses, and go-to-market approaches could positively influence the success of our business in the future.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  </w:t>
      </w:r>
    </w:p>
    <w:p>
      <w:pPr>
        <w:spacing w:after="0" w:line="2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  </w:t>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Some of our accounting policies require higher degrees of judgment than others in application. These include share-based compensation and contingencies and areas such as revenue recognition, allowance for doubtful accounts, valuation of inventory and intangible assets, warranty liabilities and impairments.  </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sell our products to customers including law enforcement agencies, domestic distributors and international distributors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such transactions is recognized in the periods that products are shipped (free on board (“</w:t>
      </w:r>
      <w:r>
        <w:rPr>
          <w:rFonts w:ascii="Times New Roman" w:cs="Times New Roman" w:eastAsia="Times New Roman" w:hAnsi="Times New Roman"/>
          <w:sz w:val="18"/>
          <w:szCs w:val="18"/>
          <w:i w:val="1"/>
          <w:iCs w:val="1"/>
          <w:color w:val="auto"/>
        </w:rPr>
        <w:t>FOB</w:t>
      </w:r>
      <w:r>
        <w:rPr>
          <w:rFonts w:ascii="Times New Roman" w:cs="Times New Roman" w:eastAsia="Times New Roman" w:hAnsi="Times New Roman"/>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We follow the fair value recognition provisions issued by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in Accounting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718,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and we adopted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2018-07 for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transactions with non-employees. Share-based compensation expense recognized includes stock option and restricted stock unit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The grant date fair value of stock options is determined using the Black-Scholes option-pricing model. The grant date is the date at which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and employee or non-employee reach a mutual understanding of the key terms and conditions of a share-based payment award. The Black-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option-pricing model requires inputs including the market price of the Company’s Common Stock on the date of grant, the term that the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are expected to be outstanding, the implied stock volatilities of several publicly traded peers over the expected term of stock options, risk-free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and expected dividend. Each of these inputs is subjective and generally requires significant judgment to determine. The grant date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is based upon the market price of the Company’s Common Stock on the date of the grant. We determine the amount of share-based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based on awards that we ultimately expect to vest and account for forfeitures as they occur. The fair value of share-based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is amortized to compensation expense over the vesting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Our products are sold to customers in many different markets and geographic locations. We estimate our bad debt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 on a case-by-case basis and the aging of accounts due to a limited number of customers, mostly government agencies or well-established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distributors. We base these estimates on many factors including customer creditworthiness, past transaction history with the customer, current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trends and changes in customer payment terms. Our judgments and estimates regarding the collectability of accounts receivable have an impact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Valuation of Inventory</w:t>
      </w:r>
      <w:r>
        <w:rPr>
          <w:rFonts w:ascii="Times New Roman" w:cs="Times New Roman" w:eastAsia="Times New Roman" w:hAnsi="Times New Roman"/>
          <w:sz w:val="18"/>
          <w:szCs w:val="18"/>
          <w:color w:val="auto"/>
        </w:rPr>
        <w:t>. Our inventory is comprised of raw materials, assemblies and finished products. We must periodically make judgments and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  </w:t>
      </w:r>
    </w:p>
    <w:p>
      <w:pPr>
        <w:spacing w:after="0" w:line="2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Valuation of Intangible Assets. </w:t>
      </w:r>
      <w:r>
        <w:rPr>
          <w:rFonts w:ascii="Times New Roman" w:cs="Times New Roman" w:eastAsia="Times New Roman" w:hAnsi="Times New Roman"/>
          <w:sz w:val="18"/>
          <w:szCs w:val="18"/>
          <w:color w:val="auto"/>
        </w:rPr>
        <w:t>Intangible assets consisted of (a) capitalized legal fees and filing expense related to obtaining patents and trademarks,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Expense. </w:t>
      </w:r>
      <w:r>
        <w:rPr>
          <w:rFonts w:ascii="Times New Roman" w:cs="Times New Roman" w:eastAsia="Times New Roman" w:hAnsi="Times New Roman"/>
          <w:sz w:val="18"/>
          <w:szCs w:val="18"/>
          <w:color w:val="auto"/>
        </w:rPr>
        <w:t>We establish a warranty reserve based on anticipated warranty claims at the time product revenue is recognized. This reserve requires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make estimates regarding the amount and costs of warranty repairs we expect to make over a period of time. Factors affecting warranty reserve levels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 number of units sold, anticipated cost of warranty repairs, and anticipated rates of warranty claims. We have a very limited history to make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and warranty estimates have an impact on our financial statements. Warranty expense is recorded in cost of revenue. We evaluate the adequacy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reserve each reporting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The Company accounts for warrants as liability-classified instruments based on an assessment of the warrant’s specific terms and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As of September 30, 2025, all warrants are classified as equity-classified instruments.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Business Combination. </w:t>
      </w:r>
      <w:r>
        <w:rPr>
          <w:rFonts w:ascii="Times New Roman" w:cs="Times New Roman" w:eastAsia="Times New Roman" w:hAnsi="Times New Roman"/>
          <w:sz w:val="18"/>
          <w:szCs w:val="18"/>
          <w:color w:val="auto"/>
        </w:rPr>
        <w:t>The Company accounts for its business combinations under the provisions of Accounting Standards Codification (“ASC”)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805-10, Business Combinations (“ASC 805-10”), which requires that the purchase method of accounting be used for all business combinations. Assets acquired and liabilities assumed, including non-controlling interests, are recorded at the date of acquisition at their respective fair values. The estimated fair value of net assets acquired, including the allocation of the fair value to identifiable assets and liabilities, was determined using established valuation techniques. ASC 805-10 also specifies criteria that intangible assets acquired in a business combination must meet to be recognized and reported apart from goodwill. Goodwill represents the excess purchase price over the fair value of the tangible net assets and intangible assets acquired in a business combination. Acquisition-related expenses are recognized separately from the business combinations and are expensed as incurred.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acquired intangible assets was determined using a method which reflects the present value of the operating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generated by this asset after taking into account the cost to realize the revenue, and an appropriate discount rate to reflect the time value and risk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invested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Certain adjustments to the assessed fair values of the assets and liabilities made subsequent to the acquisition date, but within the measurement period, which is up to one year, are recorded as adjustments to goodwill. Any adjustments subsequent to the measurement period are recorded in income.  </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Historically, our assumptions, judgments and estimates relative to our critical accounting policies have not differed materially from actual results. There were no significant changes or modification of our critical accounting policies and estimates involving management valuation adjustments affecting our results for the period ended September 30, 2025. Our accounting policies are more fully described in Note 1. Organization and Summary of Significant Accounting Policies in the notes to our audited consolidated financial statements included in our Annual Report on Form 10-K for the year ended December 31, 2024, as filed with the SEC on March 31, 2025, as amended on April 25, 2025.  </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Segment and Related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operates as a single segment. The Company’s chief operating decision maker is Scot Cohen, the Company’s Executive Chairman and Chief Executive Officer, who manages operations for purposes of allocating resources. Refer to Note 15. Major Customers and Related Information, to our unaudited condensed consolidated financial statements of this Quarterly Report on Form 10-Q for further discussion.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operating expense includes (i) selling, general and administrative expense, (ii) research and development expense, and in the most recent fiscal quarter, and (iii) 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  </w:t>
      </w:r>
    </w:p>
    <w:p>
      <w:pPr>
        <w:spacing w:after="0" w:line="20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expect our operating costs to remain flat or slightly increase depending on the scope of additional sales and marketing initiatives. We may incur additional non-cash share-based compensation costs depending on future options and restricted stock unit grants that are impacted by stock prices and other valuation factors. Historical expenditures are not indicative of future expenditures.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Three Months Ended September 30, 2024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Quarterly Report on Form 10-Q.</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400" w:type="dxa"/>
            <w:vAlign w:val="bottom"/>
          </w:tcPr>
          <w:p>
            <w:pPr>
              <w:spacing w:after="0"/>
              <w:rPr>
                <w:sz w:val="18"/>
                <w:szCs w:val="18"/>
                <w:color w:val="auto"/>
              </w:rPr>
            </w:pPr>
          </w:p>
        </w:tc>
        <w:tc>
          <w:tcPr>
            <w:tcW w:w="13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9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1"/>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(in thousands, except percentage</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Managed services</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enabled services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gross</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reported gross revenue for the three months ended September 30, 2025 of $2.0 million, an increase of 241% compared to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We reported net revenue of $1.5 million for the three months ended September 30, 2025, as compared to $593 thousand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2024, or a 151% increase. The gross revenue and net revenue for the three months ended September 30, 2025 was offset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return and allowances of $0.5 million related to the return of product from a distributor in connection with a change in the Company’s go-to-market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strategy. The increase for the three months ended September 30, 2025, as compared to September 30, 2024, is primarily a result of increases in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combined with added revenue from managed services.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for the three months ended September 30, 2025, was $0.9 million, or a gross margin of 59%. Our gross profit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was $235 thousand, or a gross margin of 40%. The increase in gross profit represented a 276% increase compared to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because of increased volume of the Bola Wrap 150 product sales and the added high-margin revenue from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W1 in February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margins are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6% of product sales and 7% of our overall revenue in the three months ended September 30, 2025, and is expected to continue to grow as a recurring revenue base as more BolaWrap devices are in the field and the usage of BolaWrap increases.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supply chain has experienced notable component shortages, extended lead times, cost fluctuations, and logistical constraints, all of which have affected our product costs. Although we have seen these supply chain obstacles ease in 2025, we acknowledge that future supplier shortages, quality problems, and logistics delays could impact our production schedules and have a material negative impact on our financial condition, results of operation,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(“SG&amp;A”) expense of $3.5 million for the three months ended September 30, 2025, an increase of $0.2 million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$3.3 million for the three months ended September 30, 2024. The increase in SG&amp;A expense was primarily the result of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Share-based compensation costs allocated to SG&amp;A totaled $0.6 million for the three months ended September 30, 2025, compared to $0.9 million for the three months ended September 30, 2024, primarily due to the cancellation or forfeiture of options and grants.  </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Salaries and burden costs of $1.1 million for the three months ended September 30, 2025, were $0.2 million higher than the three months ended September 30, 2024. This increase reflects the addition of high-caliber talent offset by a decrease in share-based compensation, coupled with ongoing cost containment efforts, during the three months ended September 30, 2025, as compared to the three months ended September 30, 2024.  </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Advertising and promotion costs were $80 thousand for the three months ended September 30, 2025, or a decrease of $1 thousand as compared to $81 thousand during the three months ended September 30, 2024. The changes in advertising costs were primarily related to increased promotion and advertising activities, partially offset by decreases in tradeshow and promotional item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totaling $167 thousand decreased by $360 thousand for the three months ended September 30, 2025, when compared to the three months ended September 30, 2024. We incurred a $375 thousand period-over-period decrease in compensation expense as well as a $12 thousand period-over-period decrease in share-based compensation expense allocated to research and development expense because of reduction of personnel. Outside consulting costs decreased by $21 thousand for the three months ended September 30, 2025, when compared to the three months ended September 30, 2024, primarily due to the Company’s cost reduction initiatives.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Loss from operations of $2.8 million during the three months ended September 30, 2025, was an improvement of $0.9 million compared to loss from operations of $3.6 million during the three months ended September 30, 2024, primarily reflecting the increased revenues offset by lower operating costs from the Company’s cost containment efforts.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Nine Months Ended September 30, 2024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Quarterly Report on Form 10-Q.</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400" w:type="dxa"/>
            <w:vAlign w:val="bottom"/>
          </w:tcPr>
          <w:p>
            <w:pPr>
              <w:spacing w:after="0"/>
              <w:rPr>
                <w:sz w:val="18"/>
                <w:szCs w:val="18"/>
                <w:color w:val="auto"/>
              </w:rPr>
            </w:pPr>
          </w:p>
        </w:tc>
        <w:tc>
          <w:tcPr>
            <w:tcW w:w="13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9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1"/>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(in thousands, except percentage</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Managed services</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enabled services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gross</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11,506</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revenue totaled $3.8 million for the nine months ended September 30, 2025, as compared to $3.6 million in the three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Net revenue totaled $3.3 million for the nine months ended September 30, 2025, as compared to $3.6 million for the nine months ended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2024, or a 10% decrease. The gross revenue and net revenue for the nine months ended September 30, 2025 was offset by a sales return and allowances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$0.5 million related to the return of product from a distributor in connection with a change in the Company’s go-to-market strategy. The decrease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2025, as compared to September 30, 2024, is primarily a result of lower product orders offset by the added managed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revenue from the acquisition of the W1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for the nine months ended September 30, 2025, was $2.0 million, or a gross margin of 61%. Our gross profit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was $2.1 million, or a gross margin of 56%. The decrease in gross profit represented a 4% decrease compared to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because of lower volume of the Bola Wrap 150 product sales offset by the added high-margin revenue from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W1 in February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margins are also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9% of our product sales and 6% of overall revenue in the nine months ended September 30, 2025, and is expected to continue to grow as a recurring revenue base as more BolaWrap devices are in the field and the usage of BolaWrap increases due to the need of officers to de-escalate earlier to prevent injuries and use of higher levels of force.</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regularly introduce updates and revisions to our products, which may include changes to raw materials and components, and can impact on our product costs. Given our limited experience with warranty costs, our estimated future warranty expense may affect our gross margins. Our global supply chain has experienced notable component shortages, extended lead times, cost fluctuations, and logistical constraints, all of which have affected our product costs. Although we have seen these supply chain obstacles ease in 2025, we acknowledge that future supplier shortages, quality problems, and logistics delays could impact our production schedules and have a material negative impact on our financial condition, results of operation, and cash flows.  </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 of $10.9 million for the nine months ended September 30, 2025, was reduced by $0.1 million when compared to $11.0 million for the nine months ended September 30, 2024. The decrease in SG&amp;A expense was primarily the result of the Company’s cost containment initiatives enacted beginning during the first half of 2024 which were offset by an increase of $1.0 million in share-based compensation.  </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Share-based compensation costs allocated to SG&amp;A totaled $3.1 million for the nine months ended September 30, 2025, compared to $1.8 million for the nine months ended September 30, 2024, primarily due to options and grants issued to new employees as a result of the acquisition of W1 in February 2025, as well as incentives provided to certain key senior level management in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and burden costs of $3.0 million for the nine months ended September 30, 2025, were $180 thousand lower than the $3.2 million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2024. This reduction reflects the reduction in the Company’s workforce including a reduction of certain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positions.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promotion costs were $205 thousand for the nine months ended September 30, 2025, or a decrease of $63 thousand as compared to $268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 during the nine months ended September 30, 2024. The changes in advertising costs were primarily related to reduced trade show costs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totaling $619 thousand decreased by $1.3 million for the nine months ended September 30, 2025, when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nine months ended September 30, 2024, primarily due to a reduction in personnel. Outside consulting costs decreased by $164 thousand for the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2025, when compared to the nine months ended September 30, 2024, primarily due to the Company’s cost reduction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 totaled $9.5 million during the nine months ended September 30, 2025, which was a decrease of $1.4 million compared to loss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$10.9 million during the nine months ended September 30, 2024, reflecting the reduced revenues offset by lower operating costs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cost containment efforts.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source of liquidity to date has been funding from our stockholders from the sale of equity securities and the exercise of derivative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of options and warrants. We expect our primary source of future liquidity will be from the sale of products, exercise of stock options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and future equity or debt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experienced net losses and negative cash flows from operations since our inception. As of September 30, 2025, we had cash and cash equivalents of $6.0 million and had sustained cumulative losses attributable to stockholders of $112.0 million. Our working capital net of the warrants-short term as of September 30, 2025, was $3.6 million higher compared to December 31, 2024, primarily as a result of the cash received in the Private Placement (as defined herein) offset by operating losses of $9.5 million for the nine months ended September 30, 2025. We believe we have sufficient capital to fund our operations for the next twelve months from the date of this Quarterly Report on Form 10-Q. However, liquidity constraints and access to capital markets could still negatively affect our liquidity and may require changes to our investment strategy.  </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liquidity requirements or future capital needs will depend on, among other things, capital required to introduce new products and the operational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staffing and support requirements, as well as the timing and amount of future revenue and product costs. We anticipate that demands for operating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may grow depending on decisions on staffing, development, production, marketing, training and other functions and based on other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of our control, including the timing of receipt of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8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Decisions regarding staffing, development, production, marketing and other functions;</w:t>
      </w:r>
    </w:p>
    <w:p>
      <w:pPr>
        <w:spacing w:after="0" w:line="27" w:lineRule="exact"/>
        <w:rPr>
          <w:sz w:val="20"/>
          <w:szCs w:val="20"/>
          <w:color w:val="auto"/>
        </w:rPr>
      </w:pPr>
    </w:p>
    <w:p>
      <w:pPr>
        <w:spacing w:after="0"/>
        <w:tabs>
          <w:tab w:leader="none" w:pos="320" w:val="left"/>
          <w:tab w:leader="none" w:pos="640" w:val="left"/>
        </w:tabs>
        <w:rPr>
          <w:sz w:val="20"/>
          <w:szCs w:val="20"/>
          <w:color w:val="auto"/>
        </w:rPr>
      </w:pPr>
      <w:r>
        <w:rPr>
          <w:rFonts w:ascii="Times New Roman" w:cs="Times New Roman" w:eastAsia="Times New Roman" w:hAnsi="Times New Roman"/>
          <w:sz w:val="18"/>
          <w:szCs w:val="18"/>
          <w:color w:val="auto"/>
        </w:rPr>
        <w:t> </w:t>
        <w:tab/>
        <w:t> </w:t>
        <w:tab/>
        <w:t> </w:t>
      </w:r>
    </w:p>
    <w:p>
      <w:pPr>
        <w:spacing w:after="0" w:line="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timing and extent of market acceptance of our products;</w:t>
      </w:r>
    </w:p>
    <w:p>
      <w:pPr>
        <w:spacing w:after="0" w:line="9" w:lineRule="exact"/>
        <w:rPr>
          <w:sz w:val="20"/>
          <w:szCs w:val="20"/>
          <w:color w:val="auto"/>
        </w:rPr>
      </w:pPr>
    </w:p>
    <w:p>
      <w:pPr>
        <w:spacing w:after="0"/>
        <w:tabs>
          <w:tab w:leader="none" w:pos="320" w:val="left"/>
          <w:tab w:leader="none" w:pos="640" w:val="left"/>
        </w:tabs>
        <w:rPr>
          <w:sz w:val="20"/>
          <w:szCs w:val="20"/>
          <w:color w:val="auto"/>
        </w:rPr>
      </w:pPr>
      <w:r>
        <w:rPr>
          <w:rFonts w:ascii="Times New Roman" w:cs="Times New Roman" w:eastAsia="Times New Roman" w:hAnsi="Times New Roman"/>
          <w:sz w:val="18"/>
          <w:szCs w:val="18"/>
          <w:color w:val="auto"/>
        </w:rPr>
        <w:t> </w:t>
        <w:tab/>
        <w:t> </w:t>
        <w:tab/>
        <w:t> </w:t>
      </w:r>
    </w:p>
    <w:p>
      <w:pPr>
        <w:spacing w:after="0" w:line="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timing and outcome of planned production and required customer and regulatory compliance of our products;</w:t>
      </w:r>
    </w:p>
    <w:p>
      <w:pPr>
        <w:spacing w:after="0" w:line="9" w:lineRule="exact"/>
        <w:rPr>
          <w:sz w:val="20"/>
          <w:szCs w:val="20"/>
          <w:color w:val="auto"/>
        </w:rPr>
      </w:pPr>
    </w:p>
    <w:p>
      <w:pPr>
        <w:spacing w:after="0"/>
        <w:tabs>
          <w:tab w:leader="none" w:pos="320" w:val="left"/>
          <w:tab w:leader="none" w:pos="640" w:val="left"/>
        </w:tabs>
        <w:rPr>
          <w:sz w:val="20"/>
          <w:szCs w:val="20"/>
          <w:color w:val="auto"/>
        </w:rPr>
      </w:pPr>
      <w:r>
        <w:rPr>
          <w:rFonts w:ascii="Times New Roman" w:cs="Times New Roman" w:eastAsia="Times New Roman" w:hAnsi="Times New Roman"/>
          <w:sz w:val="18"/>
          <w:szCs w:val="18"/>
          <w:color w:val="auto"/>
        </w:rPr>
        <w:t> </w:t>
        <w:tab/>
        <w:t> </w:t>
        <w:tab/>
        <w:t> </w:t>
      </w:r>
    </w:p>
    <w:p>
      <w:pPr>
        <w:spacing w:after="0" w:line="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of preparing, filing and prosecuting our patent applications and defending any future intellectual property-related claims;</w:t>
      </w:r>
    </w:p>
    <w:p>
      <w:pPr>
        <w:spacing w:after="0" w:line="9" w:lineRule="exact"/>
        <w:rPr>
          <w:sz w:val="20"/>
          <w:szCs w:val="20"/>
          <w:color w:val="auto"/>
        </w:rPr>
      </w:pPr>
    </w:p>
    <w:p>
      <w:pPr>
        <w:spacing w:after="0"/>
        <w:tabs>
          <w:tab w:leader="none" w:pos="320" w:val="left"/>
          <w:tab w:leader="none" w:pos="640" w:val="left"/>
        </w:tabs>
        <w:rPr>
          <w:sz w:val="20"/>
          <w:szCs w:val="20"/>
          <w:color w:val="auto"/>
        </w:rPr>
      </w:pPr>
      <w:r>
        <w:rPr>
          <w:rFonts w:ascii="Times New Roman" w:cs="Times New Roman" w:eastAsia="Times New Roman" w:hAnsi="Times New Roman"/>
          <w:sz w:val="18"/>
          <w:szCs w:val="18"/>
          <w:color w:val="auto"/>
        </w:rPr>
        <w:t> </w:t>
        <w:tab/>
        <w:t> </w:t>
        <w:tab/>
        <w:t> </w:t>
      </w:r>
    </w:p>
    <w:p>
      <w:pPr>
        <w:spacing w:after="0" w:line="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and timing of additional product development;</w:t>
      </w:r>
    </w:p>
    <w:p>
      <w:pPr>
        <w:spacing w:after="0" w:line="9" w:lineRule="exact"/>
        <w:rPr>
          <w:sz w:val="20"/>
          <w:szCs w:val="20"/>
          <w:color w:val="auto"/>
        </w:rPr>
      </w:pPr>
    </w:p>
    <w:p>
      <w:pPr>
        <w:spacing w:after="0"/>
        <w:tabs>
          <w:tab w:leader="none" w:pos="320" w:val="left"/>
          <w:tab w:leader="none" w:pos="640" w:val="left"/>
        </w:tabs>
        <w:rPr>
          <w:sz w:val="20"/>
          <w:szCs w:val="20"/>
          <w:color w:val="auto"/>
        </w:rPr>
      </w:pPr>
      <w:r>
        <w:rPr>
          <w:rFonts w:ascii="Times New Roman" w:cs="Times New Roman" w:eastAsia="Times New Roman" w:hAnsi="Times New Roman"/>
          <w:sz w:val="18"/>
          <w:szCs w:val="18"/>
          <w:color w:val="auto"/>
        </w:rPr>
        <w:t> </w:t>
        <w:tab/>
        <w:t> </w:t>
        <w:tab/>
        <w:t> </w:t>
      </w:r>
    </w:p>
    <w:p>
      <w:pPr>
        <w:spacing w:after="0" w:line="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Costs, timing and outcome of any future warranty claims or litigation against us associated with any of our products;</w:t>
      </w:r>
    </w:p>
    <w:p>
      <w:pPr>
        <w:spacing w:after="0" w:line="9" w:lineRule="exact"/>
        <w:rPr>
          <w:sz w:val="20"/>
          <w:szCs w:val="20"/>
          <w:color w:val="auto"/>
        </w:rPr>
      </w:pPr>
    </w:p>
    <w:p>
      <w:pPr>
        <w:spacing w:after="0"/>
        <w:tabs>
          <w:tab w:leader="none" w:pos="320" w:val="left"/>
          <w:tab w:leader="none" w:pos="640" w:val="left"/>
        </w:tabs>
        <w:rPr>
          <w:sz w:val="20"/>
          <w:szCs w:val="20"/>
          <w:color w:val="auto"/>
        </w:rPr>
      </w:pPr>
      <w:r>
        <w:rPr>
          <w:rFonts w:ascii="Times New Roman" w:cs="Times New Roman" w:eastAsia="Times New Roman" w:hAnsi="Times New Roman"/>
          <w:sz w:val="18"/>
          <w:szCs w:val="18"/>
          <w:color w:val="auto"/>
        </w:rPr>
        <w:t> </w:t>
        <w:tab/>
        <w:t> </w:t>
        <w:tab/>
        <w:t> </w:t>
      </w:r>
    </w:p>
    <w:p>
      <w:pPr>
        <w:spacing w:after="0" w:line="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Ability to collect accounts receivable; and</w:t>
      </w:r>
    </w:p>
    <w:p>
      <w:pPr>
        <w:spacing w:after="0" w:line="9" w:lineRule="exact"/>
        <w:rPr>
          <w:sz w:val="20"/>
          <w:szCs w:val="20"/>
          <w:color w:val="auto"/>
        </w:rPr>
      </w:pPr>
    </w:p>
    <w:p>
      <w:pPr>
        <w:spacing w:after="0"/>
        <w:tabs>
          <w:tab w:leader="none" w:pos="320" w:val="left"/>
          <w:tab w:leader="none" w:pos="640" w:val="left"/>
        </w:tabs>
        <w:rPr>
          <w:sz w:val="20"/>
          <w:szCs w:val="20"/>
          <w:color w:val="auto"/>
        </w:rPr>
      </w:pPr>
      <w:r>
        <w:rPr>
          <w:rFonts w:ascii="Times New Roman" w:cs="Times New Roman" w:eastAsia="Times New Roman" w:hAnsi="Times New Roman"/>
          <w:sz w:val="18"/>
          <w:szCs w:val="18"/>
          <w:color w:val="auto"/>
        </w:rPr>
        <w:t> </w:t>
        <w:tab/>
        <w:t> </w:t>
        <w:tab/>
        <w:t> </w:t>
      </w:r>
    </w:p>
    <w:p>
      <w:pPr>
        <w:spacing w:after="0" w:line="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Timing and costs associated with any new financing.</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15"/>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factors that could affect our ability to obtain cash from external sources including from exercise of outstanding warrants and options include:</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15"/>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Volatility in the capital markets; and</w:t>
      </w:r>
    </w:p>
    <w:p>
      <w:pPr>
        <w:spacing w:after="0" w:line="9" w:lineRule="exact"/>
        <w:rPr>
          <w:sz w:val="20"/>
          <w:szCs w:val="20"/>
          <w:color w:val="auto"/>
        </w:rPr>
      </w:pPr>
    </w:p>
    <w:p>
      <w:pPr>
        <w:spacing w:after="0"/>
        <w:tabs>
          <w:tab w:leader="none" w:pos="320" w:val="left"/>
          <w:tab w:leader="none" w:pos="640" w:val="left"/>
        </w:tabs>
        <w:rPr>
          <w:sz w:val="20"/>
          <w:szCs w:val="20"/>
          <w:color w:val="auto"/>
        </w:rPr>
      </w:pPr>
      <w:r>
        <w:rPr>
          <w:rFonts w:ascii="Times New Roman" w:cs="Times New Roman" w:eastAsia="Times New Roman" w:hAnsi="Times New Roman"/>
          <w:sz w:val="18"/>
          <w:szCs w:val="18"/>
          <w:color w:val="auto"/>
        </w:rPr>
        <w:t> </w:t>
        <w:tab/>
        <w:t> </w:t>
        <w:tab/>
        <w:t> </w:t>
      </w:r>
    </w:p>
    <w:p>
      <w:pPr>
        <w:spacing w:after="0" w:line="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Market price and trading volume of our Common Stock.</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16"/>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2023 Offering</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16"/>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29, 2023, the Company entered into a Series Purchase Agreement (“Series A Purchase Agreement”) with certain accredited investors, including the Company’s Executive Chairman and Chief Executive Officer (collectively, the “Series A Investors”), pursuant to which it agreed to sell to the Series A Investors in a registered direct offering (the “Series A Offering”) (i) an aggregate of 10,000 shares of Series A Preferred Stock, initially convertible into up to 6,896,553 shares of the Company’s Common Stock, at an initial conversion price of $1.45 per share (the "Series A Conversion Price"), and (ii) warrants (the “Series A Warrants”) to acquire up to an aggregate of 6,896,553 shares of Common Stock (the “Series A Warrant Shares”). The Series A Conversion Price of the Series A Preferred Stock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Series A Conversion Price (subject to certain exceptions). The closing of the Series A Offering occurred on July 3, 2023. The aggregate gross proceeds from the Series A Offering were $10 million. The Company expects to use the net proceeds from the Series A Offering for general corporate purposes.</w:t>
      </w:r>
    </w:p>
    <w:p>
      <w:pPr>
        <w:spacing w:after="0" w:line="3" w:lineRule="exact"/>
        <w:rPr>
          <w:rFonts w:ascii="Times New Roman" w:cs="Times New Roman" w:eastAsia="Times New Roman" w:hAnsi="Times New Roman"/>
          <w:sz w:val="18"/>
          <w:szCs w:val="18"/>
          <w:color w:val="auto"/>
        </w:rPr>
      </w:pPr>
    </w:p>
    <w:p>
      <w:pPr>
        <w:spacing w:after="0"/>
        <w:tabs>
          <w:tab w:leader="none" w:pos="0" w:val="left"/>
        </w:tabs>
        <w:numPr>
          <w:ilvl w:val="0"/>
          <w:numId w:val="16"/>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engaged Katalyst Securities LLC (the “Placement Agent”) to act as exclusive placement agent in connection with the Series A Offering. Pursuant to an Engagement Letter with the Placement Agent, we paid to the Placement Agent or its designees (i) a cash fee equal to 8% of the gross proceeds of the Series A Offering and (ii) warrants to purchase an aggregate of 551,725 shares of Common Stock (equal to 8% of the shares of Common Stock underlying the Series A Preferred Stock sold in the Series A Offering) at an exercise price of $1.45 per share.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July 3, 2023, the Company filed the Certificate of Designations of the Series A Convertible Preferred Stock (the “Series A Certificate of Designations”) with the Secretary of State of the State of Delaware, designating 10,000 shares of its Preferred Stock as Series A Convertible Preferred Stock. The Series A Preferred Stock is convertible into shares of Common Stock (the “Series A Conversion Shares”) at the election of the holder at any time at an initial conversion price of $1.45. The Series A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Series A Conversion Price (subject to certain exceptions).  </w:t>
      </w:r>
    </w:p>
    <w:p>
      <w:pPr>
        <w:spacing w:after="0" w:line="2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dividends of 8% per annum, compounded monthly, which are payable in cash or shares of Common Stock, or a combination thereof, at the Company’s option in accordance with the terms of the Series A Certificate of Designations. Upon the occurrence and during the continuance of a Triggering Event (as defined in the Series A Certificate of Designations), the Series A Preferred Stock will accrue dividends at the rate of 20% per annum. If the Company elects to pay any dividends in shares of Common Stock, the Series A Conversion Price used to calculate the number of shares issuable will equal to the lower of (i) the then applicable Series A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requisite stockholder approval (subject to adjustment for stock splits, stock dividends, stock combinations, recapitalizations or other similar events) or, in any case, such lower amount as permitted, from time to time, by the Nasdaq Stock Market.  </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19, 2024, the Company entered into an Amendment Agreement (the “August 2024 Amendment”) with the Required Holders (as defined in the Series A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w:t>
      </w:r>
    </w:p>
    <w:p>
      <w:pPr>
        <w:spacing w:after="0" w:line="1" w:lineRule="exact"/>
        <w:rPr>
          <w:sz w:val="20"/>
          <w:szCs w:val="20"/>
          <w:color w:val="auto"/>
        </w:rPr>
      </w:pPr>
    </w:p>
    <w:p>
      <w:pPr>
        <w:jc w:val="both"/>
        <w:ind w:firstLine="8"/>
        <w:spacing w:after="0" w:line="250" w:lineRule="auto"/>
        <w:tabs>
          <w:tab w:leader="none" w:pos="2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at a price per share of Common Stock equal to the lower of (x) $1.00 and (y) the Dividend Conversion Price (as defined in the Series A Certificate of Designations), using July 1, 2024, as the applicable date of determination in accordance with the Series A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Series A Certificate of Designations), with respect thereto, if applicable, shall be delivered on October 1, 2024. The Company and the Required Holders further agreed pursuant to the August 2024 Amendment to amend (i) the Series A Certificate of Designations, as described below, by filing a Certificate of Amendment to the Series A Certificate of Designations (the “August 2024 Certificate of Amendment”) and (ii) the Series A Purchase Agreement to amend the definition of “Excluded Securities.” The August 2024 Certificate of Amendment amends the Series A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Series A Certificate of Designations.</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2024, the Company entered into an Amendment Agreement with the Required Holders (as defined in the Series A Certificate of Designations), pursuant to which, the Required Holders agreed to amend the Series A Certificate of Designations of the Company’s Series A Preferred Stock, as described below, by filing a Certificate of Amendment to the Series A Certificate of Designations (the “October 2024 Certificate of Amendment”). The October 2024 Certificate of Amendment amends the Series A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$1.414 per share, which was the Minimum Price (as defined in Rule 5635 of the Rule of the Nasdaq Stock Market) applicable immediately before the execution and delivery of the Series A Purchase Agreement, subject to certain beneficial ownership limitations as set forth in the Series A Certificate of Designations. The October 2024 Certificate of Amendment further provides that (i) certain holders of the Series A Preferred Stock will not be subject to certain beneficial ownership limitations as described in the Series A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 The holders of the Series A Preferred Stock have no voting rights, other than with respect to certain matters affecting the rights of the Series A Preferred Stock.</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25, 2024, the Company entered into an Amendment and Agreement with the Series A Investors (the “November 2024 Amendment Agreement”), pursuant to which, (i) the Series A Investors agreed to amend the Series A Certificate of Designations, as described below, by filing a Certificate of Amendment to the Series A Certificate of Designations with the Secretary of State (the “November 2024 Certificate of Amendment”), and</w:t>
      </w:r>
    </w:p>
    <w:p>
      <w:pPr>
        <w:spacing w:after="0" w:line="1" w:lineRule="exact"/>
        <w:rPr>
          <w:sz w:val="20"/>
          <w:szCs w:val="20"/>
          <w:color w:val="auto"/>
        </w:rPr>
      </w:pPr>
    </w:p>
    <w:p>
      <w:pPr>
        <w:jc w:val="both"/>
        <w:ind w:firstLine="8"/>
        <w:spacing w:after="0" w:line="250" w:lineRule="auto"/>
        <w:tabs>
          <w:tab w:leader="none" w:pos="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Investors and the Company agreed that all payment amounts that have accrued and are unpaid as of November 25, 2024, pursuant to the Series A Certificate of Designations and the August 2024 Amendment will be satisfied by delivery of shares of Common Stock on or prior to November 25, 2024, with each Series A Investor entitled to receive the number of shares of Common Stock specified below such Series A Investor’s name on its respective signature page thereto. The November 2024 Certificate of Amendment amends the Series A Certificate of Designations to provide that upon the occurrence of a Triggering Event (as defined in the Series A Certificate of Designations), the Series A Preferred Stock will accrue dividends compounded monthly at the rate of 20% per annum. The Certificate of Amendment became effective with the Secretary of State on December 6, 2024.</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Series A Certificate of Designations are satisfied.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beginning 18 months from the date of the issuance, provided that the Company has filed all reports required to be filed by it pursuant to the Exchange Act on a timely basis for a continuous period of one year and provided further that certain equity conditions described in the Series A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Amendment amends the Series A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Series A Certificate of Designations.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established public trading market for the Series A Preferred Stock and we do not intend to list the Series A Preferred Stock on any national securities exchange or nationally recognized trading system.</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the Series A Warrants to purchase up to an aggregate of 6,896,553 shares of Common Stock. Each Series A Warrant has an exercise price of $1.45 per share,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  </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2025, the Company entered into a warrant amendment (the “Series A Warrant Amendment”) with the Required Holders (as defined in the Series A Purchase Agreement), pursuant to which, the Required Holders agreed to amend the terms of the Series A Warrants to make certain adjustments to the definition of “Black Scholes Value” in each of the Series A Warrants, as described in the Series A Warrant Amendment, such that the underlying price per share as used in such calculation equals the sum of the price per share being offered in cash in the applicable Fundamental Transaction (as defined in the Series A Warrants), if any, plus the value of the non-cash consideration being offered in the applicable Fundamental Transaction, if any. As consideration for entering into the Series A Warrant Amendment, the Company and the Required Holders agreed to amend the term of the Series A Warrants to be six and one-half years from the date of issuance.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Nasdaq Stockholder Approval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ability to issue Conversion Shares and Series A Warrant Shares using shares of Common Stock is subject to certain limitations set forth in the Series A Certificate of Designations. Prior to receiving the Nasdaq Stockholder Approval, such limitations included a limit on the number of shares that may be issued until the time, if any, that the Company’s stockholders have approved the issuance of more than 19.99% of the Company’s outstanding shares of Common Stock in accordance with the rules of the Nasdaq Stock Market (the “Nasdaq Stockholder Approval”). Such Nasdaq Stockholder Approval was received at a special meeting of stockholders held on September 19, 2023.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2025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24, 2025, the Company entered into a securities purchase agreement (the “PIPE Purchase Agreement”) with certain accredited investors (collectively, the “PIPE Purchasers”) for the issuance and sale in a private placement (the “Private Placement”) of an aggregate of 3,216,666 shares (the “Common Shares”) of Common Stock and accompanying warrants (“PIPE Warrants”) to purchase up to 3,216,666 shares of Common Stock, with an exercise price of $1.80 per share. The purchase price for one Common Share and accompanying PIPE Warrant was $1.80. The gross proceeds to the Company were $5,790 before estimated offering expenses payable by the Company.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2025, the Company entered into a warrant amendment (the “2025 Warrant Amendment”) with certain of the PIPE Purchasers, pursuant to which, such PIPE Purchasers agreed to amend the terms of their respective PIPE Warrants to make certain adjustments to the definition of “Black Scholes Value,” as described in the 2025 Warrant Amendment, such that the underlying price per share as used in such calculation equals the sum of the price per share being offered in cash in the applicable Fundamental Transaction (as defined in the PIPE Warrants), if any, plus the value of the non-cash consideration being offered in the applicable Fundamental Transaction, if any. As consideration for entering into the 2025 Warrant Amendment, the Company and the applicable PIPE Purchasers agreed to amend the term of their respective PIPE Warrants to be five and one-half years from the date of issuance.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2025 Offering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18, 2025, the Company entered into the Series B Purchase Agreement with the Series B Purchasers for the issuance and sale in a private placement of an aggregate of (i) 4,500 shares of the Company’s Series B Preferred Stock initially convertible into up to 3,000,000 shares of Common Stock, at an initial conversion price of $1.50 per share, and (ii) accompanying Series B Warrants to purchase up to 3,000,000 shares of Common Stock, with an initial exercise price of $1.50 per share. The Series B Warrants and the shares of Series B Preferred Stock will be exercisable or convertible, respectively, into shares of Common Stock beginning on the effective date of stockholder approval of (i) under Nasdaq Stock Market Rule 5635(d), the issuance of shares of Common Stock in excess of 19.99% of the Company’s issued and outstanding shares of Common Stock at prices below the “Minimum Price” (as defined in Rule 5635 of the Rules of the Nasdaq Stock Market) on the date of the Series B Purchase Agreement pursuant to the terms of the Series B Preferred Stock and the Series B Warrants, and (ii) an increase in the authorized shares of the Company. As of the date of this Quarterly Report on Form 10-Q, the Company has not obtained the Series B Stockholder Approval. However, the Company plans to hold a special meeting of its stockholders on December 12, 2025, to, among other things, obtain the Series B Stockholder Approval. The Series B Warrants will expire five years from the effective date of the Series B Stockholder Approval.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20, 2025, the Company filed the Series B Certificate of Designations, thereby creating the Series B Preferred Stock. The Series B Certificate of Designations became effective with the Secretary of State of the State of Delaware upon filing. The terms of the Series B Convertible Preferred Stock are as set forth in the Series B Certificate of Designations. The Series B Preferred Stock are convertible into the Series B Conversion Shares at the election of the holders of the Series B Preferred Stock at any time at an initial conversion price of $1.50 per share. The conversion price is subject to customary adjustments for stock dividends, stock splits, reclassifications, stock combinations and the like (subject to certain exceptions).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Series B Preferred Stock shall be entitled to receive dividends when and as declared by the Board, from time to time, in its sole discretion, which dividends will be paid by the Company out of funds legally available therefor, payable, subject to the conditions and other terms of the Series B Certificate of Designations, in cash, in securities of the Company or using assets as determined by the Board on the stated value of such Series B Preferred Stock.</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the Series B Certificate of Designations or as otherwise required by law, the Series B Preferred Stock has no voting rights. However, as long as any shares of Series B Preferred Stock are outstanding, the Company shall not, without the affirmative vote of the holders of Series B Preferred Stock of a majority of the then outstanding shares of the Series B Preferred Stock, (a) alter or change adversely the powers, preferences or rights given to the of the Series B Preferred Stock or alter or amend the Series B Certificate of Designations, (b) amend its certificate of incorporation or other charter documents in any manner that adversely affects any rights of the holders of Series B Preferred Stock, (c) increase the number of authorized shares of the Series B Preferred Stock, or (d) enter into any agreement with respect to any of the foregoing.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Series B Preferred Stock and the Company does not intend to list the Series B Preferred Stock on any national securities exchange or nationally recognized trading system.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the Series B Warrants may not exercise any portion of such holder’s Series B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Series B Warrants and the Company does not intend to list the Series B Warrants on any national securities exchange or nationally recognized trading system.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Warrants will expire five years from the effective date of the Series B Stockholder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Series B Private Placement, the Company entered into a registration rights agreement, dated as of August 18, 2025, with the Series B Purchasers (the “Series B Registration Rights Agreement”), pursuant to which the Company agreed to prepare and file a registration statement with the SEC registering the resale of the Series B Conversion Shares no later than 60 days following the date of the Registration Rights Agreement, and to use best efforts to have the registration statement declared effective as promptly as practical thereafter, and in any event no later than 90 days following the date of the Registration Rights Agreement (or 120 days following the date of the Registration Rights Agreement in the event of a “full review” by the SEC). On October 17, 2025, the Company filed a resale registration statement on Form S-3 (File No. 333-290946)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entered into any off-balance sheet financial guarantees or other off-balance sheet commitments to guarantee the payment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third parties. The Company has not entered into any derivative contracts that are indexed to the Company’s shares and classified as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or that are not reflected in the Company’s financial statements included in this Quarterly Report on Form 10-Q. Furthermore, the Company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any retained or contingent interest in assets transferred to an unconsolidated entity that serves as credit, liquidity or market risk support to such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variable interest in any unconsolidated entity that provides financing, liquidity, market risk or credit support to us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engages in leasing, hedging or product development services with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net cash used in operating activities was $7.6 million. The net loss of $6.4 million was decreased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income of $3.2 million related to the change in fair value of warrants and increased by non-cash expense of $2.9 million consisting primarily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of $3.1 million and depreciation and amortization of $0.5 million. Other major component changes using operating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a increase in accounts receivable of $1.3 million, a decrease in accrued liabilities of $0.9 million and offset by a decrease in inventories of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operating activities was $6.9 million. The net income of $1.7 million was decreased by non-cash income of $12.5 million related to the change in fair value of warrants and increased by non-cash expense of $2.4 million consisting primarily of share-based compensation expense of $1.8 million and depreciation and amortization of $646 thousand. Other major component changes using operating cash included an increase of $529 thousand in inventories and a decrease in both accounts receivable of $2.3 million and customer deposits of $1.0 million.  </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investing activities was $249 thousands of cash for capital expenditures and investment in patents.</w:t>
      </w:r>
    </w:p>
    <w:p>
      <w:pPr>
        <w:spacing w:after="0" w:line="18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During the nine months ended September 30, 2024, we had net proceeds from maturities of short-term investments of $7.5 million. During the nine months ended September 30, 2024, we used $13 thousand cash for the purchase of property and equipment and invested $124 thousand in patents and equipment.  </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net cash provided by financing activities was $10.2 million as a result of proceeds from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financing activities was $588 thousand because of proceeds from the exercise of previously issued stock options of $588 thousand offset $120 thousand in cash dividends paid on the Company’s Series A Preferred Stock.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2023, we committed to a lease of office space in Coconut Grove, Florida in a multi-year term concluding in 2031 which includes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remaining totaling $3.5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September 30, 2025, we were committed to approximately $391 thousand for future component deliveries and contract services that are generally subject to modification or rescheduling in the normal course of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committed to a lease of manufacturing and office space in Southwest Virginia in a multi-year term commencing October 2025 and concluding in 2031,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includes aggregate lease payments remaining totaling $600 thousand. The Company was granted early occupancy of the facility for use beginning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and for the year ended December 31, 2024, we experienced increased costs in labor and materials due to inflation. We believe throughout 2025 that low unemployment and higher salaries will create higher payroll costs and increased operating expenses in the business. We have seen increases in costs from multiple suppliers for materials as well as labor.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Executive Chairman and Chief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the effectiveness of our disclosure controls and procedures (as defined in Exchange Act Rules 13a-15(e) and 15d-15(e) under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period covered by this report. Based upon that evaluation, our Executive Chairman and Chief Executive Officer concluded that, as of the end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covered in this Quarterly Report on Form 10-Q, our disclosure controls and procedures were effective to ensure that information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in reports filed by us under the Exchange Act is recorded, processed, summarized and reported within the required time periods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and communicated to our management, including our Executive Chairman and Chief Executive Officer, as appropriate to allow timely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decisions regarding required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fiscal quarter ended September 30, 2025,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Note 13 Commitments and Contingencies of the Notes to Consolidated Financial Statements of this Quarterly Report on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 is incorporated by reference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description of risk factors includes any material changes to, and supersedes the description of, risk factors associated with our business, financial condition and results of operations previously disclosed in “Item 1A. Risk Factors” of our Annual Report on Form 10-K for the year ended December 31, 2024 on Form 10-K, as filed with the SEC on March 31, 2025, as amended on April 25, 2025. Our business, financial condition and operating results can be affected by a number of factors, whether currently known or unknown, including but not limited to those described below,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of risk factors contains forward-looking statements. These risk factors may be important to understanding other statements in this Form 10-Q. The following information should be read in conjunction with the unaudited condensed consolidated financial statements and related notes in Part I, Item 1, “Financial Statements” and Part I, Item 2, “Management’s Discussion and Analysis of Financial Condition and Results of Operations” of this Form 10-Q.</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recent expansion into drone and counter-UAS technologies may not be successful, and we may fail to achieve commercial adoption or generate meaningful revenue from these initiatives.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recently expanded beyond our core BolaWrap® products into new areas such as drone payload systems, drone-first-responder technologies, and counter-unmanned aerial systems (“C-UAS”). These initiatives are in early stages, and their success depends on our ability to complete development, meet regulatory and technical standards, and achieve customer adoption. The markets for drone and C-UAS solutions are emerging, highly competitive, and subject to rapid technological change, and we face established and well-funded competitors. If our new products fail to perform as expected, experience development delays, or do not achieve meaningful market traction, our anticipated growth, brand reputation, and financial results could be materially adversely affected. There can be no assurance that our investments in these technologies will generate the expected returns or lead to sustainable revenue growth.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strategy depends heavily on government and law-enforcement customers, who are subject to lengthy procurement cycles, budget constraints, and shifting priorities.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much of the demand for our new drone and C-UAS solutions will come from U.S. and international government, defense, and law-enforcement agencies. These customers face complex approval processes, long evaluation periods, and budget limitations that can delay or reduce procurement decisions. Political and policy changes, including shifts in funding for public safety or defense, may reduce demand or delay adoption of new technologies like ours. Furthermore, changes in public perception regarding the use of drones or non-lethal force tools could impact purchasing decisions or restrict deployment. As a result, even strong interest from these customers may not translate into timely or predictable revenue, and any sustained reduction in public-sector demand could materially affect our results of operations.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drone and aerial-interdiction systems are subject to evolving regulatory, legal and liability risks that could restrict our operations or expose us to claims.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drone-based and counter-UAS technologies may be regulated by multiple federal and international authorities, including the Federal Aviation Administration (“FAA”) and U.S. export-control agencies. As these regulatory frameworks evolve, new restrictions, certification requirements, or licensing limitations could arise that delay product approvals, increase compliance costs or limit deployment opportunities. Because these systems are designed for public-safety and defense use, any operational incident, misuse, or unintended injury could lead to product-liability claims, investigations, or negative publicity. Any regulatory action, litigation, or reputational harm related to these risks could materially and adversely affect our business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manufacturing and supply-chain challenges as we expand production of new technologies.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support our entry into drone-related markets, we are increasing production capacity, including at our new Virginia facility. Scaling manufacturing for new and technically complex products requires reliable suppliers, quality control systems, and efficient production processes. We may face challenges securing critical components, many of which come from limited sources or may be subject to long lead times. Disruptions in the supply chain, cost increases, or quality issues could delay deliveries, increase expenses, and impact customer satisfaction. If we are unable to scale production effectively or control manufacturing costs, our margins, liquidity, and ability to meet demand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Series B Certificate of Designations provides for the payment of cumulative dividends in shares of our Common Stock which will require us to have shares of Common Stock available to pay the dividends.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the Series B Preferred Stock is entitled to receive dividends as and when declared by the Board, from time to time, in its sole discretion, which dividends shall be paid by the Company out of funds legally available therefor, payable, subject to the conditions and other terms hereof, in cash, in securities of the Company, or using assets as determined by the Board on the stated value of such preferred share in accordance with the terms of the Series B Certificate of Designations. As such, we may rely on having available shares of common stock to pay such dividends, which will result in dilution to our stockholders. If we do not have such available shares, we may not be able to satisfy our obligations as related to these dividends pursuant to the terms of the Series B Certificate of Designations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Series B Warrants contain certain anti-dilution provisions, which may dilute the interests of our stockholders, depress the price of our Common Stock, and make it difficult for us to raise additional capital.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events may reduce the exercise price of the Series B Warrants, which in turn may lead to further dilution to the holders of our Common Stock. In addition, the perceived risk of dilution may cause our stockholders to be more inclined to sell their Common Stock, which may in turn depress the price of shares of our Common Stock regardless of our business performance. We may also find it more difficult to raise additional equity capital while any of the shares of Series B Preferred Stock and the Series B Warrants remain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 the Series B Purchase Agreement, we are subject to certain covenants that may make it difficult to procure additional financing.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B Purchase Agreement contains customary representations, warranties and agreements by the Company, customary conditions to closing, indemnification obligations of the Company and the Series B Purchasers, including for liabilities under the Securities Act and other obligations of the parties and termination provisions.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Among other covenants, the Series B Purchase Agreement requires the Company to hold a meeting of its stockholders at the earliest practical date for the purpose of obtaining such Series B Stockholder Approval. If the Company does not obtain the Series B Stockholder Approval at the first meeting, the Company is required to call a meeting every 60 days thereafter to seek such Series B Stockholder Approval until the earlier of the date Series B Stockholder Approval is obtained or the shares of Series B Preferred Stock are no longer outstanding, which may be time consuming and costly.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needed to in the future, we may be unable to effect additional financing transactions on terms acceptable to us, or at all, while also remaining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 terms of the Series B Purchase Agreement, or we may be forced to seek a waiver from the investor party to the Series B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which such investor is not obligated to grant to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were no unregistered sales of the Company’s equity securities during the nine months ended September 30, 2025, other than those previously reported in a Current Report on Form 8-K.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default in the payment of principal, interest, sinking or purchase fund installment, or any other material default,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None of the Company's officers or directors adopted, modified or terminated a Rule 10b5-1 trading arrangement or a non-Rule 10b5-1 trading arrangement during the Company's fiscal quarter ended September 30, 2025, as such terms are defined under Item 408(a) of Regulation S-K.</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3460" w:type="dxa"/>
            <w:vAlign w:val="bottom"/>
          </w:tcPr>
          <w:p>
            <w:pPr>
              <w:spacing w:after="0"/>
              <w:rPr>
                <w:sz w:val="17"/>
                <w:szCs w:val="17"/>
                <w:color w:val="auto"/>
              </w:rPr>
            </w:pPr>
          </w:p>
        </w:tc>
        <w:tc>
          <w:tcPr>
            <w:tcW w:w="6660" w:type="dxa"/>
            <w:vAlign w:val="bottom"/>
          </w:tcPr>
          <w:p>
            <w:pPr>
              <w:spacing w:after="0"/>
              <w:rPr>
                <w:sz w:val="17"/>
                <w:szCs w:val="17"/>
                <w:color w:val="auto"/>
              </w:rPr>
            </w:pPr>
          </w:p>
        </w:tc>
      </w:tr>
      <w:tr>
        <w:trPr>
          <w:trHeight w:val="241"/>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320" w:type="dxa"/>
            <w:vAlign w:val="bottom"/>
            <w:tcBorders>
              <w:top w:val="single" w:sz="8" w:color="auto"/>
            </w:tcBorders>
            <w:gridSpan w:val="2"/>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Second Amendment to the Amended and Restated Bylaws of Wrap Technologies, Inc. (incorporated by reference to Exhibit 3.1 to the</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Current Report on Form 8-K, filed with the SEC on November 5, 2025).</w:t>
            </w: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Certificate of Designations of Series B Convertible Preferred Stock of Wrap Technologies, Inc. (incorporated by reference to Exhibit 3.1 to</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with the SEC on August 26, 2025).</w:t>
            </w: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Form of Warrant (incorporated by reference to Exhibit 4.1 to the Company's Current Report on Form 8-K, filed with the SEC on August 18,</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660" w:type="dxa"/>
            <w:vAlign w:val="bottom"/>
          </w:tcPr>
          <w:p>
            <w:pPr>
              <w:spacing w:after="0"/>
              <w:rPr>
                <w:sz w:val="18"/>
                <w:szCs w:val="18"/>
                <w:color w:val="auto"/>
              </w:rPr>
            </w:pPr>
          </w:p>
        </w:tc>
      </w:tr>
      <w:tr>
        <w:trPr>
          <w:trHeight w:val="194"/>
        </w:trPr>
        <w:tc>
          <w:tcPr>
            <w:tcW w:w="3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8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Securities Purchase Agreement, dated August 18, 2025, by and among the Company and the investors signatory thereto (incorporated by</w:t>
            </w:r>
          </w:p>
        </w:tc>
      </w:tr>
      <w:tr>
        <w:trPr>
          <w:trHeight w:val="21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with the SEC on August 18, 2025).</w:t>
            </w:r>
          </w:p>
        </w:tc>
      </w:tr>
      <w:tr>
        <w:trPr>
          <w:trHeight w:val="194"/>
        </w:trPr>
        <w:tc>
          <w:tcPr>
            <w:tcW w:w="3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8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Registration Rights Agreement, dated August 18, 2025, by and among the Company and the investors signatory thereto (incorporated by</w:t>
            </w:r>
          </w:p>
        </w:tc>
      </w:tr>
      <w:tr>
        <w:trPr>
          <w:trHeight w:val="21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10.2 to the Company's Current Report on Form 8-K, filed with the SEC on August 18, 2025).</w:t>
            </w:r>
          </w:p>
        </w:tc>
      </w:tr>
      <w:tr>
        <w:trPr>
          <w:trHeight w:val="194"/>
        </w:trPr>
        <w:tc>
          <w:tcPr>
            <w:tcW w:w="3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8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General Release and Severance Agreement, dated October 21, 2025 (incorporated by reference to Exhibit 10.1 to the Company's Current</w:t>
            </w:r>
          </w:p>
        </w:tc>
      </w:tr>
      <w:tr>
        <w:trPr>
          <w:trHeight w:val="21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on Form 8-K, filed with the SEC on October 27, 2025).</w:t>
            </w:r>
          </w:p>
        </w:tc>
      </w:tr>
      <w:tr>
        <w:trPr>
          <w:trHeight w:val="194"/>
        </w:trPr>
        <w:tc>
          <w:tcPr>
            <w:tcW w:w="3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8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Form of 2025 Warrant Amendment, dated as of June 30, 2025, by and among Wrap Technologies, Inc. and the investors signatory thereto</w:t>
            </w:r>
          </w:p>
        </w:tc>
      </w:tr>
      <w:tr>
        <w:trPr>
          <w:trHeight w:val="218"/>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Current Report on Form 8-K, filed with the SEC on July 7, 2025).</w:t>
            </w:r>
          </w:p>
        </w:tc>
      </w:tr>
      <w:tr>
        <w:trPr>
          <w:trHeight w:val="194"/>
        </w:trPr>
        <w:tc>
          <w:tcPr>
            <w:tcW w:w="9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tc>
        <w:tc>
          <w:tcPr>
            <w:tcW w:w="220" w:type="dxa"/>
            <w:vAlign w:val="bottom"/>
          </w:tcPr>
          <w:p>
            <w:pPr>
              <w:spacing w:after="0"/>
              <w:rPr>
                <w:sz w:val="16"/>
                <w:szCs w:val="16"/>
                <w:color w:val="auto"/>
              </w:rPr>
            </w:pPr>
          </w:p>
        </w:tc>
        <w:tc>
          <w:tcPr>
            <w:tcW w:w="10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Rule 13a-14(a)/15d-14(a) Certification - Principal Executive Officer</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00"/>
              </w:rPr>
              <w:t>*</w:t>
            </w:r>
          </w:p>
        </w:tc>
        <w:tc>
          <w:tcPr>
            <w:tcW w:w="220" w:type="dxa"/>
            <w:vAlign w:val="bottom"/>
          </w:tcPr>
          <w:p>
            <w:pPr>
              <w:spacing w:after="0"/>
              <w:rPr>
                <w:sz w:val="17"/>
                <w:szCs w:val="17"/>
                <w:color w:val="auto"/>
              </w:rPr>
            </w:pPr>
          </w:p>
        </w:tc>
        <w:tc>
          <w:tcPr>
            <w:tcW w:w="10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Rule 13a-14(a)/15d-14(a) Certification - Principal Financial Officer.</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tc>
        <w:tc>
          <w:tcPr>
            <w:tcW w:w="220" w:type="dxa"/>
            <w:vAlign w:val="bottom"/>
          </w:tcPr>
          <w:p>
            <w:pPr>
              <w:spacing w:after="0"/>
              <w:rPr>
                <w:sz w:val="17"/>
                <w:szCs w:val="17"/>
                <w:color w:val="auto"/>
              </w:rPr>
            </w:pPr>
          </w:p>
        </w:tc>
        <w:tc>
          <w:tcPr>
            <w:tcW w:w="10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Section 1350 Certification - Principal Executive Officer</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00"/>
              </w:rPr>
              <w:t>**</w:t>
            </w:r>
          </w:p>
        </w:tc>
        <w:tc>
          <w:tcPr>
            <w:tcW w:w="220" w:type="dxa"/>
            <w:vAlign w:val="bottom"/>
          </w:tcPr>
          <w:p>
            <w:pPr>
              <w:spacing w:after="0"/>
              <w:rPr>
                <w:sz w:val="17"/>
                <w:szCs w:val="17"/>
                <w:color w:val="auto"/>
              </w:rPr>
            </w:pPr>
          </w:p>
        </w:tc>
        <w:tc>
          <w:tcPr>
            <w:tcW w:w="10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Section 1350 Certification - Principal Financial Officer</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96"/>
        </w:trPr>
        <w:tc>
          <w:tcPr>
            <w:tcW w:w="1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Extensible Business Reporting Language (XBRL) Exhibits*</w:t>
            </w:r>
          </w:p>
        </w:tc>
      </w:tr>
      <w:tr>
        <w:trPr>
          <w:trHeight w:val="218"/>
        </w:trPr>
        <w:tc>
          <w:tcPr>
            <w:tcW w:w="11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3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660" w:type="dxa"/>
            <w:vAlign w:val="bottom"/>
          </w:tcPr>
          <w:p>
            <w:pPr>
              <w:spacing w:after="0"/>
              <w:rPr>
                <w:sz w:val="18"/>
                <w:szCs w:val="18"/>
                <w:color w:val="auto"/>
              </w:rPr>
            </w:pPr>
          </w:p>
        </w:tc>
      </w:tr>
      <w:tr>
        <w:trPr>
          <w:trHeight w:val="216"/>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120" w:hanging="1112"/>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 in Exhibit 101)</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89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concurrently herewith ** Furnished herewith.</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tbl>
      <w:tblPr>
        <w:tblLayout w:type="fixed"/>
        <w:tblInd w:w="0" w:type="dxa"/>
        <w:tblCellMar>
          <w:top w:w="0" w:type="dxa"/>
          <w:left w:w="0" w:type="dxa"/>
          <w:bottom w:w="0" w:type="dxa"/>
          <w:right w:w="0" w:type="dxa"/>
        </w:tblCellMar>
      </w:tblPr>
      <w:tr>
        <w:trPr>
          <w:trHeight w:val="198"/>
        </w:trPr>
        <w:tc>
          <w:tcPr>
            <w:tcW w:w="35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Wrap Technologies, Inc.</w:t>
            </w: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2025</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 Cohen</w:t>
            </w: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ind w:left="21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Scot Cohen</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w:t>
            </w:r>
          </w:p>
        </w:tc>
      </w:tr>
    </w:tbl>
    <w:p>
      <w:pPr>
        <w:ind w:left="59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 Cohen,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Wrap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15d-15(e)) and internal control over financial reporting (as defined in Exchange Act Rules 13a-15(f) and 15d-15(f)) for the registrant and have:</w:t>
      </w:r>
    </w:p>
    <w:p>
      <w:pPr>
        <w:spacing w:after="0" w:line="207" w:lineRule="exact"/>
        <w:rPr>
          <w:sz w:val="20"/>
          <w:szCs w:val="20"/>
          <w:color w:val="auto"/>
        </w:rPr>
      </w:pPr>
    </w:p>
    <w:p>
      <w:pPr>
        <w:jc w:val="both"/>
        <w:ind w:firstLine="8"/>
        <w:spacing w:after="0" w:line="266" w:lineRule="auto"/>
        <w:tabs>
          <w:tab w:leader="none" w:pos="1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Scot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 Cohen,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Wrap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15d-15(e)) and internal control over financial reporting (as defined in Exchange Act Rules 13a-15(f) and 15d-15(f)) for the registrant and have:</w:t>
      </w:r>
    </w:p>
    <w:p>
      <w:pPr>
        <w:spacing w:after="0" w:line="207" w:lineRule="exact"/>
        <w:rPr>
          <w:sz w:val="20"/>
          <w:szCs w:val="20"/>
          <w:color w:val="auto"/>
        </w:rPr>
      </w:pPr>
    </w:p>
    <w:p>
      <w:pPr>
        <w:jc w:val="both"/>
        <w:ind w:firstLine="8"/>
        <w:spacing w:after="0" w:line="266" w:lineRule="auto"/>
        <w:tabs>
          <w:tab w:leader="none" w:pos="1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Scot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in accordance with 18 U.S.C. 1350, as adopted pursuant to Section 906 of the Sarbanes-Oxley Act of 2002, in his or her capacity as an officer of Wrap Technologies,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that, to his or her knowledge, the Quarterly Report of the Company on Form 10-Q for the period ended September 30, 2025,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Scot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in accordance with 18 U.S.C. 1350, as adopted pursuant to Section 906 of the Sarbanes-Oxley Act of 2002, in his or her capacity as an officer of Wrap Technologies,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that, to his or her knowledge, the Quarterly Report of the Company on Form 10-Q for the period ended September 30, 2025,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Scot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
      <w:numFmt w:val="bullet"/>
      <w:start w:val="1"/>
    </w:lvl>
  </w:abstractNum>
  <w:abstractNum w:abstractNumId="8">
    <w:nsid w:val="431BD7B7"/>
    <w:multiLevelType w:val="hybridMultilevel"/>
    <w:lvl w:ilvl="0">
      <w:lvlJc w:val="left"/>
      <w:lvlText w:val=" "/>
      <w:numFmt w:val="bullet"/>
      <w:start w:val="1"/>
    </w:lvl>
  </w:abstractNum>
  <w:abstractNum w:abstractNumId="9">
    <w:nsid w:val="3F2DBA31"/>
    <w:multiLevelType w:val="hybridMultilevel"/>
    <w:lvl w:ilvl="0">
      <w:lvlJc w:val="left"/>
      <w:lvlText w:val=" "/>
      <w:numFmt w:val="bullet"/>
      <w:start w:val="1"/>
    </w:lvl>
  </w:abstractNum>
  <w:abstractNum w:abstractNumId="10">
    <w:nsid w:val="7C83E458"/>
    <w:multiLevelType w:val="hybridMultilevel"/>
    <w:lvl w:ilvl="0">
      <w:lvlJc w:val="left"/>
      <w:lvlText w:val=" "/>
      <w:numFmt w:val="bullet"/>
      <w:start w:val="1"/>
    </w:lvl>
  </w:abstractNum>
  <w:abstractNum w:abstractNumId="11">
    <w:nsid w:val="257130A3"/>
    <w:multiLevelType w:val="hybridMultilevel"/>
    <w:lvl w:ilvl="0">
      <w:lvlJc w:val="left"/>
      <w:lvlText w:val=" "/>
      <w:numFmt w:val="bullet"/>
      <w:start w:val="1"/>
    </w:lvl>
  </w:abstractNum>
  <w:abstractNum w:abstractNumId="12">
    <w:nsid w:val="62BBD95A"/>
    <w:multiLevelType w:val="hybridMultilevel"/>
    <w:lvl w:ilvl="0">
      <w:lvlJc w:val="left"/>
      <w:lvlText w:val=" "/>
      <w:numFmt w:val="bullet"/>
      <w:start w:val="1"/>
    </w:lvl>
  </w:abstractNum>
  <w:abstractNum w:abstractNumId="13">
    <w:nsid w:val="436C6125"/>
    <w:multiLevelType w:val="hybridMultilevel"/>
    <w:lvl w:ilvl="0">
      <w:lvlJc w:val="left"/>
      <w:lvlText w:val=" "/>
      <w:numFmt w:val="bullet"/>
      <w:start w:val="1"/>
    </w:lvl>
  </w:abstractNum>
  <w:abstractNum w:abstractNumId="14">
    <w:nsid w:val="628C895D"/>
    <w:multiLevelType w:val="hybridMultilevel"/>
    <w:lvl w:ilvl="0">
      <w:lvlJc w:val="left"/>
      <w:lvlText w:val=" "/>
      <w:numFmt w:val="bullet"/>
      <w:start w:val="1"/>
    </w:lvl>
  </w:abstractNum>
  <w:abstractNum w:abstractNumId="15">
    <w:nsid w:val="333AB105"/>
    <w:multiLevelType w:val="hybridMultilevel"/>
    <w:lvl w:ilvl="0">
      <w:lvlJc w:val="left"/>
      <w:lvlText w:val=" "/>
      <w:numFmt w:val="bullet"/>
      <w:start w:val="1"/>
    </w:lvl>
  </w:abstractNum>
  <w:abstractNum w:abstractNumId="16">
    <w:nsid w:val="721DA317"/>
    <w:multiLevelType w:val="hybridMultilevel"/>
    <w:lvl w:ilvl="0">
      <w:lvlJc w:val="left"/>
      <w:lvlText w:val="(%1)"/>
      <w:numFmt w:val="lowerRoman"/>
      <w:start w:val="2"/>
    </w:lvl>
  </w:abstractNum>
  <w:abstractNum w:abstractNumId="17">
    <w:nsid w:val="2443A858"/>
    <w:multiLevelType w:val="hybridMultilevel"/>
    <w:lvl w:ilvl="0">
      <w:lvlJc w:val="left"/>
      <w:lvlText w:val="(%1)"/>
      <w:numFmt w:val="lowerRoman"/>
      <w:start w:val="2"/>
    </w:lvl>
  </w:abstractNum>
  <w:abstractNum w:abstractNumId="18">
    <w:nsid w:val="2D1D5AE9"/>
    <w:multiLevelType w:val="hybridMultilevel"/>
    <w:lvl w:ilvl="0">
      <w:lvlJc w:val="left"/>
      <w:lvlText w:val="%1"/>
      <w:numFmt w:val="decimal"/>
      <w:start w:val="104"/>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5"/>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83" Type="http://schemas.openxmlformats.org/officeDocument/2006/relationships/hyperlink" Target="https://www.sec.gov/Archives/edgar/data/1702924/000149315225020900/ex3-1.htm" TargetMode="External"/><Relationship Id="rId84" Type="http://schemas.openxmlformats.org/officeDocument/2006/relationships/hyperlink" Target="https://www.sec.gov/Archives/edgar/data/1702924/000164117225025536/ex3-1.htm" TargetMode="External"/><Relationship Id="rId85" Type="http://schemas.openxmlformats.org/officeDocument/2006/relationships/hyperlink" Target="https://www.sec.gov/Archives/edgar/data/1702924/000164117225024642/ex4-1.htm" TargetMode="External"/><Relationship Id="rId86" Type="http://schemas.openxmlformats.org/officeDocument/2006/relationships/hyperlink" Target="https://www.sec.gov/Archives/edgar/data/1702924/000164117225024642/ex10-1.htm" TargetMode="External"/><Relationship Id="rId87" Type="http://schemas.openxmlformats.org/officeDocument/2006/relationships/hyperlink" Target="https://www.sec.gov/Archives/edgar/data/1702924/000164117225024642/ex10-2.htm" TargetMode="External"/><Relationship Id="rId88" Type="http://schemas.openxmlformats.org/officeDocument/2006/relationships/hyperlink" Target="https://www.sec.gov/Archives/edgar/data/1702924/000149315225019686/ex10-1.htm" TargetMode="External"/><Relationship Id="rId89" Type="http://schemas.openxmlformats.org/officeDocument/2006/relationships/hyperlink" Target="https://www.sec.gov/Archives/edgar/data/1702924/000164117225018048/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2025-11-13T08:00:14Z</dcterms:created>
  <dcterms:modified xsi:type="dcterms:W3CDTF">2025-11-13T08:00:14Z</dcterms:modified>
</cp:coreProperties>
</file>