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Novick Jared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WRAP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3350 VIRGINIA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WRAP TECHNOLOGIES, INC.</w:t>
              </w:r>
            </w:hyperlink>
            <w:r>
              <w:rPr/>
              <w:t xml:space="preserve"> [ </w:t>
            </w:r>
            <w:r>
              <w:rPr>
                <w:rFonts w:ascii="Times;serif" w:hAnsi="Times;serif"/>
                <w:color w:val="0000FF"/>
                <w:sz w:val="24"/>
                <w:shd w:fill="FFFFFF" w:val="clear"/>
              </w:rPr>
              <w:t>WRAP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7"/>
        <w:gridCol w:w="900"/>
        <w:gridCol w:w="771"/>
        <w:gridCol w:w="597"/>
        <w:gridCol w:w="342"/>
        <w:gridCol w:w="1180"/>
        <w:gridCol w:w="439"/>
        <w:gridCol w:w="601"/>
        <w:gridCol w:w="1257"/>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2,000,000</w:t>
            </w:r>
            <w:r>
              <w:rPr>
                <w:rFonts w:ascii="Times;serif" w:hAnsi="Times;serif"/>
                <w:color w:val="008000"/>
                <w:position w:val="7"/>
                <w:sz w:val="16"/>
                <w:sz w:val="20"/>
                <w:shd w:fill="FFFFFF" w:val="clear"/>
              </w:rPr>
              <w:t>(2)</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2,153,012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Scot Cohen Roth IRA</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The restricted stock contained voting rights and dividend rights on the date of grant. The restricted stock will vest as follows: (i) 500,000 shares on the date the Company's market capitalization meets or exceeds $150 million for each trading day during 45 consecutive trading days; (ii) 500,000 shares on the date the Company's market capitalization meets or exceeds $225 million for each trading day during 45 consecutive trading days; (iii) 500,000 shares on the date the Company's market capitalization meets or exceeds $337.5 million for each trading day during 45 consecutive trading days; and (iv) 500,000 shares on the date the Company's market capitalization meets or exceeds $506.25 million for each trading day during 45 consecutive trading days.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the event that stockholder approval of an increase in shares of Common Stock reserved for issuance under Wrap Technologies, Inc. 2017 Equity Compensation Plan is not obtained prior to March 15, 2027, 800,000 of the awarded restricted stock are null and void and subject to forfeiture.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Jared Novick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6392" TargetMode="External"/><Relationship Id="rId5" Type="http://schemas.openxmlformats.org/officeDocument/2006/relationships/hyperlink" Target="http://www.sec.gov/cgi-bin/browse-edgar?action=getcompany&amp;CIK=00017029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746</Words>
  <Characters>4036</Characters>
  <CharactersWithSpaces>4709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