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QUARTERLY REPORT PURSUANT TO SECTION 13 OR 15(d) OF THE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000-55838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144145</wp:posOffset>
            </wp:positionV>
            <wp:extent cx="1757045"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tbl>
      <w:tblPr>
        <w:tblLayout w:type="fixed"/>
        <w:tblInd w:w="1540" w:type="dxa"/>
        <w:tblCellMar>
          <w:top w:w="0" w:type="dxa"/>
          <w:left w:w="0" w:type="dxa"/>
          <w:bottom w:w="0" w:type="dxa"/>
          <w:right w:w="0" w:type="dxa"/>
        </w:tblCellMar>
      </w:tblPr>
      <w:tr>
        <w:trPr>
          <w:trHeight w:val="397"/>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80" w:type="dxa"/>
            <w:vAlign w:val="bottom"/>
            <w:gridSpan w:val="5"/>
          </w:tcPr>
          <w:p>
            <w:pPr>
              <w:jc w:val="center"/>
              <w:ind w:right="1920"/>
              <w:spacing w:after="0"/>
              <w:rPr>
                <w:sz w:val="20"/>
                <w:szCs w:val="20"/>
                <w:color w:val="auto"/>
              </w:rPr>
            </w:pPr>
            <w:r>
              <w:rPr>
                <w:rFonts w:ascii="Times New Roman" w:cs="Times New Roman" w:eastAsia="Times New Roman" w:hAnsi="Times New Roman"/>
                <w:sz w:val="32"/>
                <w:szCs w:val="32"/>
                <w:b w:val="1"/>
                <w:bCs w:val="1"/>
                <w:color w:val="auto"/>
              </w:rPr>
              <w:t>Wrap Technologies, Inc.</w:t>
            </w:r>
          </w:p>
        </w:tc>
      </w:tr>
      <w:tr>
        <w:trPr>
          <w:trHeight w:val="228"/>
        </w:trPr>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80" w:type="dxa"/>
            <w:vAlign w:val="bottom"/>
            <w:gridSpan w:val="5"/>
          </w:tcPr>
          <w:p>
            <w:pPr>
              <w:jc w:val="center"/>
              <w:ind w:right="1900"/>
              <w:spacing w:after="0"/>
              <w:rPr>
                <w:sz w:val="20"/>
                <w:szCs w:val="20"/>
                <w:color w:val="auto"/>
              </w:rPr>
            </w:pPr>
            <w:r>
              <w:rPr>
                <w:rFonts w:ascii="Times New Roman" w:cs="Times New Roman" w:eastAsia="Times New Roman" w:hAnsi="Times New Roman"/>
                <w:sz w:val="18"/>
                <w:szCs w:val="18"/>
                <w:color w:val="auto"/>
                <w:w w:val="97"/>
              </w:rPr>
              <w:t>(Exact name of registrant as specified in its charter)</w:t>
            </w:r>
          </w:p>
        </w:tc>
      </w:tr>
      <w:tr>
        <w:trPr>
          <w:trHeight w:val="393"/>
        </w:trPr>
        <w:tc>
          <w:tcPr>
            <w:tcW w:w="7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780" w:type="dxa"/>
            <w:vAlign w:val="bottom"/>
          </w:tcPr>
          <w:p>
            <w:pPr>
              <w:spacing w:after="0"/>
              <w:rPr>
                <w:sz w:val="24"/>
                <w:szCs w:val="24"/>
                <w:color w:val="auto"/>
              </w:rPr>
            </w:pPr>
          </w:p>
        </w:tc>
        <w:tc>
          <w:tcPr>
            <w:tcW w:w="5680" w:type="dxa"/>
            <w:vAlign w:val="bottom"/>
            <w:gridSpan w:val="5"/>
          </w:tcPr>
          <w:p>
            <w:pPr>
              <w:jc w:val="center"/>
              <w:ind w:left="3934"/>
              <w:spacing w:after="0"/>
              <w:rPr>
                <w:sz w:val="20"/>
                <w:szCs w:val="20"/>
                <w:color w:val="auto"/>
              </w:rPr>
            </w:pPr>
            <w:r>
              <w:rPr>
                <w:rFonts w:ascii="Times New Roman" w:cs="Times New Roman" w:eastAsia="Times New Roman" w:hAnsi="Times New Roman"/>
                <w:sz w:val="18"/>
                <w:szCs w:val="18"/>
                <w:color w:val="auto"/>
                <w:w w:val="96"/>
              </w:rPr>
              <w:t>98-0551945</w:t>
            </w:r>
          </w:p>
        </w:tc>
      </w:tr>
      <w:tr>
        <w:trPr>
          <w:trHeight w:val="20"/>
        </w:trPr>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2"/>
        </w:trPr>
        <w:tc>
          <w:tcPr>
            <w:tcW w:w="22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10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0" w:type="dxa"/>
            <w:vAlign w:val="bottom"/>
            <w:gridSpan w:val="3"/>
          </w:tcPr>
          <w:p>
            <w:pPr>
              <w:jc w:val="center"/>
              <w:ind w:left="131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2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6"/>
              </w:rPr>
              <w:t>incorporation or organization)</w:t>
            </w:r>
          </w:p>
        </w:tc>
        <w:tc>
          <w:tcPr>
            <w:tcW w:w="10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000" w:type="dxa"/>
            <w:vAlign w:val="bottom"/>
            <w:gridSpan w:val="3"/>
          </w:tcPr>
          <w:p>
            <w:pPr>
              <w:jc w:val="center"/>
              <w:ind w:left="1272"/>
              <w:spacing w:after="0"/>
              <w:rPr>
                <w:sz w:val="20"/>
                <w:szCs w:val="20"/>
                <w:color w:val="auto"/>
              </w:rPr>
            </w:pPr>
            <w:r>
              <w:rPr>
                <w:rFonts w:ascii="Times New Roman" w:cs="Times New Roman" w:eastAsia="Times New Roman" w:hAnsi="Times New Roman"/>
                <w:sz w:val="18"/>
                <w:szCs w:val="18"/>
                <w:color w:val="auto"/>
                <w:w w:val="98"/>
              </w:rPr>
              <w:t>Identification Number)</w:t>
            </w:r>
          </w:p>
        </w:tc>
      </w:tr>
      <w:tr>
        <w:trPr>
          <w:trHeight w:val="420"/>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0" w:type="dxa"/>
            <w:vAlign w:val="bottom"/>
            <w:gridSpan w:val="4"/>
          </w:tcPr>
          <w:p>
            <w:pPr>
              <w:jc w:val="center"/>
              <w:ind w:right="3000"/>
              <w:spacing w:after="0"/>
              <w:rPr>
                <w:sz w:val="20"/>
                <w:szCs w:val="20"/>
                <w:color w:val="auto"/>
              </w:rPr>
            </w:pPr>
            <w:r>
              <w:rPr>
                <w:rFonts w:ascii="Times New Roman" w:cs="Times New Roman" w:eastAsia="Times New Roman" w:hAnsi="Times New Roman"/>
                <w:sz w:val="18"/>
                <w:szCs w:val="18"/>
                <w:color w:val="auto"/>
                <w:w w:val="95"/>
              </w:rPr>
              <w:t>1817 W 4</w:t>
            </w:r>
            <w:r>
              <w:rPr>
                <w:rFonts w:ascii="Times New Roman" w:cs="Times New Roman" w:eastAsia="Times New Roman" w:hAnsi="Times New Roman"/>
                <w:sz w:val="24"/>
                <w:szCs w:val="24"/>
                <w:color w:val="auto"/>
                <w:w w:val="95"/>
                <w:vertAlign w:val="superscript"/>
              </w:rPr>
              <w:t>th</w:t>
            </w:r>
            <w:r>
              <w:rPr>
                <w:rFonts w:ascii="Times New Roman" w:cs="Times New Roman" w:eastAsia="Times New Roman" w:hAnsi="Times New Roman"/>
                <w:sz w:val="18"/>
                <w:szCs w:val="18"/>
                <w:color w:val="auto"/>
                <w:w w:val="95"/>
              </w:rPr>
              <w:t xml:space="preserve"> Street</w:t>
            </w:r>
          </w:p>
        </w:tc>
      </w:tr>
      <w:tr>
        <w:trPr>
          <w:trHeight w:val="190"/>
        </w:trPr>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0" w:type="dxa"/>
            <w:vAlign w:val="bottom"/>
            <w:gridSpan w:val="4"/>
          </w:tcPr>
          <w:p>
            <w:pPr>
              <w:jc w:val="center"/>
              <w:ind w:right="3000"/>
              <w:spacing w:after="0" w:line="190" w:lineRule="exact"/>
              <w:rPr>
                <w:sz w:val="20"/>
                <w:szCs w:val="20"/>
                <w:color w:val="auto"/>
              </w:rPr>
            </w:pPr>
            <w:r>
              <w:rPr>
                <w:rFonts w:ascii="Times New Roman" w:cs="Times New Roman" w:eastAsia="Times New Roman" w:hAnsi="Times New Roman"/>
                <w:sz w:val="18"/>
                <w:szCs w:val="18"/>
                <w:color w:val="auto"/>
                <w:w w:val="96"/>
              </w:rPr>
              <w:t>Tempe, Arizona 85281</w:t>
            </w:r>
          </w:p>
        </w:tc>
      </w:tr>
      <w:tr>
        <w:trPr>
          <w:trHeight w:val="20"/>
        </w:trPr>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r>
      <w:tr>
        <w:trPr>
          <w:trHeight w:val="234"/>
        </w:trPr>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80" w:type="dxa"/>
            <w:vAlign w:val="bottom"/>
            <w:gridSpan w:val="5"/>
          </w:tcPr>
          <w:p>
            <w:pPr>
              <w:jc w:val="center"/>
              <w:ind w:right="1880"/>
              <w:spacing w:after="0"/>
              <w:rPr>
                <w:sz w:val="20"/>
                <w:szCs w:val="20"/>
                <w:color w:val="auto"/>
              </w:rPr>
            </w:pPr>
            <w:r>
              <w:rPr>
                <w:rFonts w:ascii="Times New Roman" w:cs="Times New Roman" w:eastAsia="Times New Roman" w:hAnsi="Times New Roman"/>
                <w:sz w:val="18"/>
                <w:szCs w:val="18"/>
                <w:color w:val="auto"/>
                <w:w w:val="97"/>
              </w:rPr>
              <w:t>(Address of principal executive offices) (Zip Code)</w:t>
            </w:r>
          </w:p>
        </w:tc>
      </w:tr>
    </w:tbl>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(800) 583-2652</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8"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940" w:type="dxa"/>
            <w:vAlign w:val="bottom"/>
          </w:tcPr>
          <w:p>
            <w:pPr>
              <w:spacing w:after="0"/>
              <w:rPr>
                <w:sz w:val="18"/>
                <w:szCs w:val="18"/>
                <w:color w:val="auto"/>
              </w:rPr>
            </w:pPr>
          </w:p>
        </w:tc>
        <w:tc>
          <w:tcPr>
            <w:tcW w:w="276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6"/>
              </w:rPr>
              <w:t>Title of each class</w:t>
            </w:r>
          </w:p>
        </w:tc>
        <w:tc>
          <w:tcPr>
            <w:tcW w:w="314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w w:val="96"/>
              </w:rPr>
              <w:t>Trading Symbol(s)</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35"/>
        </w:trPr>
        <w:tc>
          <w:tcPr>
            <w:tcW w:w="37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7"/>
              </w:rPr>
              <w:t>Common Stock, par value $0.0001 per share</w:t>
            </w:r>
          </w:p>
        </w:tc>
        <w:tc>
          <w:tcPr>
            <w:tcW w:w="580" w:type="dxa"/>
            <w:vAlign w:val="bottom"/>
          </w:tcPr>
          <w:p>
            <w:pPr>
              <w:spacing w:after="0"/>
              <w:rPr>
                <w:sz w:val="20"/>
                <w:szCs w:val="20"/>
                <w:color w:val="auto"/>
              </w:rPr>
            </w:pPr>
          </w:p>
        </w:tc>
        <w:tc>
          <w:tcPr>
            <w:tcW w:w="256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w w:val="96"/>
              </w:rPr>
              <w:t>WRTC</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r>
    </w:tbl>
    <w:p>
      <w:pPr>
        <w:spacing w:after="0" w:line="204"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6"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 X ] Yes [ ] No</w:t>
      </w:r>
    </w:p>
    <w:p>
      <w:pPr>
        <w:spacing w:after="0" w:line="174"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jc w:val="right"/>
              <w:ind w:right="1852"/>
              <w:spacing w:after="0"/>
              <w:rPr>
                <w:sz w:val="20"/>
                <w:szCs w:val="20"/>
                <w:color w:val="auto"/>
              </w:rPr>
            </w:pPr>
            <w:r>
              <w:rPr>
                <w:rFonts w:ascii="Times New Roman" w:cs="Times New Roman" w:eastAsia="Times New Roman" w:hAnsi="Times New Roman"/>
                <w:sz w:val="18"/>
                <w:szCs w:val="18"/>
                <w:color w:val="auto"/>
              </w:rPr>
              <w:t>[  ]</w:t>
            </w:r>
          </w:p>
        </w:tc>
        <w:tc>
          <w:tcPr>
            <w:tcW w:w="39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jc w:val="right"/>
              <w:ind w:right="1852"/>
              <w:spacing w:after="0"/>
              <w:rPr>
                <w:sz w:val="20"/>
                <w:szCs w:val="20"/>
                <w:color w:val="auto"/>
              </w:rPr>
            </w:pPr>
            <w:r>
              <w:rPr>
                <w:rFonts w:ascii="Times New Roman" w:cs="Times New Roman" w:eastAsia="Times New Roman" w:hAnsi="Times New Roman"/>
                <w:sz w:val="18"/>
                <w:szCs w:val="18"/>
                <w:color w:val="auto"/>
              </w:rPr>
              <w:t>[X]</w:t>
            </w:r>
          </w:p>
        </w:tc>
        <w:tc>
          <w:tcPr>
            <w:tcW w:w="39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[X]</w:t>
            </w:r>
          </w:p>
        </w:tc>
      </w:tr>
      <w:tr>
        <w:trPr>
          <w:trHeight w:val="228"/>
        </w:trPr>
        <w:tc>
          <w:tcPr>
            <w:tcW w:w="18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9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5"/>
              </w:rPr>
              <w:t>[X]</w:t>
            </w:r>
          </w:p>
        </w:tc>
      </w:tr>
    </w:tbl>
    <w:p>
      <w:pPr>
        <w:spacing w:after="0" w:line="260"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 [ ] No [ X]</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28, 2020 a total of 37,211,217 shares of the Registrant’s common stock, par value $0.0001,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74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7"/>
              </w:rPr>
              <w:t>WRAP TECHNOLOGIES, INC.</w:t>
            </w:r>
          </w:p>
        </w:tc>
        <w:tc>
          <w:tcPr>
            <w:tcW w:w="84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74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color w:val="auto"/>
                <w:w w:val="96"/>
              </w:rPr>
              <w:t>INDEX</w:t>
            </w:r>
          </w:p>
        </w:tc>
        <w:tc>
          <w:tcPr>
            <w:tcW w:w="840" w:type="dxa"/>
            <w:vAlign w:val="bottom"/>
          </w:tcPr>
          <w:p>
            <w:pPr>
              <w:spacing w:after="0"/>
              <w:rPr>
                <w:sz w:val="24"/>
                <w:szCs w:val="24"/>
                <w:color w:val="auto"/>
              </w:rPr>
            </w:pPr>
          </w:p>
        </w:tc>
      </w:tr>
      <w:tr>
        <w:trPr>
          <w:trHeight w:val="432"/>
        </w:trPr>
        <w:tc>
          <w:tcPr>
            <w:tcW w:w="10400" w:type="dxa"/>
            <w:vAlign w:val="bottom"/>
            <w:gridSpan w:val="5"/>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PART I. FINANCIAL INFORMATION</w:t>
              </w:r>
            </w:hyperlink>
          </w:p>
        </w:tc>
        <w:tc>
          <w:tcPr>
            <w:tcW w:w="840" w:type="dxa"/>
            <w:vAlign w:val="bottom"/>
          </w:tcPr>
          <w:p>
            <w:pPr>
              <w:spacing w:after="0"/>
              <w:rPr>
                <w:sz w:val="24"/>
                <w:szCs w:val="24"/>
                <w:color w:val="auto"/>
              </w:rPr>
            </w:pPr>
          </w:p>
        </w:tc>
      </w:tr>
      <w:tr>
        <w:trPr>
          <w:trHeight w:val="218"/>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140" w:type="dxa"/>
            <w:vAlign w:val="bottom"/>
            <w:shd w:val="clear" w:color="auto" w:fill="CCEEFF"/>
          </w:tcPr>
          <w:p>
            <w:pPr>
              <w:ind w:left="340"/>
              <w:spacing w:after="0"/>
              <w:rPr>
                <w:rFonts w:ascii="Times New Roman" w:cs="Times New Roman" w:eastAsia="Times New Roman" w:hAnsi="Times New Roman"/>
                <w:sz w:val="18"/>
                <w:szCs w:val="18"/>
                <w:u w:val="single" w:color="auto"/>
                <w:color w:val="auto"/>
              </w:rPr>
            </w:pPr>
            <w:hyperlink w:anchor="page3">
              <w:r>
                <w:rPr>
                  <w:rFonts w:ascii="Times New Roman" w:cs="Times New Roman" w:eastAsia="Times New Roman" w:hAnsi="Times New Roman"/>
                  <w:sz w:val="18"/>
                  <w:szCs w:val="18"/>
                  <w:u w:val="single" w:color="auto"/>
                  <w:color w:val="auto"/>
                </w:rPr>
                <w:t>Item 1.</w:t>
              </w:r>
            </w:hyperlink>
          </w:p>
        </w:tc>
        <w:tc>
          <w:tcPr>
            <w:tcW w:w="9260" w:type="dxa"/>
            <w:vAlign w:val="bottom"/>
            <w:gridSpan w:val="4"/>
            <w:shd w:val="clear" w:color="auto" w:fill="CCEEFF"/>
          </w:tcPr>
          <w:p>
            <w:pPr>
              <w:spacing w:after="0"/>
              <w:rPr>
                <w:rFonts w:ascii="Times New Roman" w:cs="Times New Roman" w:eastAsia="Times New Roman" w:hAnsi="Times New Roman"/>
                <w:sz w:val="18"/>
                <w:szCs w:val="18"/>
                <w:u w:val="single" w:color="auto"/>
                <w:color w:val="auto"/>
              </w:rPr>
            </w:pPr>
            <w:hyperlink w:anchor="page3">
              <w:r>
                <w:rPr>
                  <w:rFonts w:ascii="Times New Roman" w:cs="Times New Roman" w:eastAsia="Times New Roman" w:hAnsi="Times New Roman"/>
                  <w:sz w:val="18"/>
                  <w:szCs w:val="18"/>
                  <w:u w:val="single" w:color="auto"/>
                  <w:color w:val="auto"/>
                </w:rPr>
                <w:t>Financial Statements:</w:t>
              </w:r>
            </w:hyperlink>
          </w:p>
        </w:tc>
        <w:tc>
          <w:tcPr>
            <w:tcW w:w="84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9260" w:type="dxa"/>
            <w:vAlign w:val="bottom"/>
            <w:gridSpan w:val="4"/>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Balance Sheets as of September 30, 2020 (unaudited) and December 31, 2019</w:t>
              </w:r>
            </w:hyperlink>
          </w:p>
        </w:tc>
        <w:tc>
          <w:tcPr>
            <w:tcW w:w="84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140" w:type="dxa"/>
            <w:vAlign w:val="bottom"/>
            <w:tcBorders>
              <w:bottom w:val="single" w:sz="8" w:color="CCEEFF"/>
            </w:tcBorders>
            <w:shd w:val="clear" w:color="auto" w:fill="CCEEFF"/>
          </w:tcPr>
          <w:p>
            <w:pPr>
              <w:spacing w:after="0"/>
              <w:rPr>
                <w:sz w:val="15"/>
                <w:szCs w:val="15"/>
                <w:color w:val="auto"/>
              </w:rPr>
            </w:pPr>
          </w:p>
        </w:tc>
        <w:tc>
          <w:tcPr>
            <w:tcW w:w="886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Condensed Statements of Operations and Comprehensive Loss for the three and nine months ended September 30, 2020 and</w:t>
              </w:r>
            </w:hyperlink>
          </w:p>
        </w:tc>
        <w:tc>
          <w:tcPr>
            <w:tcW w:w="4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center"/>
              <w:ind w:left="32"/>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96"/>
        </w:trPr>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94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2019 (unaudited)</w:t>
              </w:r>
            </w:hyperlink>
          </w:p>
        </w:tc>
        <w:tc>
          <w:tcPr>
            <w:tcW w:w="840" w:type="dxa"/>
            <w:vAlign w:val="bottom"/>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9260" w:type="dxa"/>
            <w:vAlign w:val="bottom"/>
            <w:gridSpan w:val="4"/>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Statements of Stockholders Equity for the three and nine months ended September 30, 2020 and 2019 (unaudited)</w:t>
              </w:r>
            </w:hyperlink>
          </w:p>
        </w:tc>
        <w:tc>
          <w:tcPr>
            <w:tcW w:w="84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140" w:type="dxa"/>
            <w:vAlign w:val="bottom"/>
            <w:shd w:val="clear" w:color="auto" w:fill="CCEEFF"/>
          </w:tcPr>
          <w:p>
            <w:pPr>
              <w:spacing w:after="0"/>
              <w:rPr>
                <w:sz w:val="18"/>
                <w:szCs w:val="18"/>
                <w:color w:val="auto"/>
              </w:rPr>
            </w:pPr>
          </w:p>
        </w:tc>
        <w:tc>
          <w:tcPr>
            <w:tcW w:w="926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Condensed Statements of Cash Flows for the nine months ended September 30, 2020 and 2019 (unaudited)</w:t>
              </w:r>
            </w:hyperlink>
          </w:p>
        </w:tc>
        <w:tc>
          <w:tcPr>
            <w:tcW w:w="84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140" w:type="dxa"/>
            <w:vAlign w:val="bottom"/>
          </w:tcPr>
          <w:p>
            <w:pPr>
              <w:spacing w:after="0"/>
              <w:rPr>
                <w:sz w:val="18"/>
                <w:szCs w:val="18"/>
                <w:color w:val="auto"/>
              </w:rPr>
            </w:pPr>
          </w:p>
        </w:tc>
        <w:tc>
          <w:tcPr>
            <w:tcW w:w="9260" w:type="dxa"/>
            <w:vAlign w:val="bottom"/>
            <w:gridSpan w:val="4"/>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Unaudited Condensed Interim Financial Statements</w:t>
              </w:r>
            </w:hyperlink>
          </w:p>
        </w:tc>
        <w:tc>
          <w:tcPr>
            <w:tcW w:w="84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140" w:type="dxa"/>
            <w:vAlign w:val="bottom"/>
            <w:shd w:val="clear" w:color="auto" w:fill="CCEEFF"/>
          </w:tcPr>
          <w:p>
            <w:pPr>
              <w:ind w:left="34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2.</w:t>
              </w:r>
            </w:hyperlink>
          </w:p>
        </w:tc>
        <w:tc>
          <w:tcPr>
            <w:tcW w:w="926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84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140" w:type="dxa"/>
            <w:vAlign w:val="bottom"/>
          </w:tcPr>
          <w:p>
            <w:pPr>
              <w:ind w:left="34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Item 3.</w:t>
              </w:r>
            </w:hyperlink>
          </w:p>
        </w:tc>
        <w:tc>
          <w:tcPr>
            <w:tcW w:w="9260" w:type="dxa"/>
            <w:vAlign w:val="bottom"/>
            <w:gridSpan w:val="4"/>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Quantitative and Qualitative Disclosures About Market Risk</w:t>
              </w:r>
            </w:hyperlink>
          </w:p>
        </w:tc>
        <w:tc>
          <w:tcPr>
            <w:tcW w:w="8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140" w:type="dxa"/>
            <w:vAlign w:val="bottom"/>
            <w:shd w:val="clear" w:color="auto" w:fill="CCEEFF"/>
          </w:tcPr>
          <w:p>
            <w:pPr>
              <w:ind w:left="34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Item 4.</w:t>
              </w:r>
            </w:hyperlink>
          </w:p>
        </w:tc>
        <w:tc>
          <w:tcPr>
            <w:tcW w:w="926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Controls and Procedures</w:t>
              </w:r>
            </w:hyperlink>
          </w:p>
        </w:tc>
        <w:tc>
          <w:tcPr>
            <w:tcW w:w="84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46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0400" w:type="dxa"/>
            <w:vAlign w:val="bottom"/>
            <w:gridSpan w:val="5"/>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28">
              <w:r>
                <w:rPr>
                  <w:rFonts w:ascii="Times New Roman" w:cs="Times New Roman" w:eastAsia="Times New Roman" w:hAnsi="Times New Roman"/>
                  <w:sz w:val="18"/>
                  <w:szCs w:val="18"/>
                  <w:b w:val="1"/>
                  <w:bCs w:val="1"/>
                  <w:u w:val="single" w:color="auto"/>
                  <w:color w:val="0000EE"/>
                </w:rPr>
                <w:t>PART II. OTHER INFORMATION</w:t>
              </w:r>
            </w:hyperlink>
          </w:p>
        </w:tc>
        <w:tc>
          <w:tcPr>
            <w:tcW w:w="84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140" w:type="dxa"/>
            <w:vAlign w:val="bottom"/>
            <w:shd w:val="clear" w:color="auto" w:fill="CCEEFF"/>
          </w:tcPr>
          <w:p>
            <w:pPr>
              <w:ind w:left="340"/>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Item 1.</w:t>
              </w:r>
            </w:hyperlink>
          </w:p>
        </w:tc>
        <w:tc>
          <w:tcPr>
            <w:tcW w:w="926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Legal Proceedings</w:t>
              </w:r>
            </w:hyperlink>
          </w:p>
        </w:tc>
        <w:tc>
          <w:tcPr>
            <w:tcW w:w="84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140" w:type="dxa"/>
            <w:vAlign w:val="bottom"/>
          </w:tcPr>
          <w:p>
            <w:pPr>
              <w:ind w:left="34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Item 1A.</w:t>
              </w:r>
            </w:hyperlink>
          </w:p>
        </w:tc>
        <w:tc>
          <w:tcPr>
            <w:tcW w:w="9260" w:type="dxa"/>
            <w:vAlign w:val="bottom"/>
            <w:gridSpan w:val="4"/>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Risk Factors</w:t>
              </w:r>
            </w:hyperlink>
          </w:p>
        </w:tc>
        <w:tc>
          <w:tcPr>
            <w:tcW w:w="8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140" w:type="dxa"/>
            <w:vAlign w:val="bottom"/>
            <w:shd w:val="clear" w:color="auto" w:fill="CCEEFF"/>
          </w:tcPr>
          <w:p>
            <w:pPr>
              <w:ind w:left="34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Item 2.</w:t>
              </w:r>
            </w:hyperlink>
          </w:p>
        </w:tc>
        <w:tc>
          <w:tcPr>
            <w:tcW w:w="926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Unregistered Sales of Equity Securities and Use of Proceeds</w:t>
              </w:r>
            </w:hyperlink>
          </w:p>
        </w:tc>
        <w:tc>
          <w:tcPr>
            <w:tcW w:w="84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140" w:type="dxa"/>
            <w:vAlign w:val="bottom"/>
          </w:tcPr>
          <w:p>
            <w:pPr>
              <w:ind w:left="34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Item 3.</w:t>
              </w:r>
            </w:hyperlink>
          </w:p>
        </w:tc>
        <w:tc>
          <w:tcPr>
            <w:tcW w:w="9260" w:type="dxa"/>
            <w:vAlign w:val="bottom"/>
            <w:gridSpan w:val="4"/>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Defaults Upon Senior Securities</w:t>
              </w:r>
            </w:hyperlink>
          </w:p>
        </w:tc>
        <w:tc>
          <w:tcPr>
            <w:tcW w:w="8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140" w:type="dxa"/>
            <w:vAlign w:val="bottom"/>
            <w:shd w:val="clear" w:color="auto" w:fill="CCEEFF"/>
          </w:tcPr>
          <w:p>
            <w:pPr>
              <w:ind w:left="34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Item 4.</w:t>
              </w:r>
            </w:hyperlink>
          </w:p>
        </w:tc>
        <w:tc>
          <w:tcPr>
            <w:tcW w:w="926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Mine Safety Disclosures</w:t>
              </w:r>
            </w:hyperlink>
          </w:p>
        </w:tc>
        <w:tc>
          <w:tcPr>
            <w:tcW w:w="84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140" w:type="dxa"/>
            <w:vAlign w:val="bottom"/>
          </w:tcPr>
          <w:p>
            <w:pPr>
              <w:ind w:left="34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Item 5.</w:t>
              </w:r>
            </w:hyperlink>
          </w:p>
        </w:tc>
        <w:tc>
          <w:tcPr>
            <w:tcW w:w="9260" w:type="dxa"/>
            <w:vAlign w:val="bottom"/>
            <w:gridSpan w:val="4"/>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Other Information</w:t>
              </w:r>
            </w:hyperlink>
          </w:p>
        </w:tc>
        <w:tc>
          <w:tcPr>
            <w:tcW w:w="84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140" w:type="dxa"/>
            <w:vAlign w:val="bottom"/>
            <w:shd w:val="clear" w:color="auto" w:fill="CCEEFF"/>
          </w:tcPr>
          <w:p>
            <w:pPr>
              <w:ind w:left="340"/>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Item 6.</w:t>
              </w:r>
            </w:hyperlink>
          </w:p>
        </w:tc>
        <w:tc>
          <w:tcPr>
            <w:tcW w:w="9260" w:type="dxa"/>
            <w:vAlign w:val="bottom"/>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Exhibits</w:t>
              </w:r>
            </w:hyperlink>
          </w:p>
        </w:tc>
        <w:tc>
          <w:tcPr>
            <w:tcW w:w="84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1140" w:type="dxa"/>
            <w:vAlign w:val="bottom"/>
            <w:shd w:val="clear" w:color="auto" w:fill="CCEEFF"/>
          </w:tcPr>
          <w:p>
            <w:pPr>
              <w:spacing w:after="0"/>
              <w:rPr>
                <w:rFonts w:ascii="Times New Roman" w:cs="Times New Roman" w:eastAsia="Times New Roman" w:hAnsi="Times New Roman"/>
                <w:sz w:val="18"/>
                <w:szCs w:val="18"/>
                <w:b w:val="1"/>
                <w:bCs w:val="1"/>
                <w:u w:val="single" w:color="auto"/>
                <w:color w:val="0000EE"/>
                <w:w w:val="95"/>
              </w:rPr>
            </w:pPr>
            <w:hyperlink w:anchor="page30">
              <w:r>
                <w:rPr>
                  <w:rFonts w:ascii="Times New Roman" w:cs="Times New Roman" w:eastAsia="Times New Roman" w:hAnsi="Times New Roman"/>
                  <w:sz w:val="18"/>
                  <w:szCs w:val="18"/>
                  <w:b w:val="1"/>
                  <w:bCs w:val="1"/>
                  <w:u w:val="single" w:color="auto"/>
                  <w:color w:val="0000EE"/>
                  <w:w w:val="95"/>
                </w:rPr>
                <w:t>SIGNATURES</w:t>
              </w:r>
            </w:hyperlink>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7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28</w:t>
            </w:r>
          </w:p>
        </w:tc>
      </w:tr>
      <w:tr>
        <w:trPr>
          <w:trHeight w:val="202"/>
        </w:trPr>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52"/>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5"/>
              </w:rPr>
              <w:t>(unaudited)</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r>
      <w:tr>
        <w:trPr>
          <w:trHeight w:val="241"/>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44"/>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20,118,192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16,983,864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24,986,117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195,347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1,950,994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2,244,541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300,811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250,947</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48,526,236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19,674,699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242,876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 net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260,931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230,283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 net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12,681</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49,395,286</w:t>
            </w:r>
          </w:p>
        </w:tc>
        <w:tc>
          <w:tcPr>
            <w:tcW w:w="1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20,421,470</w:t>
            </w:r>
          </w:p>
        </w:tc>
      </w:tr>
      <w:tr>
        <w:trPr>
          <w:trHeight w:val="210"/>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761,785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406,967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194,294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343,724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 short term</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128,131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 to bank - short term</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1,693,245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1,075,800</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 long term</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79,116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150,018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 to bank - long term</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150,018</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1,958,210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1,225,818</w:t>
            </w:r>
          </w:p>
        </w:tc>
      </w:tr>
      <w:tr>
        <w:trPr>
          <w:trHeight w:val="216"/>
        </w:trPr>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- 5,000,000 authorized; par value $0.0001 per share; none issued and outstanding</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Common stock - 150,000,000 authorized; par value $0.0001 per share; 37,109,317 and 29,829,916 shares issued and</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each period, respectively</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69,180,916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31,922,493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(21,754,157)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(12,729,824)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47,437,076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19,195,652</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49,395,286</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20,421,470</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43"/>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6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52"/>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r>
      <w:tr>
        <w:trPr>
          <w:trHeight w:val="24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59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988,089</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255,973</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2,485,866</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418,874</w:t>
            </w:r>
          </w:p>
        </w:tc>
      </w:tr>
      <w:tr>
        <w:trPr>
          <w:trHeight w:val="216"/>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27,144</w:t>
            </w:r>
          </w:p>
        </w:tc>
      </w:tr>
      <w:tr>
        <w:trPr>
          <w:trHeight w:val="27"/>
        </w:trPr>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1,006,764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446,018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1,658,773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254,701</w:t>
            </w:r>
          </w:p>
        </w:tc>
      </w:tr>
      <w:tr>
        <w:trPr>
          <w:trHeight w:val="27"/>
        </w:trPr>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5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318,773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870,020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191,317</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5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3,255,464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1,878,152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7,933,261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4,547,215</w:t>
            </w:r>
          </w:p>
        </w:tc>
      </w:tr>
      <w:tr>
        <w:trPr>
          <w:trHeight w:val="216"/>
        </w:trPr>
        <w:tc>
          <w:tcPr>
            <w:tcW w:w="59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2,037,633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1,620,820</w:t>
            </w:r>
          </w:p>
        </w:tc>
      </w:tr>
      <w:tr>
        <w:trPr>
          <w:trHeight w:val="27"/>
        </w:trPr>
        <w:tc>
          <w:tcPr>
            <w:tcW w:w="59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4,182,141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2,607,940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9,970,894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6,168,035</w:t>
            </w:r>
          </w:p>
        </w:tc>
      </w:tr>
      <w:tr>
        <w:trPr>
          <w:trHeight w:val="27"/>
        </w:trPr>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5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(3,863,368)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(2,496,963)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(9,100,874)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(5,976,718)</w:t>
            </w:r>
          </w:p>
        </w:tc>
      </w:tr>
      <w:tr>
        <w:trPr>
          <w:trHeight w:val="216"/>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5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196,109</w:t>
            </w:r>
          </w:p>
        </w:tc>
      </w:tr>
      <w:tr>
        <w:trPr>
          <w:trHeight w:val="216"/>
        </w:trPr>
        <w:tc>
          <w:tcPr>
            <w:tcW w:w="59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(1,450)</w:t>
            </w:r>
          </w:p>
        </w:tc>
      </w:tr>
      <w:tr>
        <w:trPr>
          <w:trHeight w:val="27"/>
        </w:trPr>
        <w:tc>
          <w:tcPr>
            <w:tcW w:w="59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194,659</w:t>
            </w:r>
          </w:p>
        </w:tc>
      </w:tr>
      <w:tr>
        <w:trPr>
          <w:trHeight w:val="27"/>
        </w:trPr>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6"/>
        </w:trPr>
        <w:tc>
          <w:tcPr>
            <w:tcW w:w="5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(3,861,855)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(2,387,204)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(9,024,333)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(5,782,059)</w:t>
            </w:r>
          </w:p>
        </w:tc>
      </w:tr>
      <w:tr>
        <w:trPr>
          <w:trHeight w:val="210"/>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56"/>
        </w:trPr>
        <w:tc>
          <w:tcPr>
            <w:tcW w:w="5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basic common share</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(0.20)</w:t>
            </w:r>
          </w:p>
        </w:tc>
      </w:tr>
      <w:tr>
        <w:trPr>
          <w:trHeight w:val="195"/>
        </w:trPr>
        <w:tc>
          <w:tcPr>
            <w:tcW w:w="5980" w:type="dxa"/>
            <w:vAlign w:val="bottom"/>
            <w:tcBorders>
              <w:top w:val="single" w:sz="8" w:color="CCEEFF"/>
            </w:tcBorders>
          </w:tcPr>
          <w:p>
            <w:pPr>
              <w:spacing w:after="0" w:line="195" w:lineRule="exact"/>
              <w:rPr>
                <w:sz w:val="20"/>
                <w:szCs w:val="20"/>
                <w:color w:val="auto"/>
              </w:rPr>
            </w:pPr>
            <w:r>
              <w:rPr>
                <w:rFonts w:ascii="Times New Roman" w:cs="Times New Roman" w:eastAsia="Times New Roman" w:hAnsi="Times New Roman"/>
                <w:sz w:val="18"/>
                <w:szCs w:val="18"/>
                <w:color w:val="auto"/>
              </w:rPr>
              <w:t>Weighted average common shares used to compute net loss per basic common</w:t>
            </w: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36,419,771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29,662,403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32,653,408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28,301,725</w:t>
            </w:r>
          </w:p>
        </w:tc>
      </w:tr>
      <w:tr>
        <w:trPr>
          <w:trHeight w:val="21"/>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(3,861,855)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(2,387,204)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(9,024,333)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(5,782,059)</w:t>
            </w:r>
          </w:p>
        </w:tc>
      </w:tr>
      <w:tr>
        <w:trPr>
          <w:trHeight w:val="216"/>
        </w:trPr>
        <w:tc>
          <w:tcPr>
            <w:tcW w:w="5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unrealized gain on short-term investments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5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(3,855,249)</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(2,387,204)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(9,017,727)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(5,782,059)</w:t>
            </w:r>
          </w:p>
        </w:tc>
      </w:tr>
      <w:tr>
        <w:trPr>
          <w:trHeight w:val="20"/>
        </w:trPr>
        <w:tc>
          <w:tcPr>
            <w:tcW w:w="5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7"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9"/>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4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3"/>
        </w:trPr>
        <w:tc>
          <w:tcPr>
            <w:tcW w:w="4580" w:type="dxa"/>
            <w:vAlign w:val="bottom"/>
          </w:tcPr>
          <w:p>
            <w:pPr>
              <w:spacing w:after="0"/>
              <w:rPr>
                <w:sz w:val="21"/>
                <w:szCs w:val="21"/>
                <w:color w:val="auto"/>
              </w:rPr>
            </w:pPr>
          </w:p>
        </w:tc>
        <w:tc>
          <w:tcPr>
            <w:tcW w:w="20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Common Stock</w:t>
            </w:r>
          </w:p>
        </w:tc>
        <w:tc>
          <w:tcPr>
            <w:tcW w:w="2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w w:val="96"/>
              </w:rPr>
              <w:t>ComprehensiveStockholders'</w:t>
            </w:r>
          </w:p>
        </w:tc>
      </w:tr>
      <w:tr>
        <w:trPr>
          <w:trHeight w:val="252"/>
        </w:trPr>
        <w:tc>
          <w:tcPr>
            <w:tcW w:w="4580" w:type="dxa"/>
            <w:vAlign w:val="bottom"/>
          </w:tcPr>
          <w:p>
            <w:pPr>
              <w:spacing w:after="0"/>
              <w:rPr>
                <w:sz w:val="21"/>
                <w:szCs w:val="21"/>
                <w:color w:val="auto"/>
              </w:rPr>
            </w:pP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22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20" w:type="dxa"/>
            <w:vAlign w:val="bottom"/>
            <w:gridSpan w:val="2"/>
          </w:tcPr>
          <w:p>
            <w:pPr>
              <w:spacing w:after="0"/>
              <w:rPr>
                <w:sz w:val="21"/>
                <w:szCs w:val="21"/>
                <w:color w:val="auto"/>
              </w:rPr>
            </w:pPr>
          </w:p>
        </w:tc>
      </w:tr>
      <w:tr>
        <w:trPr>
          <w:trHeight w:val="216"/>
        </w:trPr>
        <w:tc>
          <w:tcPr>
            <w:tcW w:w="45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 June 30, 2020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34,361,591</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$ 54,972,797</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$(17,892,302)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$ 37,083,931</w:t>
            </w:r>
          </w:p>
        </w:tc>
        <w:tc>
          <w:tcPr>
            <w:tcW w:w="100" w:type="dxa"/>
            <w:vAlign w:val="bottom"/>
            <w:tcBorders>
              <w:lef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58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color w:val="auto"/>
              </w:rPr>
              <w:t>Common shares issued upon exercise of warrants at $3.00</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share, net of issuance costs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295,029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4580" w:type="dxa"/>
            <w:vAlign w:val="bottom"/>
            <w:tcBorders>
              <w:right w:val="single" w:sz="8" w:color="CCEEFF"/>
            </w:tcBorders>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Common shares issued upon exercise of warrants at $5.00</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5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share, net of issuance costs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1,742,870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8,365,542</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8,365,716</w:t>
            </w:r>
          </w:p>
        </w:tc>
        <w:tc>
          <w:tcPr>
            <w:tcW w:w="100" w:type="dxa"/>
            <w:vAlign w:val="bottom"/>
            <w:tcBorders>
              <w:lef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458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color w:val="auto"/>
              </w:rPr>
              <w:t>Common shares issued upon exercise of warrants at $6.00</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share, net of issuance costs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3,847,432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3,847,500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4580" w:type="dxa"/>
            <w:vAlign w:val="bottom"/>
            <w:tcBorders>
              <w:right w:val="single" w:sz="8" w:color="CCEEFF"/>
            </w:tcBorders>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Common shares issued upon exercise of warrants at $6.50</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5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share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177,986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1,102,295</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1,102,313</w:t>
            </w:r>
          </w:p>
        </w:tc>
        <w:tc>
          <w:tcPr>
            <w:tcW w:w="100" w:type="dxa"/>
            <w:vAlign w:val="bottom"/>
            <w:tcBorders>
              <w:lef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shares issued upon exercise of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51,372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580" w:type="dxa"/>
            <w:vAlign w:val="bottom"/>
            <w:tcBorders>
              <w:right w:val="single" w:sz="8" w:color="CCEEFF"/>
            </w:tcBorders>
            <w:shd w:val="clear" w:color="auto" w:fill="CCEEFF"/>
          </w:tcPr>
          <w:p>
            <w:pPr>
              <w:ind w:left="260"/>
              <w:spacing w:after="0" w:line="201" w:lineRule="exact"/>
              <w:rPr>
                <w:sz w:val="20"/>
                <w:szCs w:val="20"/>
                <w:color w:val="auto"/>
              </w:rPr>
            </w:pPr>
            <w:r>
              <w:rPr>
                <w:rFonts w:ascii="Times New Roman" w:cs="Times New Roman" w:eastAsia="Times New Roman" w:hAnsi="Times New Roman"/>
                <w:sz w:val="18"/>
                <w:szCs w:val="18"/>
                <w:color w:val="auto"/>
              </w:rPr>
              <w:t>Common shares issued upon vesting of restricted stock</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5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546,451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unrealized gain on short-term investments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00" w:type="dxa"/>
            <w:vAlign w:val="bottom"/>
            <w:tcBorders>
              <w:lef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for the period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(3,861,855)</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(3,861,855)</w:t>
            </w:r>
          </w:p>
        </w:tc>
        <w:tc>
          <w:tcPr>
            <w:tcW w:w="20" w:type="dxa"/>
            <w:vAlign w:val="bottom"/>
          </w:tcPr>
          <w:p>
            <w:pPr>
              <w:spacing w:after="0"/>
              <w:rPr>
                <w:sz w:val="18"/>
                <w:szCs w:val="18"/>
                <w:color w:val="auto"/>
              </w:rPr>
            </w:pPr>
          </w:p>
        </w:tc>
      </w:tr>
      <w:tr>
        <w:trPr>
          <w:trHeight w:val="27"/>
        </w:trPr>
        <w:tc>
          <w:tcPr>
            <w:tcW w:w="45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5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37,109,317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69,180,916</w:t>
            </w:r>
          </w:p>
        </w:tc>
        <w:tc>
          <w:tcPr>
            <w:tcW w:w="22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(21,754,157)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 xml:space="preserve"> 47,437,076</w:t>
            </w:r>
          </w:p>
        </w:tc>
        <w:tc>
          <w:tcPr>
            <w:tcW w:w="100" w:type="dxa"/>
            <w:vAlign w:val="bottom"/>
            <w:tcBorders>
              <w:lef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4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76"/>
        </w:trPr>
        <w:tc>
          <w:tcPr>
            <w:tcW w:w="45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9"/>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4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3"/>
        </w:trPr>
        <w:tc>
          <w:tcPr>
            <w:tcW w:w="4580" w:type="dxa"/>
            <w:vAlign w:val="bottom"/>
          </w:tcPr>
          <w:p>
            <w:pPr>
              <w:spacing w:after="0"/>
              <w:rPr>
                <w:sz w:val="21"/>
                <w:szCs w:val="21"/>
                <w:color w:val="auto"/>
              </w:rPr>
            </w:pPr>
          </w:p>
        </w:tc>
        <w:tc>
          <w:tcPr>
            <w:tcW w:w="20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Common Stock</w:t>
            </w:r>
          </w:p>
        </w:tc>
        <w:tc>
          <w:tcPr>
            <w:tcW w:w="220" w:type="dxa"/>
            <w:vAlign w:val="bottom"/>
          </w:tcPr>
          <w:p>
            <w:pPr>
              <w:spacing w:after="0"/>
              <w:rPr>
                <w:sz w:val="21"/>
                <w:szCs w:val="21"/>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w w:val="96"/>
              </w:rPr>
              <w:t>ComprehensiveStockholders'</w:t>
            </w:r>
          </w:p>
        </w:tc>
      </w:tr>
      <w:tr>
        <w:trPr>
          <w:trHeight w:val="252"/>
        </w:trPr>
        <w:tc>
          <w:tcPr>
            <w:tcW w:w="4580" w:type="dxa"/>
            <w:vAlign w:val="bottom"/>
          </w:tcPr>
          <w:p>
            <w:pPr>
              <w:spacing w:after="0"/>
              <w:rPr>
                <w:sz w:val="21"/>
                <w:szCs w:val="21"/>
                <w:color w:val="auto"/>
              </w:rPr>
            </w:pP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22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20" w:type="dxa"/>
            <w:vAlign w:val="bottom"/>
            <w:gridSpan w:val="2"/>
          </w:tcPr>
          <w:p>
            <w:pPr>
              <w:spacing w:after="0"/>
              <w:rPr>
                <w:sz w:val="21"/>
                <w:szCs w:val="21"/>
                <w:color w:val="auto"/>
              </w:rPr>
            </w:pPr>
          </w:p>
        </w:tc>
      </w:tr>
      <w:tr>
        <w:trPr>
          <w:trHeight w:val="216"/>
        </w:trPr>
        <w:tc>
          <w:tcPr>
            <w:tcW w:w="45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29,829,916</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$ 31,922,493</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$(12,729,824)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$ 19,195,652</w:t>
            </w:r>
          </w:p>
        </w:tc>
        <w:tc>
          <w:tcPr>
            <w:tcW w:w="100" w:type="dxa"/>
            <w:vAlign w:val="bottom"/>
            <w:tcBorders>
              <w:lef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58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color w:val="auto"/>
              </w:rPr>
              <w:t>Sale of Common Stock and warrants at $6.00 per share in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offering, net of issuance costs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2,066,667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11,666,999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11,667,206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4580" w:type="dxa"/>
            <w:vAlign w:val="bottom"/>
            <w:tcBorders>
              <w:right w:val="single" w:sz="8" w:color="CCEEFF"/>
            </w:tcBorders>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Common shares issued upon exercise of warrants at $3.00</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5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share, net of issuance costs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253,125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735,002</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735,027</w:t>
            </w:r>
          </w:p>
        </w:tc>
        <w:tc>
          <w:tcPr>
            <w:tcW w:w="100" w:type="dxa"/>
            <w:vAlign w:val="bottom"/>
            <w:tcBorders>
              <w:lef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458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color w:val="auto"/>
              </w:rPr>
              <w:t>Common shares issued upon exercise of warrants at $5.00</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share, net of issuance costs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3,593,873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17,233,805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17,234,164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4580" w:type="dxa"/>
            <w:vAlign w:val="bottom"/>
            <w:tcBorders>
              <w:right w:val="single" w:sz="8" w:color="CCEEFF"/>
            </w:tcBorders>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Common shares issued upon exercise of warrants at $6.00</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5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share, net of issuance costs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3,847,432</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3,847,500</w:t>
            </w:r>
          </w:p>
        </w:tc>
        <w:tc>
          <w:tcPr>
            <w:tcW w:w="100" w:type="dxa"/>
            <w:vAlign w:val="bottom"/>
            <w:tcBorders>
              <w:lef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458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color w:val="auto"/>
              </w:rPr>
              <w:t>Common shares issued upon exercise of warrants at $6.50</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1,646,292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1,646,318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45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shares issued upon exercise of stock options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566,217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566,250</w:t>
            </w:r>
          </w:p>
        </w:tc>
        <w:tc>
          <w:tcPr>
            <w:tcW w:w="100" w:type="dxa"/>
            <w:vAlign w:val="bottom"/>
            <w:tcBorders>
              <w:lef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58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Common shares issued upon vesting of restricted stock</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101,557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45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1,562,686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1,562,686</w:t>
            </w:r>
          </w:p>
        </w:tc>
        <w:tc>
          <w:tcPr>
            <w:tcW w:w="100" w:type="dxa"/>
            <w:vAlign w:val="bottom"/>
            <w:tcBorders>
              <w:lef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gain on short-term investments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for the period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(9,024,333)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(9,024,333)</w:t>
            </w:r>
          </w:p>
        </w:tc>
        <w:tc>
          <w:tcPr>
            <w:tcW w:w="20" w:type="dxa"/>
            <w:vAlign w:val="bottom"/>
          </w:tcPr>
          <w:p>
            <w:pPr>
              <w:spacing w:after="0"/>
              <w:rPr>
                <w:sz w:val="18"/>
                <w:szCs w:val="18"/>
                <w:color w:val="auto"/>
              </w:rPr>
            </w:pPr>
          </w:p>
        </w:tc>
      </w:tr>
      <w:tr>
        <w:trPr>
          <w:trHeight w:val="27"/>
        </w:trPr>
        <w:tc>
          <w:tcPr>
            <w:tcW w:w="458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37,109,317</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69,180,916</w:t>
            </w:r>
          </w:p>
        </w:tc>
        <w:tc>
          <w:tcPr>
            <w:tcW w:w="2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(21,754,157)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 xml:space="preserve"> 47,437,076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02"/>
        </w:trPr>
        <w:tc>
          <w:tcPr>
            <w:tcW w:w="4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5"/>
              </w:rPr>
              <w:t>-3-</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320" w:top="501" w:right="31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Three Months Ended September 30, 2019</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4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3"/>
        </w:trPr>
        <w:tc>
          <w:tcPr>
            <w:tcW w:w="4580" w:type="dxa"/>
            <w:vAlign w:val="bottom"/>
          </w:tcPr>
          <w:p>
            <w:pPr>
              <w:spacing w:after="0"/>
              <w:rPr>
                <w:sz w:val="21"/>
                <w:szCs w:val="21"/>
                <w:color w:val="auto"/>
              </w:rPr>
            </w:pPr>
          </w:p>
        </w:tc>
        <w:tc>
          <w:tcPr>
            <w:tcW w:w="2020" w:type="dxa"/>
            <w:vAlign w:val="bottom"/>
            <w:gridSpan w:val="4"/>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2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6"/>
              </w:rPr>
              <w:t>ComprehensiveStockholders'</w:t>
            </w:r>
          </w:p>
        </w:tc>
      </w:tr>
      <w:tr>
        <w:trPr>
          <w:trHeight w:val="252"/>
        </w:trPr>
        <w:tc>
          <w:tcPr>
            <w:tcW w:w="4580" w:type="dxa"/>
            <w:vAlign w:val="bottom"/>
          </w:tcPr>
          <w:p>
            <w:pPr>
              <w:spacing w:after="0"/>
              <w:rPr>
                <w:sz w:val="21"/>
                <w:szCs w:val="21"/>
                <w:color w:val="auto"/>
              </w:rPr>
            </w:pP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1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 w:type="dxa"/>
            <w:vAlign w:val="bottom"/>
          </w:tcPr>
          <w:p>
            <w:pPr>
              <w:spacing w:after="0"/>
              <w:rPr>
                <w:sz w:val="21"/>
                <w:szCs w:val="21"/>
                <w:color w:val="auto"/>
              </w:rPr>
            </w:pPr>
          </w:p>
        </w:tc>
      </w:tr>
      <w:tr>
        <w:trPr>
          <w:trHeight w:val="216"/>
        </w:trPr>
        <w:tc>
          <w:tcPr>
            <w:tcW w:w="45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 June 30, 2019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29,640,250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$ 30,324,798</w:t>
            </w:r>
          </w:p>
        </w:tc>
        <w:tc>
          <w:tcPr>
            <w:tcW w:w="13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(7,799,191)</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3"/>
              </w:rPr>
              <w:t>$ 22,528,571</w:t>
            </w:r>
          </w:p>
        </w:tc>
        <w:tc>
          <w:tcPr>
            <w:tcW w:w="20" w:type="dxa"/>
            <w:vAlign w:val="bottom"/>
          </w:tcPr>
          <w:p>
            <w:pPr>
              <w:spacing w:after="0"/>
              <w:rPr>
                <w:sz w:val="18"/>
                <w:szCs w:val="18"/>
                <w:color w:val="auto"/>
              </w:rPr>
            </w:pPr>
          </w:p>
        </w:tc>
      </w:tr>
      <w:tr>
        <w:trPr>
          <w:trHeight w:val="202"/>
        </w:trPr>
        <w:tc>
          <w:tcPr>
            <w:tcW w:w="458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color w:val="auto"/>
              </w:rPr>
              <w:t>Common shares issued upon exercise of warrants at $3.00</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74,998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75,000</w:t>
            </w:r>
          </w:p>
        </w:tc>
        <w:tc>
          <w:tcPr>
            <w:tcW w:w="20" w:type="dxa"/>
            <w:vAlign w:val="bottom"/>
          </w:tcPr>
          <w:p>
            <w:pPr>
              <w:spacing w:after="0"/>
              <w:rPr>
                <w:sz w:val="19"/>
                <w:szCs w:val="19"/>
                <w:color w:val="auto"/>
              </w:rPr>
            </w:pPr>
          </w:p>
        </w:tc>
      </w:tr>
      <w:tr>
        <w:trPr>
          <w:trHeight w:val="217"/>
        </w:trPr>
        <w:tc>
          <w:tcPr>
            <w:tcW w:w="45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shares issued upon exercise of stock options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5,625</w:t>
            </w:r>
          </w:p>
        </w:tc>
        <w:tc>
          <w:tcPr>
            <w:tcW w:w="20" w:type="dxa"/>
            <w:vAlign w:val="bottom"/>
          </w:tcPr>
          <w:p>
            <w:pPr>
              <w:spacing w:after="0"/>
              <w:rPr>
                <w:sz w:val="18"/>
                <w:szCs w:val="18"/>
                <w:color w:val="auto"/>
              </w:rPr>
            </w:pPr>
          </w:p>
        </w:tc>
      </w:tr>
      <w:tr>
        <w:trPr>
          <w:trHeight w:val="242"/>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473,657</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473,657</w:t>
            </w:r>
          </w:p>
        </w:tc>
        <w:tc>
          <w:tcPr>
            <w:tcW w:w="20" w:type="dxa"/>
            <w:vAlign w:val="bottom"/>
          </w:tcPr>
          <w:p>
            <w:pPr>
              <w:spacing w:after="0"/>
              <w:rPr>
                <w:sz w:val="21"/>
                <w:szCs w:val="21"/>
                <w:color w:val="auto"/>
              </w:rPr>
            </w:pPr>
          </w:p>
        </w:tc>
      </w:tr>
      <w:tr>
        <w:trPr>
          <w:trHeight w:val="217"/>
        </w:trPr>
        <w:tc>
          <w:tcPr>
            <w:tcW w:w="45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for the period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(2,387,204)</w:t>
            </w:r>
          </w:p>
        </w:tc>
        <w:tc>
          <w:tcPr>
            <w:tcW w:w="7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(2,387,204)</w:t>
            </w:r>
          </w:p>
        </w:tc>
        <w:tc>
          <w:tcPr>
            <w:tcW w:w="20" w:type="dxa"/>
            <w:vAlign w:val="bottom"/>
          </w:tcPr>
          <w:p>
            <w:pPr>
              <w:spacing w:after="0"/>
              <w:rPr>
                <w:sz w:val="18"/>
                <w:szCs w:val="18"/>
                <w:color w:val="auto"/>
              </w:rPr>
            </w:pPr>
          </w:p>
        </w:tc>
      </w:tr>
      <w:tr>
        <w:trPr>
          <w:trHeight w:val="27"/>
        </w:trPr>
        <w:tc>
          <w:tcPr>
            <w:tcW w:w="458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29,669,000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30,879,077</w:t>
            </w:r>
          </w:p>
        </w:tc>
        <w:tc>
          <w:tcPr>
            <w:tcW w:w="1340" w:type="dxa"/>
            <w:vAlign w:val="bottom"/>
            <w:gridSpan w:val="3"/>
          </w:tcPr>
          <w:p>
            <w:pPr>
              <w:ind w:lef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(10,186,395)</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 xml:space="preserve"> 20,695,649</w:t>
            </w:r>
          </w:p>
        </w:tc>
        <w:tc>
          <w:tcPr>
            <w:tcW w:w="2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76"/>
        </w:trPr>
        <w:tc>
          <w:tcPr>
            <w:tcW w:w="45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Nine Months Ended September 30, 2019</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4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3"/>
        </w:trPr>
        <w:tc>
          <w:tcPr>
            <w:tcW w:w="4580" w:type="dxa"/>
            <w:vAlign w:val="bottom"/>
          </w:tcPr>
          <w:p>
            <w:pPr>
              <w:spacing w:after="0"/>
              <w:rPr>
                <w:sz w:val="21"/>
                <w:szCs w:val="21"/>
                <w:color w:val="auto"/>
              </w:rPr>
            </w:pPr>
          </w:p>
        </w:tc>
        <w:tc>
          <w:tcPr>
            <w:tcW w:w="2020" w:type="dxa"/>
            <w:vAlign w:val="bottom"/>
            <w:gridSpan w:val="4"/>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2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2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6"/>
              </w:rPr>
              <w:t>ComprehensiveStockholders'</w:t>
            </w:r>
          </w:p>
        </w:tc>
      </w:tr>
      <w:tr>
        <w:trPr>
          <w:trHeight w:val="252"/>
        </w:trPr>
        <w:tc>
          <w:tcPr>
            <w:tcW w:w="4580" w:type="dxa"/>
            <w:vAlign w:val="bottom"/>
          </w:tcPr>
          <w:p>
            <w:pPr>
              <w:spacing w:after="0"/>
              <w:rPr>
                <w:sz w:val="21"/>
                <w:szCs w:val="21"/>
                <w:color w:val="auto"/>
              </w:rPr>
            </w:pP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20" w:type="dxa"/>
            <w:vAlign w:val="bottom"/>
          </w:tcPr>
          <w:p>
            <w:pPr>
              <w:spacing w:after="0"/>
              <w:rPr>
                <w:sz w:val="21"/>
                <w:szCs w:val="21"/>
                <w:color w:val="auto"/>
              </w:rPr>
            </w:pPr>
          </w:p>
        </w:tc>
        <w:tc>
          <w:tcPr>
            <w:tcW w:w="9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1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 w:type="dxa"/>
            <w:vAlign w:val="bottom"/>
          </w:tcPr>
          <w:p>
            <w:pPr>
              <w:spacing w:after="0"/>
              <w:rPr>
                <w:sz w:val="21"/>
                <w:szCs w:val="21"/>
                <w:color w:val="auto"/>
              </w:rPr>
            </w:pPr>
          </w:p>
        </w:tc>
      </w:tr>
      <w:tr>
        <w:trPr>
          <w:trHeight w:val="216"/>
        </w:trPr>
        <w:tc>
          <w:tcPr>
            <w:tcW w:w="45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27,364,607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$ 16,791,254</w:t>
            </w:r>
          </w:p>
        </w:tc>
        <w:tc>
          <w:tcPr>
            <w:tcW w:w="13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(4,404,336)</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3"/>
              </w:rPr>
              <w:t>$ 12,389,654</w:t>
            </w:r>
          </w:p>
        </w:tc>
        <w:tc>
          <w:tcPr>
            <w:tcW w:w="20" w:type="dxa"/>
            <w:vAlign w:val="bottom"/>
          </w:tcPr>
          <w:p>
            <w:pPr>
              <w:spacing w:after="0"/>
              <w:rPr>
                <w:sz w:val="18"/>
                <w:szCs w:val="18"/>
                <w:color w:val="auto"/>
              </w:rPr>
            </w:pPr>
          </w:p>
        </w:tc>
      </w:tr>
      <w:tr>
        <w:trPr>
          <w:trHeight w:val="202"/>
        </w:trPr>
        <w:tc>
          <w:tcPr>
            <w:tcW w:w="45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Sale of Common Stock and warrants at $6.50 per share and</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placement agent warrants in public offering, net of issuance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1,923,076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11,351,022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11,351,214</w:t>
            </w:r>
          </w:p>
        </w:tc>
        <w:tc>
          <w:tcPr>
            <w:tcW w:w="20" w:type="dxa"/>
            <w:vAlign w:val="bottom"/>
          </w:tcPr>
          <w:p>
            <w:pPr>
              <w:spacing w:after="0"/>
              <w:rPr>
                <w:sz w:val="19"/>
                <w:szCs w:val="19"/>
                <w:color w:val="auto"/>
              </w:rPr>
            </w:pPr>
          </w:p>
        </w:tc>
      </w:tr>
      <w:tr>
        <w:trPr>
          <w:trHeight w:val="203"/>
        </w:trPr>
        <w:tc>
          <w:tcPr>
            <w:tcW w:w="4580" w:type="dxa"/>
            <w:vAlign w:val="bottom"/>
            <w:tcBorders>
              <w:right w:val="single" w:sz="8" w:color="CCEEFF"/>
            </w:tcBorders>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Common shares issued upon exercise of warrants at $3.00</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58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 share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261,441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261,450</w:t>
            </w:r>
          </w:p>
        </w:tc>
        <w:tc>
          <w:tcPr>
            <w:tcW w:w="20" w:type="dxa"/>
            <w:vAlign w:val="bottom"/>
          </w:tcPr>
          <w:p>
            <w:pPr>
              <w:spacing w:after="0"/>
              <w:rPr>
                <w:sz w:val="20"/>
                <w:szCs w:val="20"/>
                <w:color w:val="auto"/>
              </w:rPr>
            </w:pPr>
          </w:p>
        </w:tc>
      </w:tr>
      <w:tr>
        <w:trPr>
          <w:trHeight w:val="202"/>
        </w:trPr>
        <w:tc>
          <w:tcPr>
            <w:tcW w:w="458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color w:val="auto"/>
              </w:rPr>
              <w:t>Common shares issued upon exercise of warrants at $5.00</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share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1,370,807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1,370,835</w:t>
            </w:r>
          </w:p>
        </w:tc>
        <w:tc>
          <w:tcPr>
            <w:tcW w:w="20" w:type="dxa"/>
            <w:vAlign w:val="bottom"/>
          </w:tcPr>
          <w:p>
            <w:pPr>
              <w:spacing w:after="0"/>
              <w:rPr>
                <w:sz w:val="19"/>
                <w:szCs w:val="19"/>
                <w:color w:val="auto"/>
              </w:rPr>
            </w:pPr>
          </w:p>
        </w:tc>
      </w:tr>
      <w:tr>
        <w:trPr>
          <w:trHeight w:val="217"/>
        </w:trPr>
        <w:tc>
          <w:tcPr>
            <w:tcW w:w="45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shares issued upon exercise of stock options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30,000</w:t>
            </w:r>
          </w:p>
        </w:tc>
        <w:tc>
          <w:tcPr>
            <w:tcW w:w="20" w:type="dxa"/>
            <w:vAlign w:val="bottom"/>
          </w:tcPr>
          <w:p>
            <w:pPr>
              <w:spacing w:after="0"/>
              <w:rPr>
                <w:sz w:val="18"/>
                <w:szCs w:val="18"/>
                <w:color w:val="auto"/>
              </w:rPr>
            </w:pPr>
          </w:p>
        </w:tc>
      </w:tr>
      <w:tr>
        <w:trPr>
          <w:trHeight w:val="242"/>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1,074,555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1,074,555</w:t>
            </w:r>
          </w:p>
        </w:tc>
        <w:tc>
          <w:tcPr>
            <w:tcW w:w="20" w:type="dxa"/>
            <w:vAlign w:val="bottom"/>
          </w:tcPr>
          <w:p>
            <w:pPr>
              <w:spacing w:after="0"/>
              <w:rPr>
                <w:sz w:val="21"/>
                <w:szCs w:val="21"/>
                <w:color w:val="auto"/>
              </w:rPr>
            </w:pPr>
          </w:p>
        </w:tc>
      </w:tr>
      <w:tr>
        <w:trPr>
          <w:trHeight w:val="217"/>
        </w:trPr>
        <w:tc>
          <w:tcPr>
            <w:tcW w:w="458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for the period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(5,782,059)</w:t>
            </w:r>
          </w:p>
        </w:tc>
        <w:tc>
          <w:tcPr>
            <w:tcW w:w="7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(5,782,059)</w:t>
            </w:r>
          </w:p>
        </w:tc>
        <w:tc>
          <w:tcPr>
            <w:tcW w:w="20" w:type="dxa"/>
            <w:vAlign w:val="bottom"/>
          </w:tcPr>
          <w:p>
            <w:pPr>
              <w:spacing w:after="0"/>
              <w:rPr>
                <w:sz w:val="18"/>
                <w:szCs w:val="18"/>
                <w:color w:val="auto"/>
              </w:rPr>
            </w:pPr>
          </w:p>
        </w:tc>
      </w:tr>
      <w:tr>
        <w:trPr>
          <w:trHeight w:val="27"/>
        </w:trPr>
        <w:tc>
          <w:tcPr>
            <w:tcW w:w="458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 September 30, 2019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29,669,000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30,879,077</w:t>
            </w:r>
          </w:p>
        </w:tc>
        <w:tc>
          <w:tcPr>
            <w:tcW w:w="1340" w:type="dxa"/>
            <w:vAlign w:val="bottom"/>
            <w:gridSpan w:val="3"/>
          </w:tcPr>
          <w:p>
            <w:pPr>
              <w:ind w:lef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(10,186,395)</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 xml:space="preserve"> 20,695,649</w:t>
            </w:r>
          </w:p>
        </w:tc>
        <w:tc>
          <w:tcPr>
            <w:tcW w:w="2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528"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Wrap Technologies,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43"/>
        </w:trPr>
        <w:tc>
          <w:tcPr>
            <w:tcW w:w="69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52"/>
        </w:trPr>
        <w:tc>
          <w:tcPr>
            <w:tcW w:w="69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r>
      <w:tr>
        <w:trPr>
          <w:trHeight w:val="242"/>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(9,024,333)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(5,782,059)</w:t>
            </w:r>
          </w:p>
        </w:tc>
      </w:tr>
      <w:tr>
        <w:trPr>
          <w:trHeight w:val="242"/>
        </w:trPr>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 to reconcile net loss to net cash</w:t>
            </w:r>
          </w:p>
        </w:tc>
        <w:tc>
          <w:tcPr>
            <w:tcW w:w="1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20,949</w:t>
            </w:r>
          </w:p>
        </w:tc>
      </w:tr>
      <w:tr>
        <w:trPr>
          <w:trHeight w:val="216"/>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Warranty provision</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10,776</w:t>
            </w: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obsolescence</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(130,591)</w:t>
            </w:r>
          </w:p>
        </w:tc>
      </w:tr>
      <w:tr>
        <w:trPr>
          <w:trHeight w:val="216"/>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50,957</w:t>
            </w: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1,562,686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1,074,555</w:t>
            </w:r>
          </w:p>
        </w:tc>
      </w:tr>
      <w:tr>
        <w:trPr>
          <w:trHeight w:val="216"/>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(984,915)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(91,109)</w:t>
            </w:r>
          </w:p>
        </w:tc>
      </w:tr>
      <w:tr>
        <w:trPr>
          <w:trHeight w:val="216"/>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(1,685,059)</w:t>
            </w:r>
          </w:p>
        </w:tc>
      </w:tr>
      <w:tr>
        <w:trPr>
          <w:trHeight w:val="216"/>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29,705</w:t>
            </w:r>
          </w:p>
        </w:tc>
      </w:tr>
      <w:tr>
        <w:trPr>
          <w:trHeight w:val="216"/>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508,457</w:t>
            </w:r>
          </w:p>
        </w:tc>
      </w:tr>
      <w:tr>
        <w:trPr>
          <w:trHeight w:val="216"/>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(94,962)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(34,035)</w:t>
            </w:r>
          </w:p>
        </w:tc>
      </w:tr>
      <w:tr>
        <w:trPr>
          <w:trHeight w:val="216"/>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deposits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(215,581)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238,510</w:t>
            </w:r>
          </w:p>
        </w:tc>
      </w:tr>
      <w:tr>
        <w:trPr>
          <w:trHeight w:val="216"/>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76,669</w:t>
            </w:r>
          </w:p>
        </w:tc>
      </w:tr>
      <w:tr>
        <w:trPr>
          <w:trHeight w:val="216"/>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(96,000)</w:t>
            </w:r>
          </w:p>
        </w:tc>
      </w:tr>
      <w:tr>
        <w:trPr>
          <w:trHeight w:val="216"/>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Warranty settlement</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2,288</w:t>
            </w:r>
          </w:p>
        </w:tc>
      </w:tr>
      <w:tr>
        <w:trPr>
          <w:trHeight w:val="27"/>
        </w:trPr>
        <w:tc>
          <w:tcPr>
            <w:tcW w:w="69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(7,693,290)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(5,805,987)</w:t>
            </w:r>
          </w:p>
        </w:tc>
      </w:tr>
      <w:tr>
        <w:trPr>
          <w:trHeight w:val="216"/>
        </w:trPr>
        <w:tc>
          <w:tcPr>
            <w:tcW w:w="69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43"/>
        </w:trPr>
        <w:tc>
          <w:tcPr>
            <w:tcW w:w="6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(24,979,511)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for property and equipment</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(197,873)</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patents and trademarks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(101,266)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(95,536)</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deposits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(11,169)</w:t>
            </w:r>
          </w:p>
        </w:tc>
      </w:tr>
      <w:tr>
        <w:trPr>
          <w:trHeight w:val="27"/>
        </w:trPr>
        <w:tc>
          <w:tcPr>
            <w:tcW w:w="69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(25,283,209)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(304,578)</w:t>
            </w:r>
          </w:p>
        </w:tc>
      </w:tr>
      <w:tr>
        <w:trPr>
          <w:trHeight w:val="216"/>
        </w:trPr>
        <w:tc>
          <w:tcPr>
            <w:tcW w:w="69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42"/>
        </w:trPr>
        <w:tc>
          <w:tcPr>
            <w:tcW w:w="69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Common Stock and warrants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12,499,994</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paid on sale of Common Stock and warrants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(732,796)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(1,148,780)</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24,479,654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1,632,285</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paid on exercise of warrants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(1,016,645)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bank note</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36,110,827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13,013,499</w:t>
            </w:r>
          </w:p>
        </w:tc>
      </w:tr>
      <w:tr>
        <w:trPr>
          <w:trHeight w:val="216"/>
        </w:trPr>
        <w:tc>
          <w:tcPr>
            <w:tcW w:w="69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3,134,328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6,902,934</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16,983,864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12,358,896</w:t>
            </w:r>
          </w:p>
        </w:tc>
      </w:tr>
      <w:tr>
        <w:trPr>
          <w:trHeight w:val="27"/>
        </w:trPr>
        <w:tc>
          <w:tcPr>
            <w:tcW w:w="69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7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20,118,192</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19,261,830</w:t>
            </w:r>
          </w:p>
        </w:tc>
      </w:tr>
      <w:tr>
        <w:trPr>
          <w:trHeight w:val="209"/>
        </w:trPr>
        <w:tc>
          <w:tcPr>
            <w:tcW w:w="69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43"/>
        </w:trPr>
        <w:tc>
          <w:tcPr>
            <w:tcW w:w="6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w:t>
            </w:r>
          </w:p>
        </w:tc>
        <w:tc>
          <w:tcPr>
            <w:tcW w:w="1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 Financing Activities: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 on short-term investments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and liabilites recorded during period</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341,000</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 relating to warrants issued to public offering selling agent</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205,894</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7" w:name="page8"/>
    <w:bookmarkEnd w:id="7"/>
    <w:p>
      <w:pPr>
        <w:jc w:val="center"/>
        <w:ind w:right="-11"/>
        <w:spacing w:after="0"/>
        <w:rPr>
          <w:sz w:val="20"/>
          <w:szCs w:val="20"/>
          <w:color w:val="auto"/>
        </w:rPr>
      </w:pPr>
      <w:r>
        <w:rPr>
          <w:rFonts w:ascii="Times New Roman" w:cs="Times New Roman" w:eastAsia="Times New Roman" w:hAnsi="Times New Roman"/>
          <w:sz w:val="18"/>
          <w:szCs w:val="18"/>
          <w:color w:val="auto"/>
        </w:rPr>
        <w:t>Wrap Technologies, Inc.</w:t>
      </w:r>
    </w:p>
    <w:p>
      <w:pPr>
        <w:spacing w:after="0" w:line="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Notes to Unaudited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92" w:hanging="792"/>
        <w:spacing w:after="0"/>
        <w:tabs>
          <w:tab w:leader="none" w:pos="792"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SUMMARY OF SIGNIFICANT ACCOUNTING POLICIES</w:t>
      </w:r>
    </w:p>
    <w:p>
      <w:pPr>
        <w:spacing w:after="0" w:line="227"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u w:val="single" w:color="auto"/>
          <w:color w:val="auto"/>
        </w:rPr>
        <w:t>Organization and Business Description</w:t>
      </w:r>
    </w:p>
    <w:p>
      <w:pPr>
        <w:spacing w:after="0" w:line="223" w:lineRule="exact"/>
        <w:rPr>
          <w:sz w:val="20"/>
          <w:szCs w:val="20"/>
          <w:color w:val="auto"/>
        </w:rPr>
      </w:pPr>
    </w:p>
    <w:p>
      <w:pPr>
        <w:jc w:val="both"/>
        <w:ind w:left="172"/>
        <w:spacing w:after="0" w:line="257" w:lineRule="auto"/>
        <w:rPr>
          <w:sz w:val="20"/>
          <w:szCs w:val="20"/>
          <w:color w:val="auto"/>
        </w:rPr>
      </w:pPr>
      <w:r>
        <w:rPr>
          <w:rFonts w:ascii="Times New Roman" w:cs="Times New Roman" w:eastAsia="Times New Roman" w:hAnsi="Times New Roman"/>
          <w:sz w:val="18"/>
          <w:szCs w:val="18"/>
          <w:color w:val="auto"/>
        </w:rPr>
        <w:t>Wrap Technologies,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is a publicly traded company with our Common Stock, par value $0.0001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listed on the Nasdaq Capital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under the trading symbol “WRTC”. The Company is a developer of security products designed for use by law enforcement and security personnel. The Company’s first product is the BolaWrap® 100 remote restraint device that discharges an eight-foot bola style Kevlar® tether to entangle a subject at a range of 10-25 feet. The principal markets for the Company’s proprietary products are in North and South America, Europe, Middle East and Asia.</w:t>
      </w:r>
    </w:p>
    <w:p>
      <w:pPr>
        <w:spacing w:after="0" w:line="190"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u w:val="single" w:color="auto"/>
          <w:color w:val="auto"/>
        </w:rPr>
        <w:t>Basis of Presentation and Use of Estimates</w:t>
      </w:r>
    </w:p>
    <w:p>
      <w:pPr>
        <w:spacing w:after="0" w:line="225" w:lineRule="exact"/>
        <w:rPr>
          <w:sz w:val="20"/>
          <w:szCs w:val="20"/>
          <w:color w:val="auto"/>
        </w:rPr>
      </w:pPr>
    </w:p>
    <w:p>
      <w:pPr>
        <w:jc w:val="both"/>
        <w:ind w:left="172"/>
        <w:spacing w:after="0" w:line="288" w:lineRule="auto"/>
        <w:rPr>
          <w:sz w:val="20"/>
          <w:szCs w:val="20"/>
          <w:color w:val="auto"/>
        </w:rPr>
      </w:pPr>
      <w:r>
        <w:rPr>
          <w:rFonts w:ascii="Times New Roman" w:cs="Times New Roman" w:eastAsia="Times New Roman" w:hAnsi="Times New Roman"/>
          <w:sz w:val="16"/>
          <w:szCs w:val="16"/>
          <w:color w:val="auto"/>
        </w:rPr>
        <w:t>The Company’s unaudited interim financial statements and related notes included herein have been prepared in accordance with accounting principles generally accepted in the United States of America (“</w:t>
      </w:r>
      <w:r>
        <w:rPr>
          <w:rFonts w:ascii="Times New Roman" w:cs="Times New Roman" w:eastAsia="Times New Roman" w:hAnsi="Times New Roman"/>
          <w:sz w:val="16"/>
          <w:szCs w:val="16"/>
          <w:i w:val="1"/>
          <w:iCs w:val="1"/>
          <w:color w:val="auto"/>
        </w:rPr>
        <w:t>US GAAP</w:t>
      </w:r>
      <w:r>
        <w:rPr>
          <w:rFonts w:ascii="Times New Roman" w:cs="Times New Roman" w:eastAsia="Times New Roman" w:hAnsi="Times New Roman"/>
          <w:sz w:val="16"/>
          <w:szCs w:val="16"/>
          <w:color w:val="auto"/>
        </w:rPr>
        <w:t>”) for interim financial information and in accordance with Article 8 of Regulation S-X and the rules and regulations of the Securities and Exchange Commission (“</w:t>
      </w:r>
      <w:r>
        <w:rPr>
          <w:rFonts w:ascii="Times New Roman" w:cs="Times New Roman" w:eastAsia="Times New Roman" w:hAnsi="Times New Roman"/>
          <w:sz w:val="16"/>
          <w:szCs w:val="16"/>
          <w:i w:val="1"/>
          <w:iCs w:val="1"/>
          <w:color w:val="auto"/>
        </w:rPr>
        <w:t>SEC</w:t>
      </w:r>
      <w:r>
        <w:rPr>
          <w:rFonts w:ascii="Times New Roman" w:cs="Times New Roman" w:eastAsia="Times New Roman" w:hAnsi="Times New Roman"/>
          <w:sz w:val="16"/>
          <w:szCs w:val="16"/>
          <w:color w:val="auto"/>
        </w:rPr>
        <w:t>”). The condensed balance sheet at December 31, 2019 was derived from audited financial statements but certain information and footnote disclosures normally included in financial statements prepared in accordance with US GAAP have been condensed or omitted pursuant to such rules and regulations. In management’s opinion, the accompanying statements reflect adjustments necessary to present fairly the financial position, results of operations, and cash flows for the periods indicated, and contain adequate disclosure to make the information presented not misleading. Adjustments included herein are of a normal, recurring nature unless otherwise disclosed in the footnotes. The interim financial statements and notes thereto should be read in conjunction with the Company’s audited financial statements and notes thereto for the year ended December 31, 2019. Results of operations for interim periods are not necessarily indicative of the results of operations for a full year.</w:t>
      </w:r>
    </w:p>
    <w:p>
      <w:pPr>
        <w:spacing w:after="0" w:line="173" w:lineRule="exact"/>
        <w:rPr>
          <w:sz w:val="20"/>
          <w:szCs w:val="20"/>
          <w:color w:val="auto"/>
        </w:rPr>
      </w:pPr>
    </w:p>
    <w:p>
      <w:pPr>
        <w:jc w:val="both"/>
        <w:ind w:left="172"/>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(e.g., stock-based compensation valuation, allowance for doubtful accounts, valuation of inventory and intangible assets, warranty reserve, accrued costs and recognition and measurement of contingencies) that affect the reported amounts of assets and liabilities, and disclosure of contingent assets and liabilities at the date of the financial statements and affect the reported amounts of revenues and expenses during the reporting period. Actual results could materially differ from those estimates.</w:t>
      </w:r>
    </w:p>
    <w:p>
      <w:pPr>
        <w:spacing w:after="0" w:line="192"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color w:val="auto"/>
        </w:rPr>
        <w:t>Where necessary, the prior year’s information has been reclassified to conform to the current year presentation.</w:t>
      </w:r>
    </w:p>
    <w:p>
      <w:pPr>
        <w:spacing w:after="0" w:line="225"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8"/>
          <w:szCs w:val="18"/>
          <w:u w:val="single" w:color="auto"/>
          <w:color w:val="auto"/>
        </w:rPr>
        <w:t>Concentrations of Risk and Uncertainties</w:t>
      </w:r>
    </w:p>
    <w:p>
      <w:pPr>
        <w:spacing w:after="0" w:line="223" w:lineRule="exact"/>
        <w:rPr>
          <w:sz w:val="20"/>
          <w:szCs w:val="20"/>
          <w:color w:val="auto"/>
        </w:rPr>
      </w:pPr>
    </w:p>
    <w:p>
      <w:pPr>
        <w:jc w:val="both"/>
        <w:ind w:left="17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Risk </w:t>
      </w:r>
      <w:r>
        <w:rPr>
          <w:rFonts w:ascii="Times New Roman" w:cs="Times New Roman" w:eastAsia="Times New Roman" w:hAnsi="Times New Roman"/>
          <w:sz w:val="18"/>
          <w:szCs w:val="18"/>
          <w:color w:val="auto"/>
        </w:rPr>
        <w:t>– Financial instruments that potentially subject the Company to concentration of credit risk consisted primarily of cash and cash equivalents,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bills and accounts receivable from customers. The Company maintains its cash and cash equivalent deposits at two domestic financial institutions. The Company is exposed to credit risk in the event of default by a financial institution to the extent that cash and cash equivalents are in excess of the amount insured by the Federal Deposit Insurance Corporation. The Company places its cash and cash equivalents with high-credit quality financial institutions. To date, the Company has not experienced any losses on its cash and cash equivalents.</w:t>
      </w:r>
    </w:p>
    <w:p>
      <w:pPr>
        <w:spacing w:after="0" w:line="188" w:lineRule="exact"/>
        <w:rPr>
          <w:sz w:val="20"/>
          <w:szCs w:val="20"/>
          <w:color w:val="auto"/>
        </w:rPr>
      </w:pPr>
    </w:p>
    <w:p>
      <w:pPr>
        <w:jc w:val="both"/>
        <w:ind w:left="172"/>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Concentrations of Accounts Receivable and Revenue </w:t>
      </w:r>
      <w:r>
        <w:rPr>
          <w:rFonts w:ascii="Times New Roman" w:cs="Times New Roman" w:eastAsia="Times New Roman" w:hAnsi="Times New Roman"/>
          <w:sz w:val="18"/>
          <w:szCs w:val="18"/>
          <w:color w:val="auto"/>
        </w:rPr>
        <w:t>– The Company has recently commenced sales activities with a limited number of customers.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experience concentrations in both accounts receivable and revenue due to the timing of sales and collections of related payments.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8" w:name="page9"/>
    <w:bookmarkEnd w:id="8"/>
    <w:p>
      <w:pPr>
        <w:jc w:val="center"/>
        <w:ind w:right="160"/>
        <w:spacing w:after="0"/>
        <w:rPr>
          <w:sz w:val="20"/>
          <w:szCs w:val="20"/>
          <w:color w:val="auto"/>
        </w:rPr>
      </w:pPr>
      <w:r>
        <w:rPr>
          <w:rFonts w:ascii="Times New Roman" w:cs="Times New Roman" w:eastAsia="Times New Roman" w:hAnsi="Times New Roman"/>
          <w:sz w:val="18"/>
          <w:szCs w:val="18"/>
          <w:color w:val="auto"/>
        </w:rPr>
        <w:t>Wrap Technologies, Inc.</w:t>
      </w:r>
    </w:p>
    <w:p>
      <w:pPr>
        <w:spacing w:after="0" w:line="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Notes to Unaudited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Concentration of Suppliers </w:t>
      </w:r>
      <w:r>
        <w:rPr>
          <w:rFonts w:ascii="Times New Roman" w:cs="Times New Roman" w:eastAsia="Times New Roman" w:hAnsi="Times New Roman"/>
          <w:sz w:val="18"/>
          <w:szCs w:val="18"/>
          <w:color w:val="auto"/>
        </w:rPr>
        <w:t>– The Company relies on a limited number of component suppliers and contract suppliers. In particular, a single supplier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the sole manufacturer of the Company’s laser assembly with some parts sole sourced from other suppliers. If supplier shortages occur, or quality problems arise, then production schedules could be significantly delayed or costs significantly increased, which could in turn have a material adverse effect on the Company’s financial condition, results of operation and cash flows.</w:t>
      </w:r>
    </w:p>
    <w:p>
      <w:pPr>
        <w:spacing w:after="0" w:line="1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6"/>
          <w:szCs w:val="16"/>
          <w:i w:val="1"/>
          <w:iCs w:val="1"/>
          <w:color w:val="auto"/>
        </w:rPr>
        <w:t xml:space="preserve">Impact of COVID-19 </w:t>
      </w:r>
      <w:r>
        <w:rPr>
          <w:rFonts w:ascii="Times New Roman" w:cs="Times New Roman" w:eastAsia="Times New Roman" w:hAnsi="Times New Roman"/>
          <w:sz w:val="16"/>
          <w:szCs w:val="16"/>
          <w:color w:val="auto"/>
        </w:rPr>
        <w:t>- In March 2020, the World Health Organization declared the outbreak of a novel coronavirus (“</w:t>
      </w:r>
      <w:r>
        <w:rPr>
          <w:rFonts w:ascii="Times New Roman" w:cs="Times New Roman" w:eastAsia="Times New Roman" w:hAnsi="Times New Roman"/>
          <w:sz w:val="16"/>
          <w:szCs w:val="16"/>
          <w:i w:val="1"/>
          <w:iCs w:val="1"/>
          <w:color w:val="auto"/>
        </w:rPr>
        <w:t>COVID-19</w:t>
      </w:r>
      <w:r>
        <w:rPr>
          <w:rFonts w:ascii="Times New Roman" w:cs="Times New Roman" w:eastAsia="Times New Roman" w:hAnsi="Times New Roman"/>
          <w:sz w:val="16"/>
          <w:szCs w:val="16"/>
          <w:color w:val="auto"/>
        </w:rPr>
        <w:t>”) as a pandemic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continues to spread throughout the United States and the World. The COVID-19 pandemic has impacted and could further impact our operations and the operations of our customers and suppliers as a result of quarantines, facility closures, illnesses, and travel and logistics restrictions. The extent to which the COVID-19 pandemic further impacts our business, results of operations, and financial condition will depend on future developments, which are highly uncertain and cannot be predicted, including, but not limited to the duration, spread, severity, and impact of the COVID-19 pandemic, the effects of the COVID-19 pandemic on our customers and suppliers and the remedial actions and stimulus measures adopted by federal, state, and local governments, and to what extent normal economic and operating conditions can resume. Even after the COVID-19 pandemic has subsided, the Company may continue to experience adverse impacts to its business as a result of any economic recession or depression that has occurred or may occur in the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from the purchase date to be cash equivalents. Cash equivalents consist primarily of amounts invested in Money Market Funds and United States (“U.S.”) Treasury bills and are stated at fair value.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Short-Term Investments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short-term investments consist of U.S. Treasury bills with original maturities beyond three months at the date of purchase and one year or less from the balance sheet date. As of September 30, 2020, all of the Company’s short-term investments were classified as available-for-sale and are carried at estimated fair value with any unrealized gains and losses, unrelated to credit loss factors, included in other comprehensive (loss) income in our condensed statements of stockholders’ equity.</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adopted Accounting 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Topic 326 issued by the Financial Accounting Standards Board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effective January 1, 2020, and applied the credit loss guidance related to short-term investments prospectively as we had no historical short-term investments</w:t>
      </w:r>
      <w:r>
        <w:rPr>
          <w:rFonts w:ascii="Times New Roman" w:cs="Times New Roman" w:eastAsia="Times New Roman" w:hAnsi="Times New Roman"/>
          <w:sz w:val="18"/>
          <w:szCs w:val="18"/>
          <w:color w:val="212529"/>
        </w:rPr>
        <w:t>. Because we do not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any history of losses for our short-term investments, o</w:t>
      </w:r>
      <w:r>
        <w:rPr>
          <w:rFonts w:ascii="Times New Roman" w:cs="Times New Roman" w:eastAsia="Times New Roman" w:hAnsi="Times New Roman"/>
          <w:sz w:val="18"/>
          <w:szCs w:val="18"/>
          <w:color w:val="000000"/>
        </w:rPr>
        <w:t>ur expected loss allowance methodology is developed using published or estimated credit default rates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for similar investments and current and future economic and market conditions. Any unrealized losses related to credit loss factors are now recorded through an allowance for credit losses in other (expense) income, in our condensed consolidated statements of operations, rather than as a reduction to the amortized cost basis in other comprehensive (loss) income, when a decline in fair value has resulted from a credit loss. We determine realized gains or losses on the sale of investments on a specific identification method, and record such gains or losses as other (expense) income, in our condensed statements of operations. We did not record a credit loss reserve for short-term investments during the quarter ended September 30, 2020.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 xml:space="preserve">The Company follows the fair value recognition provisions issued by FASB in ASC Topic 718, </w:t>
      </w:r>
      <w:r>
        <w:rPr>
          <w:rFonts w:ascii="Times New Roman" w:cs="Times New Roman" w:eastAsia="Times New Roman" w:hAnsi="Times New Roman"/>
          <w:sz w:val="16"/>
          <w:szCs w:val="16"/>
          <w:i w:val="1"/>
          <w:iCs w:val="1"/>
          <w:color w:val="auto"/>
        </w:rPr>
        <w:t>Stock Compensation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ASC 718</w:t>
      </w:r>
      <w:r>
        <w:rPr>
          <w:rFonts w:ascii="Times New Roman" w:cs="Times New Roman" w:eastAsia="Times New Roman" w:hAnsi="Times New Roman"/>
          <w:sz w:val="16"/>
          <w:szCs w:val="16"/>
          <w:color w:val="auto"/>
        </w:rPr>
        <w:t>”) and has adopted Accounting Standards Update (“</w:t>
      </w:r>
      <w:r>
        <w:rPr>
          <w:rFonts w:ascii="Times New Roman" w:cs="Times New Roman" w:eastAsia="Times New Roman" w:hAnsi="Times New Roman"/>
          <w:sz w:val="16"/>
          <w:szCs w:val="16"/>
          <w:i w:val="1"/>
          <w:iCs w:val="1"/>
          <w:color w:val="auto"/>
        </w:rPr>
        <w:t>ASU</w:t>
      </w:r>
      <w:r>
        <w:rPr>
          <w:rFonts w:ascii="Times New Roman" w:cs="Times New Roman" w:eastAsia="Times New Roman" w:hAnsi="Times New Roman"/>
          <w:sz w:val="16"/>
          <w:szCs w:val="16"/>
          <w:color w:val="auto"/>
        </w:rPr>
        <w:t>”) 2018-07 for stock-based transactions with non-employees. Stock-based compensation expense recognized during the three and nine months ended September 30, 2020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stock-based payment award. The Black-Scholes option-pricing model requires inputs including the market price of the Company’s Common Stock on the date of grant, the term that the stock options are expected to be outstanding, the implied stock volatilities of several publicly-traded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The fair value of stock-based compensation is amortized to compensation expense over the vesting term.</w:t>
      </w:r>
    </w:p>
    <w:p>
      <w:pPr>
        <w:spacing w:after="0" w:line="200" w:lineRule="exact"/>
        <w:rPr>
          <w:sz w:val="20"/>
          <w:szCs w:val="20"/>
          <w:color w:val="auto"/>
        </w:rPr>
      </w:pPr>
    </w:p>
    <w:p>
      <w:pPr>
        <w:spacing w:after="0" w:line="40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500" w:top="125" w:right="339" w:bottom="1440" w:gutter="0" w:footer="0" w:header="0"/>
        </w:sectPr>
      </w:pPr>
    </w:p>
    <w:bookmarkStart w:id="9" w:name="page10"/>
    <w:bookmarkEnd w:id="9"/>
    <w:p>
      <w:pPr>
        <w:jc w:val="center"/>
        <w:ind w:right="160"/>
        <w:spacing w:after="0"/>
        <w:rPr>
          <w:sz w:val="20"/>
          <w:szCs w:val="20"/>
          <w:color w:val="auto"/>
        </w:rPr>
      </w:pPr>
      <w:r>
        <w:rPr>
          <w:rFonts w:ascii="Times New Roman" w:cs="Times New Roman" w:eastAsia="Times New Roman" w:hAnsi="Times New Roman"/>
          <w:sz w:val="18"/>
          <w:szCs w:val="18"/>
          <w:color w:val="auto"/>
        </w:rPr>
        <w:t>Wrap Technologies, Inc.</w:t>
      </w:r>
    </w:p>
    <w:p>
      <w:pPr>
        <w:spacing w:after="0" w:line="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Notes to Unaudited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w:t>
      </w:r>
      <w:r>
        <w:rPr>
          <w:rFonts w:ascii="Times New Roman" w:cs="Times New Roman" w:eastAsia="Times New Roman" w:hAnsi="Times New Roman"/>
          <w:sz w:val="18"/>
          <w:szCs w:val="18"/>
          <w:i w:val="1"/>
          <w:iCs w:val="1"/>
          <w:color w:val="auto"/>
        </w:rPr>
        <w:t>ASU 2014-09</w:t>
      </w:r>
      <w:r>
        <w:rPr>
          <w:rFonts w:ascii="Times New Roman" w:cs="Times New Roman" w:eastAsia="Times New Roman" w:hAnsi="Times New Roman"/>
          <w:sz w:val="18"/>
          <w:szCs w:val="18"/>
          <w:color w:val="auto"/>
        </w:rPr>
        <w:t>”) and ASC Subtopic 340-40, Other Assets and Deferred Costs - Contracts with Customers (“</w:t>
      </w:r>
      <w:r>
        <w:rPr>
          <w:rFonts w:ascii="Times New Roman" w:cs="Times New Roman" w:eastAsia="Times New Roman" w:hAnsi="Times New Roman"/>
          <w:sz w:val="18"/>
          <w:szCs w:val="18"/>
          <w:i w:val="1"/>
          <w:iCs w:val="1"/>
          <w:color w:val="auto"/>
        </w:rPr>
        <w:t>ASC 340-40</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 On January 1, 2018, the Company adopted Topic 606 and, as it had no prior revenue or contracts with customers, there was no transition required nor any impact on prior results. ASU 2014-09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 See Note 2 for additional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and Allowance for Doubtful Accounts</w:t>
      </w:r>
    </w:p>
    <w:p>
      <w:pPr>
        <w:spacing w:after="0" w:line="22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The Company’s expected loss allowance methodology for accounts receivable is developed using historical collection experience, when available any published or estimated credit default rates for entities that represent our customer base, current and future economic and market conditions and a review of the current status of customers' trade accounts receivables. Additionally, specific allowance amounts are established to record the appropriate provision for customers that have a higher probability of default. Our monitoring activities include account reconciliation, dispute resolution, payment confirmation, consideration of customers' financial condition and macroeconomic conditions. Balances are written off when determined to be uncollectible.</w:t>
      </w:r>
    </w:p>
    <w:p>
      <w:pPr>
        <w:spacing w:after="0" w:line="1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There was no allowance for doubtful accounts recorded at December 31, 2019. At September 30, 2020 the Company had an allowance of $10,140 resulting in part from global uncertainty resulting from the COVID-19 virus. If a major customer’s creditworthiness deteriorates, or actual defaults exceed our historical experience, such allowance estimates could change and impact our future reported financial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The cost of substantially all the Company’s inventory is determined by the FIFO cost method. Inventory is comprised of raw materials, assemblies and finished products intended for sale to customers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evaluates the need for reserves for excess and obsolete inventories determined primarily based upon estimates of future demand for the Company’s products.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per Share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loss per common share is computed by dividing net loss for the period by the weighted-average number of shares of common stock outstanding during the period. Diluted net loss per common share reflects the potential dilution of securities that could share in the earnings of an entity. The Company’s losses for the periods presented cause the inclusion of potential common stock instruments outstanding to be antidilutive. Stock options, restricted stock units and warrants exercisable or issuable for a total of 7,615,959 shares of Common Stock were outstanding at September 30, 2020. These securities are not included in the computation of diluted net loss per common share for the periods presented as their inclusion would be antidilutive due to losses incurred by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Until its conversion to a corporation on March 31, 2017, the Company was treated as a partnership for federal and state income tax purposes and did not incur income taxes. Instead, its losses were included in the income tax returns of the member partners. No income tax expense was recorded for period ended September 30, 2020 due to losses incurred.</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temporary differences between the bases of certain assets and liabilities for income tax and financial reporting purposes.</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 valuation allowance with respect to deferred tax assets. The Company establishes a valuation allowance based upon the potential likelihood of realizing the deferred tax asset and taking into consideration the Company’s financial position and results of operations for the current period. Future realization of the deferred tax benefit depends on the existence of sufficient taxable income within the carry-forward period under the Federal tax laws. Changes in circumstances, such as the Company generating taxable income, could cause a change in judgment about the realizability of the related deferred tax asset. Any change in the valuation allowance will be included in income in the year of the change in estimates.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500" w:top="12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Wrap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Recent Issued Accounting Guidance</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Adopted the First Quarter of 2020:</w:t>
      </w:r>
    </w:p>
    <w:p>
      <w:pPr>
        <w:spacing w:after="0" w:line="23"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In August 2018, the FASB issued ASU No. 2018-13, Fair Value Measurement (“</w:t>
      </w:r>
      <w:r>
        <w:rPr>
          <w:rFonts w:ascii="Times New Roman" w:cs="Times New Roman" w:eastAsia="Times New Roman" w:hAnsi="Times New Roman"/>
          <w:sz w:val="18"/>
          <w:szCs w:val="18"/>
          <w:i w:val="1"/>
          <w:iCs w:val="1"/>
          <w:color w:val="auto"/>
        </w:rPr>
        <w:t>Topic 820</w:t>
      </w:r>
      <w:r>
        <w:rPr>
          <w:rFonts w:ascii="Times New Roman" w:cs="Times New Roman" w:eastAsia="Times New Roman" w:hAnsi="Times New Roman"/>
          <w:sz w:val="18"/>
          <w:szCs w:val="18"/>
          <w:color w:val="auto"/>
        </w:rPr>
        <w:t>”): Disclosure Framework - Changes to the Disclosure Requirements for Fair Value Measurement. The ASU modifies the disclosure requirements in Topic 820, Fair Value Measurement, to improve the effectiveness of fair value measurement disclosures by removing or modifying certain disclosure requirements and adding other requirements. This ASU is effective for public companies for annual reporting periods and interim periods within those annual periods beginning after December 15, 2019. The adoption of this standard in the first quarter ended March 31, 2020 had no impact on the Company’s financial statements or disclosures.</w:t>
      </w:r>
    </w:p>
    <w:p>
      <w:pPr>
        <w:spacing w:after="0" w:line="191"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Financial Instruments - Credit Losses </w:t>
      </w:r>
      <w:r>
        <w:rPr>
          <w:rFonts w:ascii="Times New Roman" w:cs="Times New Roman" w:eastAsia="Times New Roman" w:hAnsi="Times New Roman"/>
          <w:sz w:val="18"/>
          <w:szCs w:val="18"/>
          <w:i w:val="1"/>
          <w:iCs w:val="1"/>
          <w:color w:val="auto"/>
        </w:rPr>
        <w:t>(Topic 326):</w:t>
      </w:r>
      <w:r>
        <w:rPr>
          <w:rFonts w:ascii="Times New Roman" w:cs="Times New Roman" w:eastAsia="Times New Roman" w:hAnsi="Times New Roman"/>
          <w:sz w:val="18"/>
          <w:szCs w:val="18"/>
          <w:color w:val="auto"/>
        </w:rPr>
        <w:t xml:space="preserve"> Measurement of Credit Losses on Financial Instruments which was further updated and clarified by the FASB through issuance of additional related ASUs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ASU 2016-13, existing guidance on reporting credit losses for trade and other receivables and available for sale debt securities have been replaced with a new forward-looking “expected loss” model that has resulted in the earlier recognition of allowances for losses. The adoption of these standards in the first quarter ended March 31, 2020 had no impact on the Company’s financial statements or disclosures. As part of our assessment of the adequacy of our allowances for credit losses, we consider a number of factors including, but not limited to, customer credit ratings, bankruptcy filings, published or estimated credit default rates, age of receivables, expected loss rates and collateral exposures.</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Pronouncements:</w:t>
      </w:r>
    </w:p>
    <w:p>
      <w:pPr>
        <w:spacing w:after="0" w:line="23"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 xml:space="preserve">In December 2019, the FASB issued Accounting Standards Update 2019-12, </w:t>
      </w:r>
      <w:r>
        <w:rPr>
          <w:rFonts w:ascii="Times New Roman" w:cs="Times New Roman" w:eastAsia="Times New Roman" w:hAnsi="Times New Roman"/>
          <w:sz w:val="18"/>
          <w:szCs w:val="18"/>
          <w:i w:val="1"/>
          <w:iCs w:val="1"/>
          <w:color w:val="auto"/>
        </w:rPr>
        <w:t>Income Taxes (Topic</w:t>
      </w:r>
      <w:r>
        <w:rPr>
          <w:rFonts w:ascii="Times New Roman" w:cs="Times New Roman" w:eastAsia="Times New Roman" w:hAnsi="Times New Roman"/>
          <w:sz w:val="18"/>
          <w:szCs w:val="18"/>
          <w:color w:val="auto"/>
        </w:rPr>
        <w:t xml:space="preserve"> 740</w:t>
      </w:r>
      <w:r>
        <w:rPr>
          <w:rFonts w:ascii="Times New Roman" w:cs="Times New Roman" w:eastAsia="Times New Roman" w:hAnsi="Times New Roman"/>
          <w:sz w:val="18"/>
          <w:szCs w:val="18"/>
          <w:i w:val="1"/>
          <w:iCs w:val="1"/>
          <w:color w:val="auto"/>
        </w:rPr>
        <w:t>): Simplifying the Accounting for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ASU 2019-12</w:t>
      </w:r>
      <w:r>
        <w:rPr>
          <w:rFonts w:ascii="Times New Roman" w:cs="Times New Roman" w:eastAsia="Times New Roman" w:hAnsi="Times New Roman"/>
          <w:sz w:val="18"/>
          <w:szCs w:val="18"/>
          <w:color w:val="auto"/>
        </w:rPr>
        <w:t>”), which is intended to simplify various aspects related to accounting for income taxes. ASU 2019-12 removes certain exceptions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general principles in Topic 740 and also clarifies and amends existing guidance to improve consistent application. ASU 2019-12 is effective for fiscal years beginning after December 15, 2020, with early adoption permitted. We do not expect that the adoption of this ASU will have a significant impact on our financial statements.</w:t>
      </w:r>
    </w:p>
    <w:p>
      <w:pPr>
        <w:spacing w:after="0" w:line="193" w:lineRule="exact"/>
        <w:rPr>
          <w:sz w:val="20"/>
          <w:szCs w:val="20"/>
          <w:color w:val="auto"/>
        </w:rPr>
      </w:pPr>
    </w:p>
    <w:p>
      <w:pPr>
        <w:jc w:val="both"/>
        <w:ind w:left="180"/>
        <w:spacing w:after="0" w:line="275" w:lineRule="auto"/>
        <w:rPr>
          <w:sz w:val="20"/>
          <w:szCs w:val="20"/>
          <w:color w:val="auto"/>
        </w:rPr>
      </w:pPr>
      <w:r>
        <w:rPr>
          <w:rFonts w:ascii="Times New Roman" w:cs="Times New Roman" w:eastAsia="Times New Roman" w:hAnsi="Times New Roman"/>
          <w:sz w:val="18"/>
          <w:szCs w:val="18"/>
          <w:color w:val="auto"/>
        </w:rPr>
        <w:t>The Company has reviewed other recently issued, but not yet effective, accounting pronouncements and does not believe the future adoptions of any such pronouncements will be expected to cause a material impact on its financial condition or the results of operations.</w:t>
      </w:r>
    </w:p>
    <w:p>
      <w:pPr>
        <w:spacing w:after="0" w:line="172" w:lineRule="exact"/>
        <w:rPr>
          <w:sz w:val="20"/>
          <w:szCs w:val="20"/>
          <w:color w:val="auto"/>
        </w:rPr>
      </w:pPr>
    </w:p>
    <w:p>
      <w:pPr>
        <w:ind w:left="800" w:hanging="792"/>
        <w:spacing w:after="0"/>
        <w:tabs>
          <w:tab w:leader="none" w:pos="8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PRODUCT COSTS</w:t>
      </w:r>
    </w:p>
    <w:p>
      <w:pPr>
        <w:spacing w:after="0" w:line="227" w:lineRule="exact"/>
        <w:rPr>
          <w:sz w:val="20"/>
          <w:szCs w:val="20"/>
          <w:color w:val="auto"/>
        </w:rPr>
      </w:pPr>
    </w:p>
    <w:p>
      <w:pPr>
        <w:jc w:val="both"/>
        <w:ind w:left="180"/>
        <w:spacing w:after="0" w:line="275" w:lineRule="auto"/>
        <w:rPr>
          <w:sz w:val="20"/>
          <w:szCs w:val="20"/>
          <w:color w:val="auto"/>
        </w:rPr>
      </w:pPr>
      <w:r>
        <w:rPr>
          <w:rFonts w:ascii="Times New Roman" w:cs="Times New Roman" w:eastAsia="Times New Roman" w:hAnsi="Times New Roman"/>
          <w:sz w:val="18"/>
          <w:szCs w:val="18"/>
          <w:color w:val="auto"/>
        </w:rPr>
        <w:t>The Company enters into contracts that include various combinations of products, accessories and services, such as training, each of which are generally distinct and are accounted for as separate performance obligations.</w:t>
      </w:r>
    </w:p>
    <w:p>
      <w:pPr>
        <w:spacing w:after="0" w:line="174"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a customer and is the unit of account in Topic 606. For contracts with a single performance obligation, the entire transaction price is allocated to the single performance obligation. For contracts with multiple performance obligations, the Company allocates the contract transaction price to each performance obligation using the Company’s estimate of the standalone selling price (“</w:t>
      </w:r>
      <w:r>
        <w:rPr>
          <w:rFonts w:ascii="Times New Roman" w:cs="Times New Roman" w:eastAsia="Times New Roman" w:hAnsi="Times New Roman"/>
          <w:sz w:val="18"/>
          <w:szCs w:val="18"/>
          <w:i w:val="1"/>
          <w:iCs w:val="1"/>
          <w:color w:val="auto"/>
        </w:rPr>
        <w:t>SSP</w:t>
      </w:r>
      <w:r>
        <w:rPr>
          <w:rFonts w:ascii="Times New Roman" w:cs="Times New Roman" w:eastAsia="Times New Roman" w:hAnsi="Times New Roman"/>
          <w:sz w:val="18"/>
          <w:szCs w:val="18"/>
          <w:color w:val="auto"/>
        </w:rPr>
        <w:t>”) of each distinct good or service in a contract. The Company determines the SSP based on the price at which the performance obligation is sold separately. If the SSP is not observable through past transactions, the Company estimates the standalone selling price considering available information such as market conditions and internally approved pricing guidelines related to the performance obligations.</w:t>
      </w:r>
    </w:p>
    <w:p>
      <w:pPr>
        <w:spacing w:after="0" w:line="192" w:lineRule="exact"/>
        <w:rPr>
          <w:sz w:val="20"/>
          <w:szCs w:val="20"/>
          <w:color w:val="auto"/>
        </w:rPr>
      </w:pPr>
    </w:p>
    <w:p>
      <w:pPr>
        <w:jc w:val="both"/>
        <w:ind w:left="180"/>
        <w:spacing w:after="0" w:line="254" w:lineRule="auto"/>
        <w:rPr>
          <w:sz w:val="20"/>
          <w:szCs w:val="20"/>
          <w:color w:val="auto"/>
        </w:rPr>
      </w:pPr>
      <w:r>
        <w:rPr>
          <w:rFonts w:ascii="Times New Roman" w:cs="Times New Roman" w:eastAsia="Times New Roman" w:hAnsi="Times New Roman"/>
          <w:sz w:val="18"/>
          <w:szCs w:val="18"/>
          <w:color w:val="auto"/>
        </w:rPr>
        <w:t>Performance obligations to deliver products and accessories are generally satisfied at the point in time the Company ships the product, as this is when the customer obtains control of the asset under our standard terms and conditions. Periodically, certain customers request bill and hold transactions for future delivery as scheduled and designated by them. In such cases, revenue is not recognized until after control, title and risk of ownership has transferred which is generally when the customer has requested such transaction under normal billing and payment terms and has been notified that the product (i) has been completed according to customer specifications, (ii) has passed our quality control inspections, and (iii) has been tagged and packed for shipment, separated from our inventory and ready for physical transfer to the customer. The value associated with custodial storage services is deemed immaterial in the context of such contracts and in total, and accordingly, none of the transaction price is allocated to such service.</w:t>
      </w:r>
    </w:p>
    <w:p>
      <w:pPr>
        <w:spacing w:after="0" w:line="195" w:lineRule="exact"/>
        <w:rPr>
          <w:sz w:val="20"/>
          <w:szCs w:val="20"/>
          <w:color w:val="auto"/>
        </w:rPr>
      </w:pPr>
    </w:p>
    <w:p>
      <w:pPr>
        <w:jc w:val="both"/>
        <w:ind w:left="180"/>
        <w:spacing w:after="0" w:line="275" w:lineRule="auto"/>
        <w:rPr>
          <w:sz w:val="20"/>
          <w:szCs w:val="20"/>
          <w:color w:val="auto"/>
        </w:rPr>
      </w:pPr>
      <w:r>
        <w:rPr>
          <w:rFonts w:ascii="Times New Roman" w:cs="Times New Roman" w:eastAsia="Times New Roman" w:hAnsi="Times New Roman"/>
          <w:sz w:val="18"/>
          <w:szCs w:val="18"/>
          <w:color w:val="auto"/>
        </w:rPr>
        <w:t>The Company has elected to recognize shipping costs as an expense in cost of revenue when control has transferred to the customer. The revenue and cost of training associated with a customer contract are recognized when the training is completed, generally following delivery of related products.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Wrap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80"/>
        <w:spacing w:after="0" w:line="258"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At September 30, 2020 the Company had deferred revenue of $2,484 related to future training and extended warranties.</w:t>
      </w:r>
    </w:p>
    <w:p>
      <w:pPr>
        <w:spacing w:after="0" w:line="190" w:lineRule="exact"/>
        <w:rPr>
          <w:sz w:val="20"/>
          <w:szCs w:val="20"/>
          <w:color w:val="auto"/>
        </w:rPr>
      </w:pPr>
    </w:p>
    <w:p>
      <w:pPr>
        <w:jc w:val="both"/>
        <w:ind w:left="180"/>
        <w:spacing w:after="0" w:line="275" w:lineRule="auto"/>
        <w:rPr>
          <w:sz w:val="20"/>
          <w:szCs w:val="20"/>
          <w:color w:val="auto"/>
        </w:rPr>
      </w:pPr>
      <w:r>
        <w:rPr>
          <w:rFonts w:ascii="Times New Roman" w:cs="Times New Roman" w:eastAsia="Times New Roman" w:hAnsi="Times New Roman"/>
          <w:sz w:val="18"/>
          <w:szCs w:val="18"/>
          <w:color w:val="auto"/>
        </w:rPr>
        <w:t>The Company may also receive consideration, per terms of a contract, from customers prior to transferring goods to the customer. The Company records customer deposits as a contract liability.</w:t>
      </w:r>
    </w:p>
    <w:p>
      <w:pPr>
        <w:spacing w:after="0" w:line="174"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The Company recognizes an asset if there are incremental costs of obtaining a contract with a customer such as commissions. These costs are ascribed to or allocated to the underlying performance obligations in the contract and amortized consistent with the recognition timing of the revenue for any such underlying performance obligations. The Company had no such assets at September 30, 2020 and December 31, 2019. The Company will apply the practical expedient to expense any sales commissions related to performance obligations with an amortization of one year or less when incurred within selling, general and administrative expense.</w:t>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Estimated costs for the Company’s standard one-year warranty are charged to cost of products sold when revenue is recorded for the related product.</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Royalties are also charged to cost of products sold.</w:t>
      </w:r>
    </w:p>
    <w:p>
      <w:pPr>
        <w:spacing w:after="0" w:line="211" w:lineRule="exact"/>
        <w:rPr>
          <w:sz w:val="20"/>
          <w:szCs w:val="20"/>
          <w:color w:val="auto"/>
        </w:rPr>
      </w:pPr>
    </w:p>
    <w:p>
      <w:pPr>
        <w:ind w:left="800" w:hanging="792"/>
        <w:spacing w:after="0"/>
        <w:tabs>
          <w:tab w:leader="none" w:pos="8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60"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158" w:lineRule="exact"/>
        <w:rPr>
          <w:sz w:val="20"/>
          <w:szCs w:val="20"/>
          <w:color w:val="auto"/>
        </w:rPr>
      </w:pPr>
    </w:p>
    <w:p>
      <w:pPr>
        <w:jc w:val="both"/>
        <w:ind w:left="180"/>
        <w:spacing w:after="0" w:line="26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Level 3—</w:t>
      </w:r>
      <w:r>
        <w:rPr>
          <w:rFonts w:ascii="Times New Roman" w:cs="Times New Roman" w:eastAsia="Times New Roman" w:hAnsi="Times New Roman"/>
          <w:sz w:val="16"/>
          <w:szCs w:val="16"/>
          <w:color w:val="auto"/>
        </w:rPr>
        <w:t>Unobservable inputs that are significant to the measurement of the fair value of the assets or liabilities that are supported by little or no market data.</w:t>
      </w:r>
    </w:p>
    <w:p>
      <w:pPr>
        <w:spacing w:after="0" w:line="183" w:lineRule="exact"/>
        <w:rPr>
          <w:sz w:val="20"/>
          <w:szCs w:val="20"/>
          <w:color w:val="auto"/>
        </w:rPr>
      </w:pPr>
    </w:p>
    <w:p>
      <w:pPr>
        <w:jc w:val="both"/>
        <w:ind w:left="180"/>
        <w:spacing w:after="0" w:line="275" w:lineRule="auto"/>
        <w:rPr>
          <w:sz w:val="20"/>
          <w:szCs w:val="20"/>
          <w:color w:val="auto"/>
        </w:rPr>
      </w:pPr>
      <w:r>
        <w:rPr>
          <w:rFonts w:ascii="Times New Roman" w:cs="Times New Roman" w:eastAsia="Times New Roman" w:hAnsi="Times New Roman"/>
          <w:sz w:val="18"/>
          <w:szCs w:val="18"/>
          <w:color w:val="auto"/>
        </w:rPr>
        <w:t>The Company’s cash equivalent Money Market Funds and short-term investments consisting of U.S. Treasury bill securities are classified as Level 1 because they are valued using quoted market prices.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Wrap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The following tables show the Company’s cash and cash equivalents, Money Market Funds and short-term investments by significant investment category as of September 30, 2020. The Company only had cash and cash equivalents, including Money Market Funds of $16,618,498 at December 31, 2019 all which were considered Level 1.</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239"/>
        </w:trPr>
        <w:tc>
          <w:tcPr>
            <w:tcW w:w="5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As of September 30, 2020</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5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Market</w:t>
            </w:r>
          </w:p>
        </w:tc>
      </w:tr>
      <w:tr>
        <w:trPr>
          <w:trHeight w:val="252"/>
        </w:trPr>
        <w:tc>
          <w:tcPr>
            <w:tcW w:w="5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42"/>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7"/>
        </w:trPr>
        <w:tc>
          <w:tcPr>
            <w:tcW w:w="59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6,534,798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6,534,798</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Treasury securities considered cash equivalents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9,999,125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9,999,125</w:t>
            </w:r>
          </w:p>
        </w:tc>
        <w:tc>
          <w:tcPr>
            <w:tcW w:w="100" w:type="dxa"/>
            <w:vAlign w:val="bottom"/>
          </w:tcPr>
          <w:p>
            <w:pPr>
              <w:spacing w:after="0"/>
              <w:rPr>
                <w:sz w:val="18"/>
                <w:szCs w:val="18"/>
                <w:color w:val="auto"/>
              </w:rPr>
            </w:pPr>
          </w:p>
        </w:tc>
      </w:tr>
      <w:tr>
        <w:trPr>
          <w:trHeight w:val="216"/>
        </w:trPr>
        <w:tc>
          <w:tcPr>
            <w:tcW w:w="590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Treasury securities in short-term investments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24,979,511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6,606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24,986,117</w:t>
            </w:r>
          </w:p>
        </w:tc>
        <w:tc>
          <w:tcPr>
            <w:tcW w:w="100" w:type="dxa"/>
            <w:vAlign w:val="bottom"/>
            <w:shd w:val="clear" w:color="auto" w:fill="CCEEFF"/>
          </w:tcPr>
          <w:p>
            <w:pPr>
              <w:spacing w:after="0"/>
              <w:rPr>
                <w:sz w:val="18"/>
                <w:szCs w:val="18"/>
                <w:color w:val="auto"/>
              </w:rPr>
            </w:pPr>
          </w:p>
        </w:tc>
      </w:tr>
      <w:tr>
        <w:trPr>
          <w:trHeight w:val="27"/>
        </w:trPr>
        <w:tc>
          <w:tcPr>
            <w:tcW w:w="59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41,513,434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6,606</w:t>
            </w:r>
          </w:p>
        </w:tc>
        <w:tc>
          <w:tcPr>
            <w:tcW w:w="1100" w:type="dxa"/>
            <w:vAlign w:val="bottom"/>
            <w:gridSpan w:val="2"/>
          </w:tcPr>
          <w:p>
            <w:pPr>
              <w:jc w:val="right"/>
              <w:ind w:right="79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41,520,040</w:t>
            </w:r>
          </w:p>
        </w:tc>
        <w:tc>
          <w:tcPr>
            <w:tcW w:w="100" w:type="dxa"/>
            <w:vAlign w:val="bottom"/>
          </w:tcPr>
          <w:p>
            <w:pPr>
              <w:spacing w:after="0"/>
              <w:rPr>
                <w:sz w:val="18"/>
                <w:szCs w:val="18"/>
                <w:color w:val="auto"/>
              </w:rPr>
            </w:pPr>
          </w:p>
        </w:tc>
      </w:tr>
      <w:tr>
        <w:trPr>
          <w:trHeight w:val="21"/>
        </w:trPr>
        <w:tc>
          <w:tcPr>
            <w:tcW w:w="5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80" w:right="20"/>
        <w:spacing w:after="0" w:line="275" w:lineRule="auto"/>
        <w:rPr>
          <w:sz w:val="20"/>
          <w:szCs w:val="20"/>
          <w:color w:val="auto"/>
        </w:rPr>
      </w:pPr>
      <w:r>
        <w:rPr>
          <w:rFonts w:ascii="Times New Roman" w:cs="Times New Roman" w:eastAsia="Times New Roman" w:hAnsi="Times New Roman"/>
          <w:sz w:val="18"/>
          <w:szCs w:val="18"/>
          <w:color w:val="auto"/>
        </w:rPr>
        <w:t>The Company did not recognize any credit losses related to available-for-sale investments for the first nine months of 2020 and 2019. All of the Company’s U.S. Treasury debt securities classified as available for sale as of September 30, 2020, have maturities within one year.</w:t>
      </w:r>
    </w:p>
    <w:p>
      <w:pPr>
        <w:spacing w:after="0" w:line="174" w:lineRule="exact"/>
        <w:rPr>
          <w:sz w:val="20"/>
          <w:szCs w:val="20"/>
          <w:color w:val="auto"/>
        </w:rPr>
      </w:pPr>
    </w:p>
    <w:p>
      <w:pPr>
        <w:jc w:val="both"/>
        <w:ind w:left="180"/>
        <w:spacing w:after="0" w:line="275" w:lineRule="auto"/>
        <w:rPr>
          <w:sz w:val="20"/>
          <w:szCs w:val="20"/>
          <w:color w:val="auto"/>
        </w:rPr>
      </w:pPr>
      <w:r>
        <w:rPr>
          <w:rFonts w:ascii="Times New Roman" w:cs="Times New Roman" w:eastAsia="Times New Roman" w:hAnsi="Times New Roman"/>
          <w:sz w:val="18"/>
          <w:szCs w:val="18"/>
          <w:color w:val="auto"/>
        </w:rPr>
        <w:t>The Company may sell certain of its short-term investments prior to their stated maturities for reasons including, but not limited to, managing liquidity, credit risk, duration and asset allocation.</w:t>
      </w:r>
    </w:p>
    <w:p>
      <w:pPr>
        <w:spacing w:after="0" w:line="106"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8"/>
          <w:szCs w:val="18"/>
          <w:color w:val="auto"/>
        </w:rPr>
        <w:t>There were no liabilities measured at fair value on a recurring basis as of September 30, 2020 and December 31, 2019. There have been no transfers between fair value measurement levels during the nine months ended September 30, 2020 and 2019. In addition, there were no assets or liabilities measured at fair value on a non-recurring basis as of September 30, 2020 and December 31, 2019.</w:t>
      </w:r>
    </w:p>
    <w:p>
      <w:pPr>
        <w:spacing w:after="0" w:line="184" w:lineRule="exact"/>
        <w:rPr>
          <w:sz w:val="20"/>
          <w:szCs w:val="20"/>
          <w:color w:val="auto"/>
        </w:rPr>
      </w:pPr>
    </w:p>
    <w:p>
      <w:pPr>
        <w:ind w:left="800" w:hanging="792"/>
        <w:spacing w:after="0"/>
        <w:tabs>
          <w:tab w:leader="none" w:pos="8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 NET</w:t>
      </w:r>
    </w:p>
    <w:p>
      <w:pPr>
        <w:spacing w:after="0" w:line="227" w:lineRule="exact"/>
        <w:rPr>
          <w:sz w:val="20"/>
          <w:szCs w:val="20"/>
          <w:color w:val="auto"/>
        </w:rPr>
      </w:pPr>
    </w:p>
    <w:p>
      <w:pPr>
        <w:ind w:left="180"/>
        <w:spacing w:after="0" w:line="275" w:lineRule="auto"/>
        <w:rPr>
          <w:sz w:val="20"/>
          <w:szCs w:val="20"/>
          <w:color w:val="auto"/>
        </w:rPr>
      </w:pPr>
      <w:r>
        <w:rPr>
          <w:rFonts w:ascii="Times New Roman" w:cs="Times New Roman" w:eastAsia="Times New Roman" w:hAnsi="Times New Roman"/>
          <w:sz w:val="18"/>
          <w:szCs w:val="18"/>
          <w:color w:val="auto"/>
        </w:rPr>
        <w:t>Inventory is recorded at the lower of cost or net realizable value. The cost of substantially all the Company’s inventory is determined by the FIFO cost method. Inventories consisted of the following:</w:t>
      </w:r>
    </w:p>
    <w:p>
      <w:pPr>
        <w:spacing w:after="0" w:line="172"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September</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8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2"/>
        </w:trPr>
        <w:tc>
          <w:tcPr>
            <w:tcW w:w="85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r>
      <w:tr>
        <w:trPr>
          <w:trHeight w:val="21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847,101</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653,323</w:t>
            </w: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w:t>
            </w:r>
          </w:p>
        </w:tc>
      </w:tr>
      <w:tr>
        <w:trPr>
          <w:trHeight w:val="21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1,083,562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1,590,805</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1,950,994</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2,244,541</w:t>
            </w:r>
          </w:p>
        </w:tc>
      </w:tr>
      <w:tr>
        <w:trPr>
          <w:trHeight w:val="20"/>
        </w:trPr>
        <w:tc>
          <w:tcPr>
            <w:tcW w:w="8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2"/>
        </w:trPr>
        <w:tc>
          <w:tcPr>
            <w:tcW w:w="34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r>
      <w:tr>
        <w:trPr>
          <w:trHeight w:val="216"/>
        </w:trPr>
        <w:tc>
          <w:tcPr>
            <w:tcW w:w="3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142,123</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44,454</w:t>
            </w:r>
          </w:p>
        </w:tc>
      </w:tr>
      <w:tr>
        <w:trPr>
          <w:trHeight w:val="216"/>
        </w:trPr>
        <w:tc>
          <w:tcPr>
            <w:tcW w:w="3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Tooling</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80,936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59,004</w:t>
            </w:r>
          </w:p>
        </w:tc>
      </w:tr>
      <w:tr>
        <w:trPr>
          <w:trHeight w:val="216"/>
        </w:trPr>
        <w:tc>
          <w:tcPr>
            <w:tcW w:w="3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132,245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83,368</w:t>
            </w:r>
          </w:p>
        </w:tc>
      </w:tr>
      <w:tr>
        <w:trPr>
          <w:trHeight w:val="216"/>
        </w:trPr>
        <w:tc>
          <w:tcPr>
            <w:tcW w:w="3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improvements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162,736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128,782</w:t>
            </w:r>
          </w:p>
        </w:tc>
      </w:tr>
      <w:tr>
        <w:trPr>
          <w:trHeight w:val="27"/>
        </w:trPr>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518,040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315,608</w:t>
            </w:r>
          </w:p>
        </w:tc>
      </w:tr>
      <w:tr>
        <w:trPr>
          <w:trHeight w:val="216"/>
        </w:trPr>
        <w:tc>
          <w:tcPr>
            <w:tcW w:w="3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(72,732)</w:t>
            </w:r>
          </w:p>
        </w:tc>
      </w:tr>
      <w:tr>
        <w:trPr>
          <w:trHeight w:val="27"/>
        </w:trPr>
        <w:tc>
          <w:tcPr>
            <w:tcW w:w="3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60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363,020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242,876</w:t>
            </w:r>
          </w:p>
        </w:tc>
      </w:tr>
      <w:tr>
        <w:trPr>
          <w:trHeight w:val="20"/>
        </w:trPr>
        <w:tc>
          <w:tcPr>
            <w:tcW w:w="340" w:type="dxa"/>
            <w:vAlign w:val="bottom"/>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line="275" w:lineRule="auto"/>
        <w:rPr>
          <w:sz w:val="20"/>
          <w:szCs w:val="20"/>
          <w:color w:val="auto"/>
        </w:rPr>
      </w:pPr>
      <w:r>
        <w:rPr>
          <w:rFonts w:ascii="Times New Roman" w:cs="Times New Roman" w:eastAsia="Times New Roman" w:hAnsi="Times New Roman"/>
          <w:sz w:val="18"/>
          <w:szCs w:val="18"/>
          <w:color w:val="auto"/>
        </w:rPr>
        <w:t>Depreciation expense was $34,998 and $82,288 for the three and nine months ended September 30, 2020 and was $8,175 and $20,361 for the three and nine months ended September 30, 2019, respectively.</w:t>
      </w:r>
    </w:p>
    <w:p>
      <w:pPr>
        <w:sectPr>
          <w:pgSz w:w="11900" w:h="16838" w:orient="portrait"/>
          <w:cols w:equalWidth="0" w:num="1">
            <w:col w:w="11240"/>
          </w:cols>
          <w:pgMar w:left="320" w:top="125" w:right="3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Wrap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57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consisted of the following:</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2"/>
        </w:trPr>
        <w:tc>
          <w:tcPr>
            <w:tcW w:w="34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3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260,694</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176,425</w:t>
            </w:r>
          </w:p>
        </w:tc>
      </w:tr>
      <w:tr>
        <w:trPr>
          <w:trHeight w:val="216"/>
        </w:trPr>
        <w:tc>
          <w:tcPr>
            <w:tcW w:w="3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74,916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57,919</w:t>
            </w:r>
          </w:p>
        </w:tc>
      </w:tr>
      <w:tr>
        <w:trPr>
          <w:trHeight w:val="27"/>
        </w:trPr>
        <w:tc>
          <w:tcPr>
            <w:tcW w:w="3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335,610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234,344</w:t>
            </w:r>
          </w:p>
        </w:tc>
      </w:tr>
      <w:tr>
        <w:trPr>
          <w:trHeight w:val="216"/>
        </w:trPr>
        <w:tc>
          <w:tcPr>
            <w:tcW w:w="3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(4,061)</w:t>
            </w:r>
          </w:p>
        </w:tc>
      </w:tr>
      <w:tr>
        <w:trPr>
          <w:trHeight w:val="27"/>
        </w:trPr>
        <w:tc>
          <w:tcPr>
            <w:tcW w:w="3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576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322,952</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230,283</w:t>
            </w:r>
          </w:p>
        </w:tc>
      </w:tr>
      <w:tr>
        <w:trPr>
          <w:trHeight w:val="20"/>
        </w:trPr>
        <w:tc>
          <w:tcPr>
            <w:tcW w:w="34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275" w:lineRule="auto"/>
        <w:rPr>
          <w:sz w:val="20"/>
          <w:szCs w:val="20"/>
          <w:color w:val="auto"/>
        </w:rPr>
      </w:pPr>
      <w:r>
        <w:rPr>
          <w:rFonts w:ascii="Times New Roman" w:cs="Times New Roman" w:eastAsia="Times New Roman" w:hAnsi="Times New Roman"/>
          <w:sz w:val="18"/>
          <w:szCs w:val="18"/>
          <w:color w:val="auto"/>
        </w:rPr>
        <w:t>Amortization expense was $3,301 and $8,597 for the three and nine months ended September 30, 2020 and was $201 and $588 for the three and nine months ended September 30, 2019, respectively.</w:t>
      </w:r>
    </w:p>
    <w:p>
      <w:pPr>
        <w:spacing w:after="0" w:line="172" w:lineRule="exact"/>
        <w:rPr>
          <w:sz w:val="20"/>
          <w:szCs w:val="20"/>
          <w:color w:val="auto"/>
        </w:rPr>
      </w:pPr>
    </w:p>
    <w:p>
      <w:pPr>
        <w:ind w:left="800" w:hanging="792"/>
        <w:spacing w:after="0"/>
        <w:tabs>
          <w:tab w:leader="none" w:pos="8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LIABILITIES</w:t>
      </w:r>
    </w:p>
    <w:p>
      <w:pPr>
        <w:spacing w:after="0" w:line="225" w:lineRule="exact"/>
        <w:rPr>
          <w:sz w:val="20"/>
          <w:szCs w:val="20"/>
          <w:color w:val="auto"/>
        </w:rPr>
      </w:pPr>
    </w:p>
    <w:p>
      <w:pPr>
        <w:jc w:val="both"/>
        <w:ind w:left="340"/>
        <w:spacing w:after="0" w:line="264" w:lineRule="auto"/>
        <w:rPr>
          <w:sz w:val="20"/>
          <w:szCs w:val="20"/>
          <w:color w:val="auto"/>
        </w:rPr>
      </w:pPr>
      <w:r>
        <w:rPr>
          <w:rFonts w:ascii="Times New Roman" w:cs="Times New Roman" w:eastAsia="Times New Roman" w:hAnsi="Times New Roman"/>
          <w:sz w:val="18"/>
          <w:szCs w:val="18"/>
          <w:color w:val="auto"/>
        </w:rPr>
        <w:t>Accounts payable includes $36,973 and $18,809 due to related party Syzygy Licensing, LLC (“</w:t>
      </w:r>
      <w:r>
        <w:rPr>
          <w:rFonts w:ascii="Times New Roman" w:cs="Times New Roman" w:eastAsia="Times New Roman" w:hAnsi="Times New Roman"/>
          <w:sz w:val="18"/>
          <w:szCs w:val="18"/>
          <w:i w:val="1"/>
          <w:iCs w:val="1"/>
          <w:color w:val="auto"/>
        </w:rPr>
        <w:t>Syzygy</w:t>
      </w:r>
      <w:r>
        <w:rPr>
          <w:rFonts w:ascii="Times New Roman" w:cs="Times New Roman" w:eastAsia="Times New Roman" w:hAnsi="Times New Roman"/>
          <w:sz w:val="18"/>
          <w:szCs w:val="18"/>
          <w:color w:val="auto"/>
        </w:rPr>
        <w:t>”) as of September 30, 2020 and December 31, 2019, respectively. Accounts payable at September 30, 2020 also included $10,000 due to related party V3 Capital Partners, LLC. See Notes 12 and 13 for additional related party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30,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2"/>
        </w:trPr>
        <w:tc>
          <w:tcPr>
            <w:tcW w:w="34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and legal costs</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15,550</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401,770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144,193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33,334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Consulting costs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and other</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18,827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7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466,523</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194,294</w:t>
            </w: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574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340" w:type="dxa"/>
            <w:vAlign w:val="bottom"/>
            <w:vMerge w:val="continue"/>
          </w:tcPr>
          <w:p>
            <w:pPr>
              <w:spacing w:after="0"/>
              <w:rPr>
                <w:sz w:val="24"/>
                <w:szCs w:val="24"/>
                <w:color w:val="auto"/>
              </w:rPr>
            </w:pPr>
          </w:p>
        </w:tc>
        <w:tc>
          <w:tcPr>
            <w:tcW w:w="5740" w:type="dxa"/>
            <w:vAlign w:val="bottom"/>
            <w:vMerge w:val="continue"/>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340"/>
        <w:spacing w:after="0" w:line="275" w:lineRule="auto"/>
        <w:rPr>
          <w:sz w:val="20"/>
          <w:szCs w:val="20"/>
          <w:color w:val="auto"/>
        </w:rPr>
      </w:pPr>
      <w:r>
        <w:rPr>
          <w:rFonts w:ascii="Times New Roman" w:cs="Times New Roman" w:eastAsia="Times New Roman" w:hAnsi="Times New Roman"/>
          <w:sz w:val="18"/>
          <w:szCs w:val="18"/>
          <w:color w:val="auto"/>
        </w:rPr>
        <w:t>The Company adopted ASU 2016-02, Leases (Topic 842) on January 1, 2019 using the modified retrospective approach. The Company has elected not to apply ASC Topic 842 to arrangements with lease terms of 12 months or less.</w:t>
      </w:r>
    </w:p>
    <w:p>
      <w:pPr>
        <w:spacing w:after="0" w:line="174" w:lineRule="exact"/>
        <w:rPr>
          <w:sz w:val="20"/>
          <w:szCs w:val="20"/>
          <w:color w:val="auto"/>
        </w:rPr>
      </w:pPr>
    </w:p>
    <w:p>
      <w:pPr>
        <w:jc w:val="both"/>
        <w:ind w:left="340"/>
        <w:spacing w:after="0" w:line="275" w:lineRule="auto"/>
        <w:rPr>
          <w:sz w:val="20"/>
          <w:szCs w:val="20"/>
          <w:color w:val="auto"/>
        </w:rPr>
      </w:pPr>
      <w:r>
        <w:rPr>
          <w:rFonts w:ascii="Times New Roman" w:cs="Times New Roman" w:eastAsia="Times New Roman" w:hAnsi="Times New Roman"/>
          <w:sz w:val="18"/>
          <w:szCs w:val="18"/>
          <w:color w:val="auto"/>
        </w:rPr>
        <w:t>Amortization of Right of Use operating lease assets was $30,734 and $90,534 for the three and nine months ended September 30, 2020 and was $28,746 and $50,957 for the three and nine months ended September 30, 2019, respectively.</w:t>
      </w:r>
    </w:p>
    <w:p>
      <w:pPr>
        <w:spacing w:after="0" w:line="174" w:lineRule="exact"/>
        <w:rPr>
          <w:sz w:val="20"/>
          <w:szCs w:val="20"/>
          <w:color w:val="auto"/>
        </w:rPr>
      </w:pPr>
    </w:p>
    <w:p>
      <w:pPr>
        <w:jc w:val="both"/>
        <w:ind w:left="340"/>
        <w:spacing w:after="0" w:line="262" w:lineRule="auto"/>
        <w:rPr>
          <w:sz w:val="20"/>
          <w:szCs w:val="20"/>
          <w:color w:val="auto"/>
        </w:rPr>
      </w:pPr>
      <w:r>
        <w:rPr>
          <w:rFonts w:ascii="Times New Roman" w:cs="Times New Roman" w:eastAsia="Times New Roman" w:hAnsi="Times New Roman"/>
          <w:sz w:val="18"/>
          <w:szCs w:val="18"/>
          <w:color w:val="auto"/>
        </w:rPr>
        <w:t>Operating lease expense for capitalized operating leases included in operating activities was $34,322 and $102,965 for the three and nine months ended September 30, 2020 and was $34,682 and $60,278 for the three and nine months ended September 30, 2019, respectively. Operating lease obligations recorded on the balance sheet at September 30, 2020 are:</w:t>
      </w:r>
    </w:p>
    <w:p>
      <w:pPr>
        <w:spacing w:after="0" w:line="20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3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104,071</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 long term</w:t>
            </w:r>
          </w:p>
        </w:tc>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79,116</w:t>
            </w:r>
          </w:p>
        </w:tc>
      </w:tr>
      <w:tr>
        <w:trPr>
          <w:trHeight w:val="27"/>
        </w:trPr>
        <w:tc>
          <w:tcPr>
            <w:tcW w:w="61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3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183,187</w:t>
            </w:r>
          </w:p>
        </w:tc>
      </w:tr>
      <w:tr>
        <w:trPr>
          <w:trHeight w:val="20"/>
        </w:trPr>
        <w:tc>
          <w:tcPr>
            <w:tcW w:w="612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lease payments included in the measurement of lease liabilities on the balance sheet at September 30, 2020 for future periods are as follows:</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 (three months)</w:t>
            </w:r>
          </w:p>
        </w:tc>
        <w:tc>
          <w:tcPr>
            <w:tcW w:w="2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36,181</w:t>
            </w:r>
          </w:p>
        </w:tc>
        <w:tc>
          <w:tcPr>
            <w:tcW w:w="12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101,406</w:t>
            </w:r>
          </w:p>
        </w:tc>
        <w:tc>
          <w:tcPr>
            <w:tcW w:w="12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57,328</w:t>
            </w:r>
          </w:p>
        </w:tc>
        <w:tc>
          <w:tcPr>
            <w:tcW w:w="120" w:type="dxa"/>
            <w:vAlign w:val="bottom"/>
            <w:shd w:val="clear" w:color="auto" w:fill="CCEEFF"/>
          </w:tcPr>
          <w:p>
            <w:pPr>
              <w:spacing w:after="0"/>
              <w:rPr>
                <w:sz w:val="18"/>
                <w:szCs w:val="18"/>
                <w:color w:val="auto"/>
              </w:rPr>
            </w:pPr>
          </w:p>
        </w:tc>
      </w:tr>
      <w:tr>
        <w:trPr>
          <w:trHeight w:val="27"/>
        </w:trPr>
        <w:tc>
          <w:tcPr>
            <w:tcW w:w="97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9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194,915</w:t>
            </w:r>
          </w:p>
        </w:tc>
        <w:tc>
          <w:tcPr>
            <w:tcW w:w="12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(11,728)</w:t>
            </w:r>
          </w:p>
        </w:tc>
      </w:tr>
      <w:tr>
        <w:trPr>
          <w:trHeight w:val="27"/>
        </w:trPr>
        <w:tc>
          <w:tcPr>
            <w:tcW w:w="97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183,187</w:t>
            </w:r>
          </w:p>
        </w:tc>
        <w:tc>
          <w:tcPr>
            <w:tcW w:w="120" w:type="dxa"/>
            <w:vAlign w:val="bottom"/>
          </w:tcPr>
          <w:p>
            <w:pPr>
              <w:spacing w:after="0"/>
              <w:rPr>
                <w:sz w:val="18"/>
                <w:szCs w:val="18"/>
                <w:color w:val="auto"/>
              </w:rPr>
            </w:pPr>
          </w:p>
        </w:tc>
      </w:tr>
      <w:tr>
        <w:trPr>
          <w:trHeight w:val="21"/>
        </w:trPr>
        <w:tc>
          <w:tcPr>
            <w:tcW w:w="9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remaining lease term is 1.69 years and the weighted average discount rate is 7.0%.</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does not have any finance leases.</w:t>
      </w:r>
    </w:p>
    <w:p>
      <w:pPr>
        <w:sectPr>
          <w:pgSz w:w="11900" w:h="16838" w:orient="portrait"/>
          <w:cols w:equalWidth="0" w:num="1">
            <w:col w:w="11240"/>
          </w:cols>
          <w:pgMar w:left="320" w:top="125" w:right="339" w:bottom="115"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15"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Wrap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0" w:hanging="792"/>
        <w:spacing w:after="0"/>
        <w:tabs>
          <w:tab w:leader="none" w:pos="8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 PAYABLE TO BANK</w:t>
      </w:r>
    </w:p>
    <w:p>
      <w:pPr>
        <w:spacing w:after="0" w:line="225" w:lineRule="exact"/>
        <w:rPr>
          <w:sz w:val="20"/>
          <w:szCs w:val="20"/>
          <w:color w:val="auto"/>
        </w:rPr>
      </w:pPr>
    </w:p>
    <w:p>
      <w:pPr>
        <w:jc w:val="both"/>
        <w:ind w:left="340"/>
        <w:spacing w:after="0" w:line="312" w:lineRule="auto"/>
        <w:rPr>
          <w:sz w:val="20"/>
          <w:szCs w:val="20"/>
          <w:color w:val="auto"/>
        </w:rPr>
      </w:pPr>
      <w:r>
        <w:rPr>
          <w:rFonts w:ascii="Times New Roman" w:cs="Times New Roman" w:eastAsia="Times New Roman" w:hAnsi="Times New Roman"/>
          <w:sz w:val="16"/>
          <w:szCs w:val="16"/>
          <w:color w:val="auto"/>
        </w:rPr>
        <w:t>On May 1, 2020, the Company received loan proceeds of $414,362 from Bank of America, N.A. (the “</w:t>
      </w:r>
      <w:r>
        <w:rPr>
          <w:rFonts w:ascii="Times New Roman" w:cs="Times New Roman" w:eastAsia="Times New Roman" w:hAnsi="Times New Roman"/>
          <w:sz w:val="16"/>
          <w:szCs w:val="16"/>
          <w:i w:val="1"/>
          <w:iCs w:val="1"/>
          <w:color w:val="auto"/>
        </w:rPr>
        <w:t>Lender</w:t>
      </w:r>
      <w:r>
        <w:rPr>
          <w:rFonts w:ascii="Times New Roman" w:cs="Times New Roman" w:eastAsia="Times New Roman" w:hAnsi="Times New Roman"/>
          <w:sz w:val="16"/>
          <w:szCs w:val="16"/>
          <w:color w:val="auto"/>
        </w:rPr>
        <w:t>”), as a potentially forgivable loan (the “</w:t>
      </w:r>
      <w:r>
        <w:rPr>
          <w:rFonts w:ascii="Times New Roman" w:cs="Times New Roman" w:eastAsia="Times New Roman" w:hAnsi="Times New Roman"/>
          <w:sz w:val="16"/>
          <w:szCs w:val="16"/>
          <w:i w:val="1"/>
          <w:iCs w:val="1"/>
          <w:color w:val="auto"/>
        </w:rPr>
        <w:t>PPP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Loan</w:t>
      </w:r>
      <w:r>
        <w:rPr>
          <w:rFonts w:ascii="Times New Roman" w:cs="Times New Roman" w:eastAsia="Times New Roman" w:hAnsi="Times New Roman"/>
          <w:sz w:val="16"/>
          <w:szCs w:val="16"/>
          <w:color w:val="auto"/>
        </w:rPr>
        <w:t>”) from the U.S. Small Business Administration pursuant to the Paycheck Protection Program (the “</w:t>
      </w:r>
      <w:r>
        <w:rPr>
          <w:rFonts w:ascii="Times New Roman" w:cs="Times New Roman" w:eastAsia="Times New Roman" w:hAnsi="Times New Roman"/>
          <w:sz w:val="16"/>
          <w:szCs w:val="16"/>
          <w:i w:val="1"/>
          <w:iCs w:val="1"/>
          <w:color w:val="auto"/>
        </w:rPr>
        <w:t>PPP</w:t>
      </w:r>
      <w:r>
        <w:rPr>
          <w:rFonts w:ascii="Times New Roman" w:cs="Times New Roman" w:eastAsia="Times New Roman" w:hAnsi="Times New Roman"/>
          <w:sz w:val="16"/>
          <w:szCs w:val="16"/>
          <w:color w:val="auto"/>
        </w:rPr>
        <w:t>”) enacted by Congress under Division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Title 1 of the Coronavirus Aid, Relief, and Economic Security Act (15 U.S.C. 636(a)(36)) (the “</w:t>
      </w:r>
      <w:r>
        <w:rPr>
          <w:rFonts w:ascii="Times New Roman" w:cs="Times New Roman" w:eastAsia="Times New Roman" w:hAnsi="Times New Roman"/>
          <w:sz w:val="16"/>
          <w:szCs w:val="16"/>
          <w:i w:val="1"/>
          <w:iCs w:val="1"/>
          <w:color w:val="auto"/>
        </w:rPr>
        <w:t>CARES Act</w:t>
      </w:r>
      <w:r>
        <w:rPr>
          <w:rFonts w:ascii="Times New Roman" w:cs="Times New Roman" w:eastAsia="Times New Roman" w:hAnsi="Times New Roman"/>
          <w:sz w:val="16"/>
          <w:szCs w:val="16"/>
          <w:color w:val="auto"/>
        </w:rPr>
        <w:t>”), which was enacted March 27, 2020.</w:t>
      </w:r>
    </w:p>
    <w:p>
      <w:pPr>
        <w:spacing w:after="0" w:line="146"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color w:val="auto"/>
        </w:rPr>
        <w:t>The PPP Loan, which was in the form of a Promissory Note dated May 1, 2020 by the Company in favor of Lender (the “</w:t>
      </w:r>
      <w:r>
        <w:rPr>
          <w:rFonts w:ascii="Times New Roman" w:cs="Times New Roman" w:eastAsia="Times New Roman" w:hAnsi="Times New Roman"/>
          <w:sz w:val="18"/>
          <w:szCs w:val="18"/>
          <w:i w:val="1"/>
          <w:iCs w:val="1"/>
          <w:color w:val="auto"/>
        </w:rPr>
        <w:t>PPP Note</w:t>
      </w:r>
      <w:r>
        <w:rPr>
          <w:rFonts w:ascii="Times New Roman" w:cs="Times New Roman" w:eastAsia="Times New Roman" w:hAnsi="Times New Roman"/>
          <w:sz w:val="18"/>
          <w:szCs w:val="18"/>
          <w:color w:val="auto"/>
        </w:rPr>
        <w:t>”), has a two-year term and bears interest at a rate of 1% per annum. Monthly principal and interest payments are deferred for six months after the date of disbursement of the PPP Loan. Beginning seven months from the date of the PPP Note, the Company is required to make monthly payments of principal and interest of approximately $23,320. The Company recorded accrued interest of $1,726 at September 30, 2020. The PPP Loan may be repaid at any time prior to maturity with no prepayment penalties. The PPP Note contains events of default and other provisions customary for a loan of this type.</w:t>
      </w:r>
    </w:p>
    <w:p>
      <w:pPr>
        <w:spacing w:after="0" w:line="190"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Under the terms of the CARES Act, PPP Loan participants can apply for and be granted forgiveness for all or a portion of loans granted under the PPP. Under the terms of the PPP, PPP loans and accrued interest are forgivable during specified periods, as long as the borrower uses the loan proceeds for eligible purposes, including payroll, benefits, rent and utilities, and maintains its payroll levels. The amount of loan forgiveness will be reduced if the borrower terminates employees or reduces salaries during the covered eight or 24-week period. The Company believes it used the PPP Loan proceeds for purposes consistent with the PPP and filed an application for forgiveness in October 2020. The Company anticipates that all or a majority of the loan amount may be forgiven, but there is no assurance provided that the Company will obtain forgiveness of the PPP Loan in whole or part.</w:t>
      </w:r>
    </w:p>
    <w:p>
      <w:pPr>
        <w:spacing w:after="0" w:line="190" w:lineRule="exact"/>
        <w:rPr>
          <w:sz w:val="20"/>
          <w:szCs w:val="20"/>
          <w:color w:val="auto"/>
        </w:rPr>
      </w:pPr>
    </w:p>
    <w:p>
      <w:pPr>
        <w:ind w:left="800" w:hanging="792"/>
        <w:spacing w:after="0"/>
        <w:tabs>
          <w:tab w:leader="none" w:pos="8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7" w:lineRule="exact"/>
        <w:rPr>
          <w:sz w:val="20"/>
          <w:szCs w:val="20"/>
          <w:color w:val="auto"/>
        </w:rPr>
      </w:pPr>
    </w:p>
    <w:p>
      <w:pPr>
        <w:jc w:val="both"/>
        <w:ind w:left="340"/>
        <w:spacing w:after="0" w:line="275" w:lineRule="auto"/>
        <w:rPr>
          <w:sz w:val="20"/>
          <w:szCs w:val="20"/>
          <w:color w:val="auto"/>
        </w:rPr>
      </w:pPr>
      <w:r>
        <w:rPr>
          <w:rFonts w:ascii="Times New Roman" w:cs="Times New Roman" w:eastAsia="Times New Roman" w:hAnsi="Times New Roman"/>
          <w:sz w:val="18"/>
          <w:szCs w:val="18"/>
          <w:color w:val="auto"/>
        </w:rPr>
        <w:t>The Company’s authorized capital consists of 150,000,000 shares of Common Stock, par value $0.0001 per share, and 5,000,000 shares of preferred stock, par value $0.0001 per share (“</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2020 Follow-On Public Offering</w:t>
      </w:r>
    </w:p>
    <w:p>
      <w:pPr>
        <w:spacing w:after="0" w:line="223" w:lineRule="exact"/>
        <w:rPr>
          <w:sz w:val="20"/>
          <w:szCs w:val="20"/>
          <w:color w:val="auto"/>
        </w:rPr>
      </w:pPr>
    </w:p>
    <w:p>
      <w:pPr>
        <w:jc w:val="both"/>
        <w:ind w:left="340"/>
        <w:spacing w:after="0" w:line="301" w:lineRule="auto"/>
        <w:rPr>
          <w:sz w:val="20"/>
          <w:szCs w:val="20"/>
          <w:color w:val="auto"/>
        </w:rPr>
      </w:pPr>
      <w:r>
        <w:rPr>
          <w:rFonts w:ascii="Times New Roman" w:cs="Times New Roman" w:eastAsia="Times New Roman" w:hAnsi="Times New Roman"/>
          <w:sz w:val="16"/>
          <w:szCs w:val="16"/>
          <w:color w:val="auto"/>
        </w:rPr>
        <w:t>On June 2, 2020, the Company consummated a follow-on public offering (the “</w:t>
      </w:r>
      <w:r>
        <w:rPr>
          <w:rFonts w:ascii="Times New Roman" w:cs="Times New Roman" w:eastAsia="Times New Roman" w:hAnsi="Times New Roman"/>
          <w:sz w:val="16"/>
          <w:szCs w:val="16"/>
          <w:i w:val="1"/>
          <w:iCs w:val="1"/>
          <w:color w:val="auto"/>
        </w:rPr>
        <w:t>Unit Offering</w:t>
      </w:r>
      <w:r>
        <w:rPr>
          <w:rFonts w:ascii="Times New Roman" w:cs="Times New Roman" w:eastAsia="Times New Roman" w:hAnsi="Times New Roman"/>
          <w:sz w:val="16"/>
          <w:szCs w:val="16"/>
          <w:color w:val="auto"/>
        </w:rPr>
        <w:t>”) whereby the Company offered and sold certain securities consisting of one share of Common Stock and one detachable two-year warrant to purchase one share of Common Stock at an exercise price of $6.00 per share (a “</w:t>
      </w:r>
      <w:r>
        <w:rPr>
          <w:rFonts w:ascii="Times New Roman" w:cs="Times New Roman" w:eastAsia="Times New Roman" w:hAnsi="Times New Roman"/>
          <w:sz w:val="16"/>
          <w:szCs w:val="16"/>
          <w:i w:val="1"/>
          <w:iCs w:val="1"/>
          <w:color w:val="auto"/>
        </w:rPr>
        <w:t>Unit</w:t>
      </w:r>
      <w:r>
        <w:rPr>
          <w:rFonts w:ascii="Times New Roman" w:cs="Times New Roman" w:eastAsia="Times New Roman" w:hAnsi="Times New Roman"/>
          <w:sz w:val="16"/>
          <w:szCs w:val="16"/>
          <w:color w:val="auto"/>
        </w:rPr>
        <w:t>”) at the public offering price of $6.00 per Unit. Pursuant to the Unit Offering, the Company sold 2,066,667 Units, resulting in the Company’s receipt of gross cash proceeds of $12.4 million and net cash proceeds of $11.67 million after deduction of commissions and offering costs.</w:t>
      </w:r>
    </w:p>
    <w:p>
      <w:pPr>
        <w:spacing w:after="0" w:line="14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Summary of Stock Purchase Warrants</w:t>
            </w:r>
          </w:p>
        </w:tc>
        <w:tc>
          <w:tcPr>
            <w:tcW w:w="5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51"/>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warrant activity during the nine months ended September 30, 2020:</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8"/>
        </w:trPr>
        <w:tc>
          <w:tcPr>
            <w:tcW w:w="26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6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Purchase</w:t>
            </w:r>
          </w:p>
        </w:tc>
      </w:tr>
      <w:tr>
        <w:trPr>
          <w:trHeight w:val="216"/>
        </w:trPr>
        <w:tc>
          <w:tcPr>
            <w:tcW w:w="26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Price Per</w:t>
            </w:r>
          </w:p>
        </w:tc>
      </w:tr>
      <w:tr>
        <w:trPr>
          <w:trHeight w:val="239"/>
        </w:trPr>
        <w:tc>
          <w:tcPr>
            <w:tcW w:w="26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3"/>
              </w:rPr>
              <w:t>Share</w:t>
            </w:r>
          </w:p>
        </w:tc>
        <w:tc>
          <w:tcPr>
            <w:tcW w:w="140" w:type="dxa"/>
            <w:vAlign w:val="bottom"/>
          </w:tcPr>
          <w:p>
            <w:pPr>
              <w:spacing w:after="0"/>
              <w:rPr>
                <w:sz w:val="20"/>
                <w:szCs w:val="20"/>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purchasable under outstanding warrants at December 31, 2019</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6,620,620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purchase warrants issued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2,066,667</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warrants exercised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(4,783,677)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w:t>
            </w:r>
          </w:p>
        </w:tc>
      </w:tr>
      <w:tr>
        <w:trPr>
          <w:trHeight w:val="27"/>
        </w:trPr>
        <w:tc>
          <w:tcPr>
            <w:tcW w:w="266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purchasable under outstanding warrants at September 30, 2020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3,903,610</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6.08</w:t>
            </w:r>
          </w:p>
        </w:tc>
      </w:tr>
      <w:tr>
        <w:trPr>
          <w:trHeight w:val="20"/>
        </w:trPr>
        <w:tc>
          <w:tcPr>
            <w:tcW w:w="26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75"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received gross proceeds of $24,479,654 from the exercise of warrants and paid $1,016,645 as an agent fee to facilitate exercise of certain warrants resulting in net proceeds of $23,463,009.</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Wrap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 w:type="dxa"/>
            <w:vAlign w:val="bottom"/>
          </w:tcPr>
          <w:p>
            <w:pPr>
              <w:spacing w:after="0"/>
              <w:rPr>
                <w:sz w:val="19"/>
                <w:szCs w:val="19"/>
                <w:color w:val="auto"/>
              </w:rPr>
            </w:pPr>
          </w:p>
        </w:tc>
        <w:tc>
          <w:tcPr>
            <w:tcW w:w="8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Company has outstanding Common Stock purchase warrants as of September 30, 2020 as follows: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8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8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Warrants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621,367</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Agent Warrants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75,333</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Warrants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1,661,397</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Agent Warrants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153,846</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8.125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Warrants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1,391,667</w:t>
            </w:r>
          </w:p>
        </w:tc>
        <w:tc>
          <w:tcPr>
            <w:tcW w:w="4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3,903,610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Subsequent to September 30, 2020 a total of 101,900 warrants were exercised for gross proceeds of $358,834.</w:t>
            </w: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280" w:type="dxa"/>
            <w:vAlign w:val="bottom"/>
          </w:tcPr>
          <w:p>
            <w:pPr>
              <w:spacing w:after="0"/>
              <w:rPr>
                <w:sz w:val="24"/>
                <w:szCs w:val="24"/>
                <w:color w:val="auto"/>
              </w:rPr>
            </w:pPr>
          </w:p>
        </w:tc>
        <w:tc>
          <w:tcPr>
            <w:tcW w:w="84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84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color w:val="auto"/>
        </w:rPr>
        <w:t>On March 31, 2017, the Company adopted, and the stockholders approved the 2017 Stock Incentive Plan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authorizing 2,000,000 shares of Company Common Stock for issuance as stock options and restricted stock units to employees, directors or consultants. In May 2019, the stockholders ratified an increase in the Plan authorizing an additional 2,100,000 shares of Common Stock and in June 2020 ratified a further authorization of 1,900,000 shares of Common Stock for a total of 6,000,000 shares subject to the Plan.</w:t>
      </w:r>
    </w:p>
    <w:p>
      <w:pPr>
        <w:spacing w:after="0" w:line="189" w:lineRule="exact"/>
        <w:rPr>
          <w:sz w:val="20"/>
          <w:szCs w:val="20"/>
          <w:color w:val="auto"/>
        </w:rPr>
      </w:pPr>
    </w:p>
    <w:p>
      <w:pPr>
        <w:jc w:val="both"/>
        <w:ind w:left="340" w:right="20"/>
        <w:spacing w:after="0" w:line="275" w:lineRule="auto"/>
        <w:rPr>
          <w:sz w:val="20"/>
          <w:szCs w:val="20"/>
          <w:color w:val="auto"/>
        </w:rPr>
      </w:pPr>
      <w:r>
        <w:rPr>
          <w:rFonts w:ascii="Times New Roman" w:cs="Times New Roman" w:eastAsia="Times New Roman" w:hAnsi="Times New Roman"/>
          <w:sz w:val="18"/>
          <w:szCs w:val="18"/>
          <w:color w:val="auto"/>
        </w:rPr>
        <w:t>The Company generally recognizes stock-based compensation expense on the grant date and over the period of vesting or period that services will be provided.</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nine months ended September 30, 2020:</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Options 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Remaining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43"/>
        </w:trPr>
        <w:tc>
          <w:tcPr>
            <w:tcW w:w="3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Contractual</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Intrinsic</w:t>
            </w:r>
          </w:p>
        </w:tc>
      </w:tr>
      <w:tr>
        <w:trPr>
          <w:trHeight w:val="252"/>
        </w:trPr>
        <w:tc>
          <w:tcPr>
            <w:tcW w:w="34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6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4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2019</w:t>
            </w:r>
          </w:p>
        </w:tc>
        <w:tc>
          <w:tcPr>
            <w:tcW w:w="2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2,928,750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2.96</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2"/>
        </w:trPr>
        <w:tc>
          <w:tcPr>
            <w:tcW w:w="340" w:type="dxa"/>
            <w:vAlign w:val="bottom"/>
          </w:tcPr>
          <w:p>
            <w:pPr>
              <w:spacing w:after="0"/>
              <w:rPr>
                <w:sz w:val="21"/>
                <w:szCs w:val="21"/>
                <w:color w:val="auto"/>
              </w:rPr>
            </w:pPr>
          </w:p>
        </w:tc>
        <w:tc>
          <w:tcPr>
            <w:tcW w:w="4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Granted</w:t>
            </w:r>
          </w:p>
        </w:tc>
        <w:tc>
          <w:tcPr>
            <w:tcW w:w="2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731,336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7.65</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340" w:type="dxa"/>
            <w:vAlign w:val="bottom"/>
          </w:tcPr>
          <w:p>
            <w:pPr>
              <w:spacing w:after="0"/>
              <w:rPr>
                <w:sz w:val="21"/>
                <w:szCs w:val="21"/>
                <w:color w:val="auto"/>
              </w:rPr>
            </w:pPr>
          </w:p>
        </w:tc>
        <w:tc>
          <w:tcPr>
            <w:tcW w:w="4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Exercised</w:t>
            </w:r>
          </w:p>
        </w:tc>
        <w:tc>
          <w:tcPr>
            <w:tcW w:w="2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(327,500)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1.73</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2"/>
        </w:trPr>
        <w:tc>
          <w:tcPr>
            <w:tcW w:w="340" w:type="dxa"/>
            <w:vAlign w:val="bottom"/>
          </w:tcPr>
          <w:p>
            <w:pPr>
              <w:spacing w:after="0"/>
              <w:rPr>
                <w:sz w:val="21"/>
                <w:szCs w:val="21"/>
                <w:color w:val="auto"/>
              </w:rPr>
            </w:pPr>
          </w:p>
        </w:tc>
        <w:tc>
          <w:tcPr>
            <w:tcW w:w="4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Forfeited, cancelled, expired</w:t>
            </w:r>
          </w:p>
        </w:tc>
        <w:tc>
          <w:tcPr>
            <w:tcW w:w="16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8"/>
        </w:trPr>
        <w:tc>
          <w:tcPr>
            <w:tcW w:w="3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September 30, 2020</w:t>
            </w:r>
          </w:p>
        </w:tc>
        <w:tc>
          <w:tcPr>
            <w:tcW w:w="1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3,282,586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4.13</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10,221,541</w:t>
            </w:r>
          </w:p>
        </w:tc>
      </w:tr>
      <w:tr>
        <w:trPr>
          <w:trHeight w:val="27"/>
        </w:trPr>
        <w:tc>
          <w:tcPr>
            <w:tcW w:w="340" w:type="dxa"/>
            <w:vAlign w:val="bottom"/>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34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 at September 30, 2020</w:t>
            </w:r>
          </w:p>
        </w:tc>
        <w:tc>
          <w:tcPr>
            <w:tcW w:w="16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2,042,500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2.56</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8,597,238</w:t>
            </w:r>
          </w:p>
        </w:tc>
      </w:tr>
      <w:tr>
        <w:trPr>
          <w:trHeight w:val="863"/>
        </w:trPr>
        <w:tc>
          <w:tcPr>
            <w:tcW w:w="3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8"/>
          <w:szCs w:val="18"/>
          <w:color w:val="auto"/>
        </w:rPr>
        <w:t>Wrap Technologies,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Notes to Unaudited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The Company uses the Black-Scholes option pricing model to determine the fair value of the options granted.</w:t>
            </w: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8060" w:type="dxa"/>
            <w:vAlign w:val="bottom"/>
          </w:tcPr>
          <w:p>
            <w:pPr>
              <w:spacing w:after="0"/>
              <w:rPr>
                <w:sz w:val="24"/>
                <w:szCs w:val="24"/>
                <w:color w:val="auto"/>
              </w:rPr>
            </w:pPr>
          </w:p>
        </w:tc>
        <w:tc>
          <w:tcPr>
            <w:tcW w:w="238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w w:val="99"/>
              </w:rPr>
              <w:t>For the Nine Months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8060" w:type="dxa"/>
            <w:vAlign w:val="bottom"/>
          </w:tcPr>
          <w:p>
            <w:pPr>
              <w:spacing w:after="0"/>
              <w:rPr>
                <w:sz w:val="21"/>
                <w:szCs w:val="21"/>
                <w:color w:val="auto"/>
              </w:rPr>
            </w:pPr>
          </w:p>
        </w:tc>
        <w:tc>
          <w:tcPr>
            <w:tcW w:w="238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w w:val="98"/>
              </w:rPr>
              <w:t>Ended September 30,</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2"/>
        </w:trPr>
        <w:tc>
          <w:tcPr>
            <w:tcW w:w="80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r>
      <w:tr>
        <w:trPr>
          <w:trHeight w:val="216"/>
        </w:trPr>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0.38%</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2.41%</w:t>
            </w:r>
          </w:p>
        </w:tc>
        <w:tc>
          <w:tcPr>
            <w:tcW w:w="20" w:type="dxa"/>
            <w:vAlign w:val="bottom"/>
          </w:tcPr>
          <w:p>
            <w:pPr>
              <w:spacing w:after="0"/>
              <w:rPr>
                <w:sz w:val="18"/>
                <w:szCs w:val="18"/>
                <w:color w:val="auto"/>
              </w:rPr>
            </w:pPr>
          </w:p>
        </w:tc>
      </w:tr>
      <w:tr>
        <w:trPr>
          <w:trHeight w:val="216"/>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Forfeiture rate</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r>
      <w:tr>
        <w:trPr>
          <w:trHeight w:val="216"/>
        </w:trPr>
        <w:tc>
          <w:tcPr>
            <w:tcW w:w="8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r>
      <w:tr>
        <w:trPr>
          <w:trHeight w:val="216"/>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Expected life of options - years</w:t>
            </w: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6.15</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Pr>
          <w:p>
            <w:pPr>
              <w:spacing w:after="0"/>
              <w:rPr>
                <w:sz w:val="18"/>
                <w:szCs w:val="18"/>
                <w:color w:val="auto"/>
              </w:rPr>
            </w:pPr>
          </w:p>
        </w:tc>
      </w:tr>
      <w:tr>
        <w:trPr>
          <w:trHeight w:val="223"/>
        </w:trPr>
        <w:tc>
          <w:tcPr>
            <w:tcW w:w="8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3.43</w:t>
            </w:r>
          </w:p>
        </w:tc>
        <w:tc>
          <w:tcPr>
            <w:tcW w:w="7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19"/>
                <w:szCs w:val="19"/>
                <w:color w:val="auto"/>
              </w:rPr>
            </w:pPr>
          </w:p>
        </w:tc>
      </w:tr>
    </w:tbl>
    <w:p>
      <w:pPr>
        <w:spacing w:after="0" w:line="202" w:lineRule="exact"/>
        <w:rPr>
          <w:sz w:val="20"/>
          <w:szCs w:val="20"/>
          <w:color w:val="auto"/>
        </w:rPr>
      </w:pPr>
    </w:p>
    <w:p>
      <w:pPr>
        <w:jc w:val="both"/>
        <w:ind w:left="340" w:right="20"/>
        <w:spacing w:after="0" w:line="258" w:lineRule="auto"/>
        <w:rPr>
          <w:sz w:val="20"/>
          <w:szCs w:val="20"/>
          <w:color w:val="auto"/>
        </w:rPr>
      </w:pPr>
      <w:r>
        <w:rPr>
          <w:rFonts w:ascii="Times New Roman" w:cs="Times New Roman" w:eastAsia="Times New Roman" w:hAnsi="Times New Roman"/>
          <w:sz w:val="18"/>
          <w:szCs w:val="18"/>
          <w:color w:val="auto"/>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w:t>
      </w:r>
    </w:p>
    <w:p>
      <w:pPr>
        <w:spacing w:after="0" w:line="190" w:lineRule="exact"/>
        <w:rPr>
          <w:sz w:val="20"/>
          <w:szCs w:val="20"/>
          <w:color w:val="auto"/>
        </w:rPr>
      </w:pPr>
    </w:p>
    <w:p>
      <w:pPr>
        <w:jc w:val="both"/>
        <w:ind w:left="340" w:right="20"/>
        <w:spacing w:after="0" w:line="258" w:lineRule="auto"/>
        <w:rPr>
          <w:sz w:val="20"/>
          <w:szCs w:val="20"/>
          <w:color w:val="auto"/>
        </w:rPr>
      </w:pPr>
      <w:r>
        <w:rPr>
          <w:rFonts w:ascii="Times New Roman" w:cs="Times New Roman" w:eastAsia="Times New Roman" w:hAnsi="Times New Roman"/>
          <w:sz w:val="18"/>
          <w:szCs w:val="18"/>
          <w:color w:val="auto"/>
        </w:rPr>
        <w:t>The risk-free interest rate assumption is based upon observed interest rates on zero coupon U.S. Treasury bonds whose maturity period is appropriate for the term of the options. The dividend yield of zero is based on the fact that the Company has never paid cash dividends and has no present intention to pay cash dividends. The Company calculates the expected life of the options using the Simplified Method for the employee stock options as the Company does not have sufficient historical data.</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223" w:lineRule="exact"/>
        <w:rPr>
          <w:sz w:val="20"/>
          <w:szCs w:val="20"/>
          <w:color w:val="auto"/>
        </w:rPr>
      </w:pPr>
    </w:p>
    <w:p>
      <w:pPr>
        <w:jc w:val="both"/>
        <w:ind w:left="340" w:right="20"/>
        <w:spacing w:after="0" w:line="255" w:lineRule="auto"/>
        <w:rPr>
          <w:sz w:val="20"/>
          <w:szCs w:val="20"/>
          <w:color w:val="auto"/>
        </w:rPr>
      </w:pPr>
      <w:r>
        <w:rPr>
          <w:rFonts w:ascii="Times New Roman" w:cs="Times New Roman" w:eastAsia="Times New Roman" w:hAnsi="Times New Roman"/>
          <w:sz w:val="18"/>
          <w:szCs w:val="18"/>
          <w:color w:val="auto"/>
        </w:rPr>
        <w:t>The Plan provides for the grant of restricted stock units (“</w:t>
      </w:r>
      <w:r>
        <w:rPr>
          <w:rFonts w:ascii="Times New Roman" w:cs="Times New Roman" w:eastAsia="Times New Roman" w:hAnsi="Times New Roman"/>
          <w:sz w:val="18"/>
          <w:szCs w:val="18"/>
          <w:i w:val="1"/>
          <w:iCs w:val="1"/>
          <w:color w:val="auto"/>
        </w:rPr>
        <w:t>RSUs”</w:t>
      </w:r>
      <w:r>
        <w:rPr>
          <w:rFonts w:ascii="Times New Roman" w:cs="Times New Roman" w:eastAsia="Times New Roman" w:hAnsi="Times New Roman"/>
          <w:sz w:val="18"/>
          <w:szCs w:val="18"/>
          <w:color w:val="auto"/>
        </w:rPr>
        <w:t>). On January 16, 2020 the Company granted 73,392 service-based RSUs to officers and directors vesting over a period of three years that are settled in shares of the Company’s Common Stock as the RSUs become vested. On April 1, 2020 the Company granted 122,222 service-based RSUs to employees vesting over a period of three years that are settled in shares of the Company’s Common Stock as the RSUs become vested. Also, on April 1, 2020 the Company granted an officer 35,211 performance-based RSUs. In July and September 2020, the Company granted 52,160 service-based RSU’s to employees vesting over three and four year periods that are settled in shares of the Company’s Common Stock as the RSUs become vested.</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RSU activity under the Plan for the nine months ended September 30, 2020:</w:t>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r>
      <w:tr>
        <w:trPr>
          <w:trHeight w:val="229"/>
        </w:trPr>
        <w:tc>
          <w:tcPr>
            <w:tcW w:w="5920" w:type="dxa"/>
            <w:vAlign w:val="bottom"/>
          </w:tcPr>
          <w:p>
            <w:pPr>
              <w:spacing w:after="0"/>
              <w:rPr>
                <w:sz w:val="19"/>
                <w:szCs w:val="19"/>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Service-Based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Vesting</w:t>
            </w:r>
          </w:p>
        </w:tc>
      </w:tr>
      <w:tr>
        <w:trPr>
          <w:trHeight w:val="266"/>
        </w:trPr>
        <w:tc>
          <w:tcPr>
            <w:tcW w:w="5920" w:type="dxa"/>
            <w:vAlign w:val="bottom"/>
          </w:tcPr>
          <w:p>
            <w:pPr>
              <w:spacing w:after="0"/>
              <w:rPr>
                <w:sz w:val="23"/>
                <w:szCs w:val="23"/>
                <w:color w:val="auto"/>
              </w:rPr>
            </w:pPr>
          </w:p>
        </w:tc>
        <w:tc>
          <w:tcPr>
            <w:tcW w:w="13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RSU's</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4"/>
              </w:rPr>
              <w:t>Fair Value</w:t>
            </w:r>
          </w:p>
        </w:tc>
        <w:tc>
          <w:tcPr>
            <w:tcW w:w="180" w:type="dxa"/>
            <w:vAlign w:val="bottom"/>
          </w:tcPr>
          <w:p>
            <w:pPr>
              <w:spacing w:after="0"/>
              <w:rPr>
                <w:sz w:val="23"/>
                <w:szCs w:val="23"/>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16"/>
        </w:trPr>
        <w:tc>
          <w:tcPr>
            <w:tcW w:w="5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Unvested at January 1, 2020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308,087</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6.77</w:t>
            </w:r>
          </w:p>
        </w:tc>
        <w:tc>
          <w:tcPr>
            <w:tcW w:w="1720" w:type="dxa"/>
            <w:vAlign w:val="bottom"/>
            <w:shd w:val="clear" w:color="auto" w:fill="CCEEFF"/>
          </w:tcPr>
          <w:p>
            <w:pPr>
              <w:spacing w:after="0"/>
              <w:rPr>
                <w:sz w:val="18"/>
                <w:szCs w:val="18"/>
                <w:color w:val="auto"/>
              </w:rPr>
            </w:pPr>
          </w:p>
        </w:tc>
      </w:tr>
      <w:tr>
        <w:trPr>
          <w:trHeight w:val="216"/>
        </w:trPr>
        <w:tc>
          <w:tcPr>
            <w:tcW w:w="5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Granted - service based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248,374</w:t>
            </w:r>
          </w:p>
        </w:tc>
        <w:tc>
          <w:tcPr>
            <w:tcW w:w="200" w:type="dxa"/>
            <w:vAlign w:val="bottom"/>
          </w:tcPr>
          <w:p>
            <w:pPr>
              <w:spacing w:after="0"/>
              <w:rPr>
                <w:sz w:val="18"/>
                <w:szCs w:val="18"/>
                <w:color w:val="auto"/>
              </w:rPr>
            </w:pP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6.03</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3.02 Years</w:t>
            </w:r>
          </w:p>
        </w:tc>
      </w:tr>
      <w:tr>
        <w:trPr>
          <w:trHeight w:val="216"/>
        </w:trPr>
        <w:tc>
          <w:tcPr>
            <w:tcW w:w="5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Granted - performance based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35,211</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4.26</w:t>
            </w:r>
          </w:p>
        </w:tc>
        <w:tc>
          <w:tcPr>
            <w:tcW w:w="1720" w:type="dxa"/>
            <w:vAlign w:val="bottom"/>
            <w:shd w:val="clear" w:color="auto" w:fill="CCEEFF"/>
          </w:tcPr>
          <w:p>
            <w:pPr>
              <w:spacing w:after="0"/>
              <w:rPr>
                <w:sz w:val="18"/>
                <w:szCs w:val="18"/>
                <w:color w:val="auto"/>
              </w:rPr>
            </w:pPr>
          </w:p>
        </w:tc>
      </w:tr>
      <w:tr>
        <w:trPr>
          <w:trHeight w:val="216"/>
        </w:trPr>
        <w:tc>
          <w:tcPr>
            <w:tcW w:w="5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(101,557)</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6.77</w:t>
            </w:r>
          </w:p>
        </w:tc>
        <w:tc>
          <w:tcPr>
            <w:tcW w:w="1720" w:type="dxa"/>
            <w:vAlign w:val="bottom"/>
          </w:tcPr>
          <w:p>
            <w:pPr>
              <w:spacing w:after="0"/>
              <w:rPr>
                <w:sz w:val="18"/>
                <w:szCs w:val="18"/>
                <w:color w:val="auto"/>
              </w:rPr>
            </w:pPr>
          </w:p>
        </w:tc>
      </w:tr>
      <w:tr>
        <w:trPr>
          <w:trHeight w:val="223"/>
        </w:trPr>
        <w:tc>
          <w:tcPr>
            <w:tcW w:w="5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Forfeited and cancelled</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(60,352)</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7.24</w:t>
            </w:r>
          </w:p>
        </w:tc>
        <w:tc>
          <w:tcPr>
            <w:tcW w:w="1720" w:type="dxa"/>
            <w:vAlign w:val="bottom"/>
            <w:shd w:val="clear" w:color="auto" w:fill="CCEEFF"/>
          </w:tcPr>
          <w:p>
            <w:pPr>
              <w:spacing w:after="0"/>
              <w:rPr>
                <w:sz w:val="19"/>
                <w:szCs w:val="19"/>
                <w:color w:val="auto"/>
              </w:rPr>
            </w:pPr>
          </w:p>
        </w:tc>
      </w:tr>
      <w:tr>
        <w:trPr>
          <w:trHeight w:val="216"/>
        </w:trPr>
        <w:tc>
          <w:tcPr>
            <w:tcW w:w="5920" w:type="dxa"/>
            <w:vAlign w:val="bottom"/>
            <w:tcBorders>
              <w:top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Unvested at September 30, 2020</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429,763</w:t>
            </w: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6.08</w:t>
            </w:r>
          </w:p>
        </w:tc>
        <w:tc>
          <w:tcPr>
            <w:tcW w:w="1720" w:type="dxa"/>
            <w:vAlign w:val="bottom"/>
            <w:tcBorders>
              <w:top w:val="single" w:sz="8" w:color="CCEEFF"/>
            </w:tcBorders>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recorded stock-based compensation for options and RSUs in its statements of operations for the relevant periods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52"/>
        </w:trPr>
        <w:tc>
          <w:tcPr>
            <w:tcW w:w="42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4"/>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Ended September 30,</w:t>
            </w:r>
          </w:p>
        </w:tc>
      </w:tr>
      <w:tr>
        <w:trPr>
          <w:trHeight w:val="250"/>
        </w:trPr>
        <w:tc>
          <w:tcPr>
            <w:tcW w:w="42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468,241</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438,834</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1,393,375</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987,251</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169,311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87,304</w:t>
            </w:r>
          </w:p>
        </w:tc>
      </w:tr>
      <w:tr>
        <w:trPr>
          <w:trHeight w:val="27"/>
        </w:trPr>
        <w:tc>
          <w:tcPr>
            <w:tcW w:w="4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expense</w:t>
            </w:r>
          </w:p>
        </w:tc>
        <w:tc>
          <w:tcPr>
            <w:tcW w:w="17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546,451</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473,657</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1,562,686</w:t>
            </w:r>
          </w:p>
        </w:tc>
        <w:tc>
          <w:tcPr>
            <w:tcW w:w="1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1,074,555</w:t>
            </w:r>
          </w:p>
        </w:tc>
      </w:tr>
      <w:tr>
        <w:trPr>
          <w:trHeight w:val="20"/>
        </w:trPr>
        <w:tc>
          <w:tcPr>
            <w:tcW w:w="42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275" w:lineRule="auto"/>
        <w:rPr>
          <w:sz w:val="20"/>
          <w:szCs w:val="20"/>
          <w:color w:val="auto"/>
        </w:rPr>
      </w:pPr>
      <w:r>
        <w:rPr>
          <w:rFonts w:ascii="Times New Roman" w:cs="Times New Roman" w:eastAsia="Times New Roman" w:hAnsi="Times New Roman"/>
          <w:sz w:val="18"/>
          <w:szCs w:val="18"/>
          <w:color w:val="auto"/>
        </w:rPr>
        <w:t>As of September 30, 2020, total estimated compensation cost of stock options and RSUs granted but not yet vested was $5.4 million which is expected to be recognized over the weighted average period of 2.6 years.</w:t>
      </w:r>
    </w:p>
    <w:p>
      <w:pPr>
        <w:sectPr>
          <w:pgSz w:w="11900" w:h="16838" w:orient="portrait"/>
          <w:cols w:equalWidth="0" w:num="1">
            <w:col w:w="11260"/>
          </w:cols>
          <w:pgMar w:left="320" w:top="125" w:right="31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Wrap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0" w:hanging="792"/>
        <w:spacing w:after="0"/>
        <w:tabs>
          <w:tab w:leader="none" w:pos="8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Facility Leases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8.</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Related Party Technology License Agreement</w:t>
      </w:r>
    </w:p>
    <w:p>
      <w:pPr>
        <w:spacing w:after="0" w:line="23"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The Company is obligated to pay royalties and pay development and patent costs pursuant to that certain exclusive Amended and Restated Intellectual Property License Agreement dated as of September 30, 2016, by and between the Company and Syzygy (the “</w:t>
      </w:r>
      <w:r>
        <w:rPr>
          <w:rFonts w:ascii="Times New Roman" w:cs="Times New Roman" w:eastAsia="Times New Roman" w:hAnsi="Times New Roman"/>
          <w:sz w:val="18"/>
          <w:szCs w:val="18"/>
          <w:i w:val="1"/>
          <w:iCs w:val="1"/>
          <w:color w:val="auto"/>
        </w:rPr>
        <w:t>Syzygy Agreement</w:t>
      </w:r>
      <w:r>
        <w:rPr>
          <w:rFonts w:ascii="Times New Roman" w:cs="Times New Roman" w:eastAsia="Times New Roman" w:hAnsi="Times New Roman"/>
          <w:sz w:val="18"/>
          <w:szCs w:val="18"/>
          <w:color w:val="auto"/>
        </w:rPr>
        <w:t>”), a company owned and controlled by Mr. Elwood Norris and Mr. James Barnes, both of whom are stockholders and officers of the Company. The Syzygy Agreement provides for royalty payments of 4% of revenue from products employing the licensed ensnarement device technology up to an aggregate of $1,000,000 in royalties or until September 30, 2026, whichever occurs earlier. The Company recorded payments under the Syzygy Agreement of $36,973 and $90,440 for royalties incurred during the three and nine months ended September 30, 2020 and $9,915 and $16,634 incurred for the three and nine months ended September 30, 2019, respectively.</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3" w:lineRule="exact"/>
        <w:rPr>
          <w:sz w:val="20"/>
          <w:szCs w:val="20"/>
          <w:color w:val="auto"/>
        </w:rPr>
      </w:pPr>
    </w:p>
    <w:p>
      <w:pPr>
        <w:jc w:val="both"/>
        <w:ind w:left="340"/>
        <w:spacing w:after="0" w:line="260" w:lineRule="auto"/>
        <w:rPr>
          <w:sz w:val="20"/>
          <w:szCs w:val="20"/>
          <w:color w:val="auto"/>
        </w:rPr>
      </w:pPr>
      <w:r>
        <w:rPr>
          <w:rFonts w:ascii="Times New Roman" w:cs="Times New Roman" w:eastAsia="Times New Roman" w:hAnsi="Times New Roman"/>
          <w:sz w:val="18"/>
          <w:szCs w:val="18"/>
          <w:color w:val="auto"/>
        </w:rPr>
        <w:t>At September 30, 2020 the Company was committed for approximately $0.5 million for future component deliveries and contract services that are generally subject to modification or rescheduling in the normal course of business.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Shareholder Litigation</w:t>
      </w:r>
    </w:p>
    <w:p>
      <w:pPr>
        <w:spacing w:after="0" w:line="23" w:lineRule="exact"/>
        <w:rPr>
          <w:sz w:val="20"/>
          <w:szCs w:val="20"/>
          <w:color w:val="auto"/>
        </w:rPr>
      </w:pPr>
    </w:p>
    <w:p>
      <w:pPr>
        <w:jc w:val="both"/>
        <w:ind w:left="340"/>
        <w:spacing w:after="0" w:line="287" w:lineRule="auto"/>
        <w:rPr>
          <w:sz w:val="20"/>
          <w:szCs w:val="20"/>
          <w:color w:val="auto"/>
        </w:rPr>
      </w:pPr>
      <w:r>
        <w:rPr>
          <w:rFonts w:ascii="Times New Roman" w:cs="Times New Roman" w:eastAsia="Times New Roman" w:hAnsi="Times New Roman"/>
          <w:sz w:val="16"/>
          <w:szCs w:val="16"/>
          <w:color w:val="auto"/>
        </w:rPr>
        <w:t>On September 23, 2020, Carone Cobden filed a putative class action complaint against the Company, former Chief Executive Officer David Norris (“</w:t>
      </w:r>
      <w:r>
        <w:rPr>
          <w:rFonts w:ascii="Times New Roman" w:cs="Times New Roman" w:eastAsia="Times New Roman" w:hAnsi="Times New Roman"/>
          <w:sz w:val="16"/>
          <w:szCs w:val="16"/>
          <w:i w:val="1"/>
          <w:iCs w:val="1"/>
          <w:color w:val="auto"/>
        </w:rPr>
        <w:t>Norris</w:t>
      </w:r>
      <w:r>
        <w:rPr>
          <w:rFonts w:ascii="Times New Roman" w:cs="Times New Roman" w:eastAsia="Times New Roman" w:hAnsi="Times New Roman"/>
          <w:sz w:val="16"/>
          <w:szCs w:val="16"/>
          <w:color w:val="auto"/>
        </w:rPr>
        <w:t>”), Chief Financial Officer James A. Barnes (“</w:t>
      </w:r>
      <w:r>
        <w:rPr>
          <w:rFonts w:ascii="Times New Roman" w:cs="Times New Roman" w:eastAsia="Times New Roman" w:hAnsi="Times New Roman"/>
          <w:sz w:val="16"/>
          <w:szCs w:val="16"/>
          <w:i w:val="1"/>
          <w:iCs w:val="1"/>
          <w:color w:val="auto"/>
        </w:rPr>
        <w:t>Barnes</w:t>
      </w:r>
      <w:r>
        <w:rPr>
          <w:rFonts w:ascii="Times New Roman" w:cs="Times New Roman" w:eastAsia="Times New Roman" w:hAnsi="Times New Roman"/>
          <w:sz w:val="16"/>
          <w:szCs w:val="16"/>
          <w:color w:val="auto"/>
        </w:rPr>
        <w:t>”) and President Thomas Smith (“</w:t>
      </w:r>
      <w:r>
        <w:rPr>
          <w:rFonts w:ascii="Times New Roman" w:cs="Times New Roman" w:eastAsia="Times New Roman" w:hAnsi="Times New Roman"/>
          <w:sz w:val="16"/>
          <w:szCs w:val="16"/>
          <w:i w:val="1"/>
          <w:iCs w:val="1"/>
          <w:color w:val="auto"/>
        </w:rPr>
        <w:t>Smith</w:t>
      </w:r>
      <w:r>
        <w:rPr>
          <w:rFonts w:ascii="Times New Roman" w:cs="Times New Roman" w:eastAsia="Times New Roman" w:hAnsi="Times New Roman"/>
          <w:sz w:val="16"/>
          <w:szCs w:val="16"/>
          <w:color w:val="auto"/>
        </w:rPr>
        <w:t>”) in the United States District Court for the Central District of California, docketed as Case No. 2-20-cv-08760-DMG-PVCx (the “</w:t>
      </w:r>
      <w:r>
        <w:rPr>
          <w:rFonts w:ascii="Times New Roman" w:cs="Times New Roman" w:eastAsia="Times New Roman" w:hAnsi="Times New Roman"/>
          <w:sz w:val="16"/>
          <w:szCs w:val="16"/>
          <w:i w:val="1"/>
          <w:iCs w:val="1"/>
          <w:color w:val="auto"/>
        </w:rPr>
        <w:t>Complaint</w:t>
      </w:r>
      <w:r>
        <w:rPr>
          <w:rFonts w:ascii="Times New Roman" w:cs="Times New Roman" w:eastAsia="Times New Roman" w:hAnsi="Times New Roman"/>
          <w:sz w:val="16"/>
          <w:szCs w:val="16"/>
          <w:color w:val="auto"/>
        </w:rPr>
        <w:t>”). The class period in the Complaint is defined as July 31, 2020 through September 23, 2020. The Complaint alleges that the named defendants, in their capacities as officers of the Company, knowingly made false or misleading statements or omissions regarding trials of the Company’s BolaWrap product conducted by the Los Angeles Police Department (the “</w:t>
      </w:r>
      <w:r>
        <w:rPr>
          <w:rFonts w:ascii="Times New Roman" w:cs="Times New Roman" w:eastAsia="Times New Roman" w:hAnsi="Times New Roman"/>
          <w:sz w:val="16"/>
          <w:szCs w:val="16"/>
          <w:i w:val="1"/>
          <w:iCs w:val="1"/>
          <w:color w:val="auto"/>
        </w:rPr>
        <w:t>BolaWrap</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Pilot Program</w:t>
      </w:r>
      <w:r>
        <w:rPr>
          <w:rFonts w:ascii="Times New Roman" w:cs="Times New Roman" w:eastAsia="Times New Roman" w:hAnsi="Times New Roman"/>
          <w:sz w:val="16"/>
          <w:szCs w:val="16"/>
          <w:color w:val="auto"/>
        </w:rPr>
        <w:t>”). The Complaint further alleges that the conduct of the named defendants artificially inflated the price of the Company’s traded securities,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that the disclosure of certain adverse information to the public led to a decline in the market value of the Company’s securities. The Complaint alleges violations of Sections 10(b) and 20(a) of the Securities Exchange Act of 1934, as amended (the “</w:t>
      </w:r>
      <w:r>
        <w:rPr>
          <w:rFonts w:ascii="Times New Roman" w:cs="Times New Roman" w:eastAsia="Times New Roman" w:hAnsi="Times New Roman"/>
          <w:sz w:val="16"/>
          <w:szCs w:val="16"/>
          <w:i w:val="1"/>
          <w:iCs w:val="1"/>
          <w:color w:val="auto"/>
        </w:rPr>
        <w:t>Exchange Act</w:t>
      </w:r>
      <w:r>
        <w:rPr>
          <w:rFonts w:ascii="Times New Roman" w:cs="Times New Roman" w:eastAsia="Times New Roman" w:hAnsi="Times New Roman"/>
          <w:sz w:val="16"/>
          <w:szCs w:val="16"/>
          <w:color w:val="auto"/>
        </w:rPr>
        <w:t>”), and Rule 10b-5 promulgated thereunder.</w:t>
      </w:r>
    </w:p>
    <w:p>
      <w:pPr>
        <w:spacing w:after="0" w:line="172" w:lineRule="exact"/>
        <w:rPr>
          <w:sz w:val="20"/>
          <w:szCs w:val="20"/>
          <w:color w:val="auto"/>
        </w:rPr>
      </w:pPr>
    </w:p>
    <w:p>
      <w:pPr>
        <w:jc w:val="both"/>
        <w:ind w:left="340"/>
        <w:spacing w:after="0" w:line="262" w:lineRule="auto"/>
        <w:rPr>
          <w:sz w:val="20"/>
          <w:szCs w:val="20"/>
          <w:color w:val="auto"/>
        </w:rPr>
      </w:pPr>
      <w:r>
        <w:rPr>
          <w:rFonts w:ascii="Times New Roman" w:cs="Times New Roman" w:eastAsia="Times New Roman" w:hAnsi="Times New Roman"/>
          <w:sz w:val="18"/>
          <w:szCs w:val="18"/>
          <w:color w:val="auto"/>
        </w:rPr>
        <w:t>On October 1, 2020, Joseph Mercurio filed a second putative class action complaint against the Company, Norris, Smith, and Barnes in the United States District Court for the Central District of California, which contains substantially the same factual allegations and legal claims as set forth in the Complaint, and is docketed as Case No. 2-20-cv-09030-DMG-PVCx.</w:t>
      </w:r>
    </w:p>
    <w:p>
      <w:pPr>
        <w:spacing w:after="0" w:line="186"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October 15, 2020, Paula Earley filed a third putative class action complaint against the Company, Smith, Norris, Barnes, Chief Strategy Officer Mike Rothans, and Chief Executive Officer Marc Thomas in the United States District Court for the Central District of California, which contains substantially the same factual allegations and legal claims as set forth in the Complaint, but defines the class period as April 29, 2020 through September 23, 2020, and alleges that the named defendants made additional false or misleading statements in connection with BolaWrap and the BolaWrap Pilot Program. The complaint is docketed as Case No. 2-20-cv-09444-DMG-PVCx.</w:t>
      </w:r>
    </w:p>
    <w:p>
      <w:pPr>
        <w:spacing w:after="0" w:line="190"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color w:val="auto"/>
        </w:rPr>
        <w:t xml:space="preserve">On October 20, 2020, the Hon. Dolly M. Gee issued an order to show cause why the above-described cases should not be consolidated under the caption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 Wrap Technologies, Inc. Securities Exchange Act Litigation</w:t>
      </w:r>
      <w:r>
        <w:rPr>
          <w:rFonts w:ascii="Times New Roman" w:cs="Times New Roman" w:eastAsia="Times New Roman" w:hAnsi="Times New Roman"/>
          <w:sz w:val="18"/>
          <w:szCs w:val="18"/>
          <w:color w:val="auto"/>
        </w:rPr>
        <w:t>, Case No. 20-8760-DMG (PVCx), with a single consolidated class action complaint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designated operative complaint. As such, the Company expects that these cases will be consolidated, and that plaintiffs in these cases will file a consolidated amended complaint following the selection of a lead plaintiff pursuant to 15 U.S.C. § 78u-4(a)(3)(B). The Company believes that these cases are without merit and intends to vigorously defend against the claims raised therein.</w:t>
      </w:r>
    </w:p>
    <w:p>
      <w:pPr>
        <w:spacing w:after="0" w:line="188" w:lineRule="exact"/>
        <w:rPr>
          <w:sz w:val="20"/>
          <w:szCs w:val="20"/>
          <w:color w:val="auto"/>
        </w:rPr>
      </w:pPr>
    </w:p>
    <w:p>
      <w:pPr>
        <w:ind w:left="800" w:hanging="792"/>
        <w:spacing w:after="0"/>
        <w:tabs>
          <w:tab w:leader="none" w:pos="8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7" w:lineRule="exact"/>
        <w:rPr>
          <w:sz w:val="20"/>
          <w:szCs w:val="20"/>
          <w:color w:val="auto"/>
        </w:rPr>
      </w:pPr>
    </w:p>
    <w:p>
      <w:pPr>
        <w:jc w:val="both"/>
        <w:ind w:left="340"/>
        <w:spacing w:after="0" w:line="339" w:lineRule="auto"/>
        <w:rPr>
          <w:sz w:val="20"/>
          <w:szCs w:val="20"/>
          <w:color w:val="auto"/>
        </w:rPr>
      </w:pPr>
      <w:r>
        <w:rPr>
          <w:rFonts w:ascii="Times New Roman" w:cs="Times New Roman" w:eastAsia="Times New Roman" w:hAnsi="Times New Roman"/>
          <w:sz w:val="16"/>
          <w:szCs w:val="16"/>
          <w:color w:val="auto"/>
        </w:rPr>
        <w:t>Commencing in October 2017 the Company began reimbursing Mr. Elwood Norris, an officer and stockholder of the Company, $1,500 per month on a month to month basis for laboratory facility costs, for an aggregate of $13,500 during the nine months ended September 30, 2020 and 2019, respectively.</w:t>
      </w:r>
    </w:p>
    <w:p>
      <w:pPr>
        <w:spacing w:after="0" w:line="126" w:lineRule="exact"/>
        <w:rPr>
          <w:sz w:val="20"/>
          <w:szCs w:val="20"/>
          <w:color w:val="auto"/>
        </w:rPr>
      </w:pPr>
    </w:p>
    <w:p>
      <w:pPr>
        <w:jc w:val="both"/>
        <w:ind w:left="340"/>
        <w:spacing w:after="0" w:line="259" w:lineRule="auto"/>
        <w:rPr>
          <w:sz w:val="20"/>
          <w:szCs w:val="20"/>
          <w:color w:val="auto"/>
        </w:rPr>
      </w:pPr>
      <w:r>
        <w:rPr>
          <w:rFonts w:ascii="Times New Roman" w:cs="Times New Roman" w:eastAsia="Times New Roman" w:hAnsi="Times New Roman"/>
          <w:sz w:val="18"/>
          <w:szCs w:val="18"/>
          <w:color w:val="auto"/>
        </w:rPr>
        <w:t>Commencing in April 2020 the Company engaged V3 Capital Partners, LLC (“</w:t>
      </w:r>
      <w:r>
        <w:rPr>
          <w:rFonts w:ascii="Times New Roman" w:cs="Times New Roman" w:eastAsia="Times New Roman" w:hAnsi="Times New Roman"/>
          <w:sz w:val="18"/>
          <w:szCs w:val="18"/>
          <w:i w:val="1"/>
          <w:iCs w:val="1"/>
          <w:color w:val="auto"/>
        </w:rPr>
        <w:t>V3</w:t>
      </w:r>
      <w:r>
        <w:rPr>
          <w:rFonts w:ascii="Times New Roman" w:cs="Times New Roman" w:eastAsia="Times New Roman" w:hAnsi="Times New Roman"/>
          <w:sz w:val="18"/>
          <w:szCs w:val="18"/>
          <w:color w:val="auto"/>
        </w:rPr>
        <w:t>”), a company owned and controlled by Scot Cohen, the Company’s Executive Chairman, to provide certain investor, shareholder and marketing services, in consideration for the payment to V3 of $10,000 per month on a month to month basis for an aggregate of $60,000 during the nine months ended September 30, 2020. In addition, the Company paid V3 a bonus of $175,000 for assistance in a qualified financing that was consummated in July 2020.</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Notes 7 and 12 for additional information on related party transactions and obligations.</w:t>
      </w:r>
    </w:p>
    <w:p>
      <w:pPr>
        <w:spacing w:after="0" w:line="223" w:lineRule="exact"/>
        <w:rPr>
          <w:sz w:val="20"/>
          <w:szCs w:val="20"/>
          <w:color w:val="auto"/>
        </w:rPr>
      </w:pPr>
    </w:p>
    <w:p>
      <w:pPr>
        <w:ind w:left="800" w:hanging="792"/>
        <w:spacing w:after="0"/>
        <w:tabs>
          <w:tab w:leader="none" w:pos="8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7" w:lineRule="exact"/>
        <w:rPr>
          <w:sz w:val="20"/>
          <w:szCs w:val="20"/>
          <w:color w:val="auto"/>
        </w:rPr>
      </w:pPr>
    </w:p>
    <w:p>
      <w:pPr>
        <w:jc w:val="both"/>
        <w:ind w:left="340"/>
        <w:spacing w:after="0" w:line="262" w:lineRule="auto"/>
        <w:rPr>
          <w:sz w:val="20"/>
          <w:szCs w:val="20"/>
          <w:color w:val="auto"/>
        </w:rPr>
      </w:pPr>
      <w:r>
        <w:rPr>
          <w:rFonts w:ascii="Times New Roman" w:cs="Times New Roman" w:eastAsia="Times New Roman" w:hAnsi="Times New Roman"/>
          <w:sz w:val="18"/>
          <w:szCs w:val="18"/>
          <w:color w:val="auto"/>
        </w:rPr>
        <w:t>See Notes 10 and 12. The Company evaluated other subsequent events for their potential impact on the financial statements and disclosures through the date the financial statements were available to be issued, and determined that, except as disclosed herein, no subsequent events occurred that were reasonably expected to impact the financial statements presented herein.</w:t>
      </w:r>
    </w:p>
    <w:p>
      <w:pPr>
        <w:sectPr>
          <w:pgSz w:w="11900" w:h="16838" w:orient="portrait"/>
          <w:cols w:equalWidth="0" w:num="1">
            <w:col w:w="11240"/>
          </w:cols>
          <w:pgMar w:left="320" w:top="125" w:right="339" w:bottom="106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06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financial statements and other financial information included elsewhere in this Quarterly Report on Form 10-Q (this “Report”) and with our audited financial statements and other information presented in our Annual Report on Form 10-K for the year ended December 31, 2019. The following discussion may contain forward-looking statements that reflect our plans, estimates and beliefs. Words such as “expect,” “anticipate,” “intend,” “plan,” “believe,” “seek,” “estimate,” “continue,” “may,” “will,” “could,” “would,” or the negative or plural of such words and similar expressions or variations of such words are intended to identify forward-looking statements, but are not the only means of identifying forward-looking statements.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these differences include, but are not limited to, those discussed below and elsewhere in this Report and in our other SEC filings, including particularly matters set forth under Part I, Item 1A (Risk Factors) of our Annual Report on Form 10-K.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9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We are a security technology company organized in March 2016 and are focused on delivering modern policing solutions to customers, primarily consisting of law enforcement and security personnel. We began demonstrations of our first product, the BolaWrap 100 remote restraint device, in November 2017. We made various improvements throughout 2018 as a result of feedback from early users of our devices. In late May 2019, we began shipping an updated version of our BolaWrap 100 remote restraint device featuring a green line laser to strategic police departments and international distributors.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immediate addressable domestic market consists of approximately 900,000 full-time sworn law enforcement officers at over 15,300 federal, state and local law enforcement agencies. We are also exploring other domestic markets, including military and private security. Our international focus is on countries with the largest police forces. The 100 largest international police agencies are estimated to have over 12.1 million law enforcement personnel. According to Statistics MRC, a market research consulting firm, we participate in a segment of the non-lethal products global market expected to grow to $11.85 billion by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 and Challenges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remote restraint solution continues to gain worldwide awareness and recognition through media exposure, trade shows, product demonstrations and word of mouth as a result of positive responses from agencies and early adoption and deployment success. We believe the BolaWrap 100 is gaining traction as a recognized global brand, with innovative technology and an initial product foundation achieved through aggressive marketing and public relations.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expanding our business in 2020 domestically and internationally through both direct and distributor sales. We have distribution agreements with 13 domestic distributors representing 49 states. These nonexclusive and cancelable agreements provide certain territorial rights to distributors but allow us to sell direct to certain agencies. We have distribution agreements with 29 international distributors representing 36 countries and have delivered BolaWrap products to 35 countries to date. These international agreements are generally exclusive, require minimum performance and allow us to sell direct to customers subject to certain compensation. We focus significant sales and business development efforts to support our international distributors. We are pursuing large business opportunities internationally and also pursuing business with large domestic police agencies. It is difficult to anticipate how long it will take to close these opportunities, or if they will ultimately come to fruition.</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support our increased sales and distribution activities we have developed and offer robust training and class materials that certify law enforcement officers and trainers as BolaWrap Instructors in the use and limitations of the BolaWrap 100. At September 30, 2020, in addition to our internal training executives, we have trained 50 contract regional Master Instructors. As of September 30, 2020, over 300 agencies had received BolaWrap 100 training with over 1,100 training officers at those agencies certified as BolaWrap 100 instructors qualified to train the rest of their departments.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announced earlier this year, we have designed, tested and obtained independent certification for our Wrap Armor labeled 20” x 30” rifle rated police shield. Early in the second quarter we delivered our first order of Wrap Armor shields. We believe our strong and light National Institute of Justice 0108.01 Type III (High Powered Rifle) compliant tactical shields offer police agencies an affordable defense against increasingly sophisticated threats. We are currently evaluating and testing additional models and sizes, securing sources of supply and determining the sales and marketing resources required to grow this product line.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19" w:name="page20"/>
    <w:bookmarkEnd w:id="19"/>
    <w:p>
      <w:pPr>
        <w:jc w:val="both"/>
        <w:spacing w:after="0" w:line="262" w:lineRule="auto"/>
        <w:rPr>
          <w:sz w:val="20"/>
          <w:szCs w:val="20"/>
          <w:color w:val="auto"/>
        </w:rPr>
      </w:pPr>
      <w:r>
        <w:rPr>
          <w:rFonts w:ascii="Times New Roman" w:cs="Times New Roman" w:eastAsia="Times New Roman" w:hAnsi="Times New Roman"/>
          <w:sz w:val="18"/>
          <w:szCs w:val="18"/>
          <w:color w:val="auto"/>
        </w:rPr>
        <w:t>At September 30, 2020, we had $128,143 of customer deposits on orders and had backlog of approximately $1.1 million expected to be delivered in the next twelve months. Distributor and customer orders for future deliveries are generally subject to modification, rescheduling or in some instance’s cancellation in the normal course of business.</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Since inception in March 2016, we have generated significant losses from operations and anticipate that we will continue to generate significant losses from operations for the foreseeable future. We believe that we have adequate financial resources to sustain our operations for the next year.</w:t>
      </w:r>
    </w:p>
    <w:p>
      <w:pPr>
        <w:spacing w:after="0" w:line="17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We expect that we will need to continue to innovate new applications for our security technology, develop new products and technologies to meet diverse customer requirements and identify and develop new markets for our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COVID-19 Impact</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face significant challenges in operating and growing our business related to the outbreak of the novel coronavirus (“</w:t>
      </w:r>
      <w:r>
        <w:rPr>
          <w:rFonts w:ascii="Times New Roman" w:cs="Times New Roman" w:eastAsia="Times New Roman" w:hAnsi="Times New Roman"/>
          <w:sz w:val="18"/>
          <w:szCs w:val="18"/>
          <w:i w:val="1"/>
          <w:iCs w:val="1"/>
          <w:color w:val="auto"/>
        </w:rPr>
        <w:t>COVID-19</w:t>
      </w:r>
      <w:r>
        <w:rPr>
          <w:rFonts w:ascii="Times New Roman" w:cs="Times New Roman" w:eastAsia="Times New Roman" w:hAnsi="Times New Roman"/>
          <w:sz w:val="18"/>
          <w:szCs w:val="18"/>
          <w:color w:val="auto"/>
        </w:rPr>
        <w:t>”) which continues to spread throughout the United States and the World. The outbreak of COVID-19 has resulted in travel restrictions, quarantines, “stay-at-home” and “shelter-in-place” orders and extended shutdown of certain businesses around the world. We are monitoring the outbreak of COVID-19 and the related business and travel restrictions and changes to behavior intended to reduce its spread, in addition to the impact on our employees. We continued to operate with some modifications, and we took actions intended to protect our employees and our customers that adversely affected our results by increasing costs during a period of stalled sales and production activity.</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Starting during the second quarter our customers experienced staffing issues limiting our ability to demonstrate and train. We believe we made an important transition during the second quarter including remote sales and training through webinars and expect this to be a continuing aspect of our business. We curtailed most sales and training travel and reduced our production personnel until late in the second quarter when some customer locations domestically and internationally eased restrictions and we began to again close business prospects. In the third quarter we continued to face some domestic and substantial international restrictions that affected our ability to travel and train customers. We believe this had an adverse effect on our sales in the third quarter and while it appears some severe international restrictions may ease it is uncertain as to timing and the effect on future international orders.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magnitude and the duration of the pandemic and the extent and duration of the pandemic’s adverse effect on economic and social activity, consumer confidence, customer spending and preferences, labor and healthcare costs, and unemployment rates is uncertain as of the date of this Report. Our ability to sell, train and service our products and conduct our business may be adversely impacted as a result of continuing or future pandemic related travel restrictions, mandatory business closures, and stay-at home or similar orders; temporary reductions in our workforce, closures of our offices and facilities and the ability of our customers and suppliers to continue their operations as a result of the pandemic. While there could ultimately be a material impact on operations and liquidity of the Company, at the time of issuance of this Report, the impact cannot be determined.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costs. We base our estimates on historical experience and on various other assumptions we believe to be reasonable under the circumstances. Actual results may differ from these estimates under different assumptions or conditions.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at a later time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Some of our accounting policies require higher degrees of judgment than others in their application. These include stock-based compensation and contingencies and areas such as revenue recognition, operating lease liabilities, warranty liabilities, impairments and valuation of intangible assets.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sell our products to customers including law enforcement agencies, domestic distributors and international distributors and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such transactions is recognized in the periods that products are shipped (free on board (“</w:t>
      </w:r>
      <w:r>
        <w:rPr>
          <w:rFonts w:ascii="Times New Roman" w:cs="Times New Roman" w:eastAsia="Times New Roman" w:hAnsi="Times New Roman"/>
          <w:sz w:val="18"/>
          <w:szCs w:val="18"/>
          <w:i w:val="1"/>
          <w:iCs w:val="1"/>
          <w:color w:val="auto"/>
        </w:rPr>
        <w:t>FOB</w:t>
      </w:r>
      <w:r>
        <w:rPr>
          <w:rFonts w:ascii="Times New Roman" w:cs="Times New Roman" w:eastAsia="Times New Roman" w:hAnsi="Times New Roman"/>
          <w:sz w:val="18"/>
          <w:szCs w:val="18"/>
          <w:color w:val="auto"/>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sometimes training. Our customers do not have the right to return product unless the product is found to be defective.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 Based Compensation. </w:t>
      </w:r>
      <w:r>
        <w:rPr>
          <w:rFonts w:ascii="Times New Roman" w:cs="Times New Roman" w:eastAsia="Times New Roman" w:hAnsi="Times New Roman"/>
          <w:sz w:val="18"/>
          <w:szCs w:val="18"/>
          <w:color w:val="auto"/>
        </w:rPr>
        <w:t>We follow the fair value recognition provisions issued by the Financial Accounting Standards Board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in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Codification (“</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Topic 718, Stock Compensation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and we adopted Accounting Standards Update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2018-07 for share-based transactions with non-employees. Share-based compensation expense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stock-based payment award. The Black-Scholes option-pricing model requires inputs including the market price of the Company’s Common Stock on the date of grant, the term that the stock options are expected to be outstanding, the implied stock volatilities of several publicly-traded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stock-based compensation expense based on awards that we ultimately expect to vest and account for forfeitures as they occur. The fair value of stock-based compensation is amortized to compensation expense over the vesting term.</w:t>
      </w:r>
    </w:p>
    <w:p>
      <w:pPr>
        <w:spacing w:after="0" w:line="19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i w:val="1"/>
          <w:iCs w:val="1"/>
          <w:color w:val="auto"/>
        </w:rPr>
        <w:t xml:space="preserve">Allowance for Doubtful Accounts. </w:t>
      </w:r>
      <w:r>
        <w:rPr>
          <w:rFonts w:ascii="Times New Roman" w:cs="Times New Roman" w:eastAsia="Times New Roman" w:hAnsi="Times New Roman"/>
          <w:sz w:val="16"/>
          <w:szCs w:val="16"/>
          <w:color w:val="auto"/>
        </w:rPr>
        <w:t>Our products are sold to customers in many different markets and geographic locations. We estimate our bad debt reserve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 case-by-case basis due to a limited number of customers mostly government agencies or well-established distributors. Our expected loss allowance methodology for accounts receivable is developed using historical collection experience, when available any published or estimated credit default rates for entities that represent our customer base, current and future economic and market conditions and a review of the current status of customers' trade accounts receivables. Our judgments and estimates regarding collectability of accounts receivable have an impact on our financial statements.</w:t>
      </w:r>
    </w:p>
    <w:p>
      <w:pPr>
        <w:spacing w:after="0" w:line="1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i w:val="1"/>
          <w:iCs w:val="1"/>
          <w:color w:val="auto"/>
        </w:rPr>
        <w:t>Valuation of Inventory</w:t>
      </w:r>
      <w:r>
        <w:rPr>
          <w:rFonts w:ascii="Times New Roman" w:cs="Times New Roman" w:eastAsia="Times New Roman" w:hAnsi="Times New Roman"/>
          <w:sz w:val="18"/>
          <w:szCs w:val="18"/>
          <w:color w:val="auto"/>
        </w:rPr>
        <w:t>. Our inventory is comprised of raw materials, assemblies and finished products. We must periodically make judgments and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the future utility and carrying value of our inventory. The carrying value of our inventory is periodically reviewed and impairments, if any, are recognized when the expected future benefit from our inventory is less than carrying value.</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Valuation of Intangible Assets. </w:t>
      </w:r>
      <w:r>
        <w:rPr>
          <w:rFonts w:ascii="Times New Roman" w:cs="Times New Roman" w:eastAsia="Times New Roman" w:hAnsi="Times New Roman"/>
          <w:sz w:val="18"/>
          <w:szCs w:val="18"/>
          <w:color w:val="auto"/>
        </w:rPr>
        <w:t>Intangible assets consist of patents and trademarks that are amortized over their estimated useful lives. We must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Accrued Expenses. </w:t>
      </w:r>
      <w:r>
        <w:rPr>
          <w:rFonts w:ascii="Times New Roman" w:cs="Times New Roman" w:eastAsia="Times New Roman" w:hAnsi="Times New Roman"/>
          <w:sz w:val="18"/>
          <w:szCs w:val="18"/>
          <w:color w:val="auto"/>
        </w:rPr>
        <w:t>We establish a warranty reserve based on anticipated warranty claims at the time product revenue is recognized. This reserve requires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estimates regarding the amount and costs of warranty repairs we expect to make over a period of time. Factors affecting warranty reserve levels include the number of units sold, anticipated cost of warranty repairs, and anticipated rates of warranty claims. We have very limited history to make such estimates and warranty estimates have an impact on our financial statements. Warranty expense is recorded in cost of revenues. We evaluate the adequacy of this reserve each reporting period.</w:t>
      </w:r>
    </w:p>
    <w:p>
      <w:pPr>
        <w:spacing w:after="0" w:line="19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We use the recognition criteria of ASC 450-20, “Loss Contingencies” to estimate the amount of bonuses when it becomes probable a bonus liability will be incurred and we recognize expense ratably over the service period. We accrue bonus expense each quarter based on estimated year-end results, and then adjust the actual in the fourth quarter based on our final results compared to targets.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Historically, our assumptions, judgments and estimates relative to our critical accounting policies have not differed materially from actual results. There were no significant changes or modification of our critical accounting policies and estimates involving management valuation adjustments affecting our results for the nine months ended September 30, 2020.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Operating Expense</w:t>
      </w:r>
    </w:p>
    <w:p>
      <w:pPr>
        <w:spacing w:after="0" w:line="22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Our operating expense includes (i) selling, general and administrative expense, and (ii) research and development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expenses. The scope and magnitude of our future research and development expense is difficult to predict at this time and will depend on elections made regarding research projects, staffing levels and outside consulting and contract costs. The actual level of future selling, general and administrative expense will be dependent on staffing levels, elections regarding expenditures on sales, marketing and customer training, the use of outside resources, public company and regulatory costs, and other factors, some of which are outside of our control.</w:t>
      </w:r>
    </w:p>
    <w:p>
      <w:pPr>
        <w:spacing w:after="0" w:line="19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expect our operating costs will increase as we expand product distribution activities and expand our research and development, production, distribution, training, service and administrative functions in the near term. We may also incur substantial noncash stock-based compensation costs depending on future option and restricted stock unit grants that are impacted by stock prices and other valuation factors. Historical expenditures are not indicative of future expenditures.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2020 Compared to Three Months Ended September 30, 2019</w:t>
      </w:r>
    </w:p>
    <w:p>
      <w:pPr>
        <w:spacing w:after="0" w:line="22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items of our condensed statement of operations. The financial information and the discussion below should be read in conjunction with the condensed financial statements and notes contained elsewhere in this Report.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2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right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 sales</w:t>
            </w:r>
          </w:p>
        </w:tc>
        <w:tc>
          <w:tcPr>
            <w:tcW w:w="19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988,089</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255,973</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732,116</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Pr>
          <w:p>
            <w:pPr>
              <w:spacing w:after="0"/>
              <w:rPr>
                <w:sz w:val="18"/>
                <w:szCs w:val="18"/>
                <w:color w:val="auto"/>
              </w:rPr>
            </w:pPr>
          </w:p>
        </w:tc>
      </w:tr>
      <w:tr>
        <w:trPr>
          <w:trHeight w:val="223"/>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revenue</w:t>
            </w:r>
          </w:p>
        </w:tc>
        <w:tc>
          <w:tcPr>
            <w:tcW w:w="1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1,006,764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738,001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18"/>
                <w:szCs w:val="18"/>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687,991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530,205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318,773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110,977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207,796</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19"/>
                <w:szCs w:val="19"/>
                <w:color w:val="auto"/>
              </w:rPr>
            </w:pPr>
          </w:p>
        </w:tc>
      </w:tr>
      <w:tr>
        <w:trPr>
          <w:trHeight w:val="216"/>
        </w:trPr>
        <w:tc>
          <w:tcPr>
            <w:tcW w:w="42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3,255,464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1,878,152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1,377,312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r>
      <w:tr>
        <w:trPr>
          <w:trHeight w:val="223"/>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926,677</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729,788</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196,889</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4,182,141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2,607,940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1,574,201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(3,863,368)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(2,496,963)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(1,366,405)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r>
      <w:tr>
        <w:trPr>
          <w:trHeight w:val="27"/>
        </w:trPr>
        <w:tc>
          <w:tcPr>
            <w:tcW w:w="42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We reported revenue of $1,006,764 for the three months ended September 30, 2020 from the sale of BolaWrap products and accessories. This was a significant increase from the third quarter of the prior year when we had only recently commenced product sales and reported sales of $268,763. It is also a 21% increase over the immediately preceding quarter ended June 30, 2020 of $832,592. We believe our sales during the third quarter were negatively impacted by the COVID-19 pandemic as we were limited in our ability to make product demonstrations and conduct training primarily internationally. As some areas of the United States eased restrictions late in the second quarter we were able to commence limited in-person demonstrations and training to supplement our webinar capabilities. We incurred product promotional costs of $261,102 during the three months ended September 30, 2020 related to the cost of demonstration products and accessories delivered to law enforcement agencies that were expensed as marketing costs. A total of $153,539 of such product marketing costs were incurred during the three months ended September 30, 2019.</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555" w:right="319" w:bottom="1440" w:gutter="0" w:footer="0" w:header="0"/>
        </w:sectPr>
      </w:pPr>
    </w:p>
    <w:bookmarkStart w:id="22" w:name="page23"/>
    <w:bookmarkEnd w:id="22"/>
    <w:p>
      <w:pPr>
        <w:jc w:val="both"/>
        <w:spacing w:after="0" w:line="275" w:lineRule="auto"/>
        <w:rPr>
          <w:sz w:val="20"/>
          <w:szCs w:val="20"/>
          <w:color w:val="auto"/>
        </w:rPr>
      </w:pPr>
      <w:r>
        <w:rPr>
          <w:rFonts w:ascii="Times New Roman" w:cs="Times New Roman" w:eastAsia="Times New Roman" w:hAnsi="Times New Roman"/>
          <w:sz w:val="18"/>
          <w:szCs w:val="18"/>
          <w:color w:val="auto"/>
        </w:rPr>
        <w:t>We had $594 of deferred revenue at September 30, 2020 related to products sold for which the related training revenue component had not been completed and $1,890 related to extended warranties.</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we can accelerate sales in the future but the impact of the COVID-19 coronavirus has created much uncertainty in the global marketplace. We believe the pandemic had a negative impact on our sales in the second and third quarters. We are unable to predict the impact on demand for our products in future quarters. We expect sales may be sporadic as we grow both our domestic and international distributor and customer base and due to COVID-19 restrictions. There can be no assurance, especially given the uncertainties of the COVID-19 crisis, that we can increase quarterly revenues during the balance of 2020.</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At September 30, 2020, we had $128,143 of customer deposits on orders and had backlog of approximately $1.1 million expected to be delivered in the next twelve months. Distributor and customer orders for future deliveries are generally subject to modification, rescheduling or in some instance’s cancellation in the normal course of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cost of revenue for the three months ended September 30, 2020 was $687,991 resulting in a gross margin of 32%. The gross margin for the three months ended September 30, 2019 was 41% on a small revenue base.</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our history of minimal revenue and startup costs incurred to establish volume manufacturing historical margins may not be indicative of future margins. In addition, our margins vary based on the sales channels through which our products are sold and product mix. Our sales mix of cartridges was higher in the third quarter than the prior year comparable quarter and as compared to recent quarters. Currently, our cartridges have lower margins than BolaWrap devices, but late in the third quarter we implemented initiatives to improve gross margins attributable to our cartridges. We continue to implement product updates and changes, including raw material and component changes that may impact product costs. With such product updates and changes we have limited warranty cost experience and estimated future warranty costs can impact our gross margins.</w:t>
      </w:r>
    </w:p>
    <w:p>
      <w:pPr>
        <w:spacing w:after="0" w:line="19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In September 2019 we relocated manufacturing operations and commenced production at our new facility in Tempe, Arizona. While this significantly increases our capacity, we continue to implement production and process changes targeted to improve efficiency.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Selling, general and administrative expense for the three months ended September 30, 2020 increased by $1,377,312 when compared to the three months ended September 30, 2019. We increased our staffing and promotion activities in 2020 to address growing market opportunities. We incurred a $29,407 increase in non-cash stock-based compensation expense allocated to selling, general and administrative expense that totaled $468,241 in the three months ended September 30, 2020 compared to $438,834 in the three months ended September 30, 2019. Other increases included a $605,322 increase in cash compensation and recruiting costs from an increase in headcount since the prior year and a $116,080 increase in public company related costs. Marketing and promotion costs increased $381,260 due primarily to promotional products and online advertising. Due to the COVID-19 pandemic we suspended most travel in the second quarter. Our travel costs related to sales, demonstrations and training decreased by $28,086 primarily due to COVID-19 restrictions even though the number of sales and training personnel increased from the prior year.</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in part to our receipt of $414,362 in loan proceeds from Bank of America, N.A. (the “</w:t>
      </w:r>
      <w:r>
        <w:rPr>
          <w:rFonts w:ascii="Times New Roman" w:cs="Times New Roman" w:eastAsia="Times New Roman" w:hAnsi="Times New Roman"/>
          <w:sz w:val="18"/>
          <w:szCs w:val="18"/>
          <w:i w:val="1"/>
          <w:iCs w:val="1"/>
          <w:color w:val="auto"/>
        </w:rPr>
        <w:t>Lender</w:t>
      </w:r>
      <w:r>
        <w:rPr>
          <w:rFonts w:ascii="Times New Roman" w:cs="Times New Roman" w:eastAsia="Times New Roman" w:hAnsi="Times New Roman"/>
          <w:sz w:val="18"/>
          <w:szCs w:val="18"/>
          <w:color w:val="auto"/>
        </w:rPr>
        <w:t>”), in the form of a potentially forgivable loan (the “</w:t>
      </w:r>
      <w:r>
        <w:rPr>
          <w:rFonts w:ascii="Times New Roman" w:cs="Times New Roman" w:eastAsia="Times New Roman" w:hAnsi="Times New Roman"/>
          <w:sz w:val="18"/>
          <w:szCs w:val="18"/>
          <w:i w:val="1"/>
          <w:iCs w:val="1"/>
          <w:color w:val="auto"/>
        </w:rPr>
        <w:t>PPP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w:t>
      </w:r>
      <w:r>
        <w:rPr>
          <w:rFonts w:ascii="Times New Roman" w:cs="Times New Roman" w:eastAsia="Times New Roman" w:hAnsi="Times New Roman"/>
          <w:sz w:val="18"/>
          <w:szCs w:val="18"/>
          <w:color w:val="auto"/>
        </w:rPr>
        <w:t>”) through the U.S. Small Business Administration pursuant to the Paycheck Protection Program (the “</w:t>
      </w:r>
      <w:r>
        <w:rPr>
          <w:rFonts w:ascii="Times New Roman" w:cs="Times New Roman" w:eastAsia="Times New Roman" w:hAnsi="Times New Roman"/>
          <w:sz w:val="18"/>
          <w:szCs w:val="18"/>
          <w:i w:val="1"/>
          <w:iCs w:val="1"/>
          <w:color w:val="auto"/>
        </w:rPr>
        <w:t>PPP</w:t>
      </w:r>
      <w:r>
        <w:rPr>
          <w:rFonts w:ascii="Times New Roman" w:cs="Times New Roman" w:eastAsia="Times New Roman" w:hAnsi="Times New Roman"/>
          <w:sz w:val="18"/>
          <w:szCs w:val="18"/>
          <w:color w:val="auto"/>
        </w:rPr>
        <w:t>”) enacted by Congress under the Coronavirus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Aid, Relief, and Economic Security Act (15 U.S.C. 636(a)(36)) (the “</w:t>
      </w:r>
      <w:r>
        <w:rPr>
          <w:rFonts w:ascii="Times New Roman" w:cs="Times New Roman" w:eastAsia="Times New Roman" w:hAnsi="Times New Roman"/>
          <w:sz w:val="18"/>
          <w:szCs w:val="18"/>
          <w:i w:val="1"/>
          <w:iCs w:val="1"/>
          <w:color w:val="auto"/>
        </w:rPr>
        <w:t>CARES Act</w:t>
      </w:r>
      <w:r>
        <w:rPr>
          <w:rFonts w:ascii="Times New Roman" w:cs="Times New Roman" w:eastAsia="Times New Roman" w:hAnsi="Times New Roman"/>
          <w:sz w:val="18"/>
          <w:szCs w:val="18"/>
          <w:color w:val="auto"/>
        </w:rPr>
        <w:t>”), we maintained staffing in April, we were able to respond to limited re-openings commencing late in the second quarter and develop and employ new tools such as webinars to communicate with prospective and existing customers. We believe these staffing decisions positioned us to respond to increased opportunities resulting from recent highly publicized policing issues and an increased focus on less lethal engagement.</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expect to expend increased resources on the marketing and selling of our products, training distributors and customers and administratively supporting our operations during the balance of 2020 to respond to increased opportunities but amounts could vary depending on sales levels, the impact of the COVID-19 pandemic and other factors outside of our control.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w:t>
      </w:r>
    </w:p>
    <w:p>
      <w:pPr>
        <w:spacing w:after="0" w:line="22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Research and development expense increased $196,889 during the three months ended September 30, 2020, when compared to the comparable period in 2019. We incurred a $43,387 period over period increase in non-cash stock-based compensation expense allocated to research and development expense as a result of new award grants and vesting timing. The increase in costs during the 2020 period, when compared to the comparable period in 2019, included a $113,147 increase in cash compensation costs resulting from an increase in headcount primarily associated with product development. Prototype related costs increased $129,366 in the 2020 period, primarily related to development efforts to improve our BolaWrap 100 product and develop new products. Outside consulting costs decreased $51,486 from the comparable period in 2019 primarily due to the addition of permanent staff. Travel costs related to research and development decreased $34,618 during the three months ended September 30, 2020 when compared to the same period in 2019 primarily due to COVID-19 restrictions and completion of the Arizona facility setup. We expect our research and development costs to increase during the balance of 2020 as we are adding staff and expanding our research initiatives in response to market opportunities.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w:t>
      </w:r>
    </w:p>
    <w:p>
      <w:pPr>
        <w:spacing w:after="0" w:line="22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Loss from operations during the three months ended September 30, 2020 increased by $1,366,405 when compared to the three months ended September 30, 2019, resulting, primarily, from increased operating costs due to increased personnel, marketing and selling and supporting activities.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2020 Compared to Nine Months Ended September 30, 2019</w:t>
      </w:r>
    </w:p>
    <w:p>
      <w:pPr>
        <w:spacing w:after="0" w:line="22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items of our condensed statement of operations. The financial information and the discussion below should be read in conjunction with the condensed financial statements and notes contained elsewhere in this Report.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 sales</w:t>
            </w:r>
          </w:p>
        </w:tc>
        <w:tc>
          <w:tcPr>
            <w:tcW w:w="19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2,485,866</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418,874</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2,066,992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 w:type="dxa"/>
            <w:vAlign w:val="bottom"/>
          </w:tcPr>
          <w:p>
            <w:pPr>
              <w:spacing w:after="0"/>
              <w:rPr>
                <w:sz w:val="18"/>
                <w:szCs w:val="18"/>
                <w:color w:val="auto"/>
              </w:rPr>
            </w:pPr>
          </w:p>
        </w:tc>
      </w:tr>
      <w:tr>
        <w:trPr>
          <w:trHeight w:val="223"/>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revenue</w:t>
            </w:r>
          </w:p>
        </w:tc>
        <w:tc>
          <w:tcPr>
            <w:tcW w:w="1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2,528,793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2,082,775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tcPr>
          <w:p>
            <w:pPr>
              <w:spacing w:after="0"/>
              <w:rPr>
                <w:sz w:val="18"/>
                <w:szCs w:val="18"/>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1,658,773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1,404,072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3"/>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870,020</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191,317</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678,703</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tcPr>
          <w:p>
            <w:pPr>
              <w:spacing w:after="0"/>
              <w:rPr>
                <w:sz w:val="19"/>
                <w:szCs w:val="19"/>
                <w:color w:val="auto"/>
              </w:rPr>
            </w:pPr>
          </w:p>
        </w:tc>
      </w:tr>
      <w:tr>
        <w:trPr>
          <w:trHeight w:val="216"/>
        </w:trPr>
        <w:tc>
          <w:tcPr>
            <w:tcW w:w="4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7,933,261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4,547,215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3,386,046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r>
      <w:tr>
        <w:trPr>
          <w:trHeight w:val="223"/>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2,037,633</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1,620,820</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416,813</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9,970,894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6,168,035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3,802,859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(9,100,874)</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(5,976,718)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(3,124,156)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r>
      <w:tr>
        <w:trPr>
          <w:trHeight w:val="27"/>
        </w:trPr>
        <w:tc>
          <w:tcPr>
            <w:tcW w:w="42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We reported revenue of $2,528,793 for the nine months ended September 30, 2020 from the sale of BolaWrap products and accessories and Wrap Armor tactical shields. This was a significant increase from the first nine months of the prior year when we had only recently commenced product sales and reported sales of $446,018. As disclosed above we believe our sales during the third quarter were negatively impacted by the COVID-19 pandemic as we were severely limited in our ability to make product demonstrations and conduct training both domestically and internationally. As some areas of the United States eased restrictions early in the third quarter we were able to commence limited in-person demonstrations and training to supplement our webinar capabilities. We incurred product promotional costs of $572,075 during the nine months ended September 30, 2020 related to the cost of demonstration products and accessories delivered to law enforcement agencies that were expensed as marketing costs. A total of $288,599 of such product marketing costs were incurred during the nine months ended September 30, 2019.</w:t>
      </w:r>
    </w:p>
    <w:p>
      <w:pPr>
        <w:spacing w:after="0" w:line="19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We had $594 of deferred revenue at September 30, 2020 related to products sold for which the related training revenue component had not been completed and $1,890 related to extended warranties.</w:t>
      </w:r>
    </w:p>
    <w:p>
      <w:pPr>
        <w:spacing w:after="0" w:line="17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At September 30, 2020, we had $128,143 of customer deposits on orders and had backlog of approximately $1.1 million expected to be delivered in the next twelve months. Distributor and customer orders for future deliveries are generally subject to modification, rescheduling or in some instance’s cancellation in the normal course of business.</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cost of revenue for the nine months ended September 30, 2020 was $1,658,773 resulting in a gross margin of 34%. The gross margin for the nine months ended September 30, 2019 was 43% on a small revenue base. We curtailed production for ten weeks during the second quarter due the COVID-19 restrictions in Arizona and this down time negatively impacted our gross margin.</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our history of minimal revenue and startup costs incurred to establish volume manufacturing historical margins may not be indicative of future margins. In addition, our margins vary based on the sales channels through which our products are sold and product mix. Due to timing of international orders our mix of cartridges was higher in the first nine months of 2020 than 2019. Currently, our cartridges have lower margins than BolaWrap devices, but late in the third quarter we implemented initiatives to improve gross margins attributable to our cartridges. We continue to implement product updates and changes, including raw material and component changes that may impact product costs. With such product updates and changes we have limited warranty cost experience and estimated future warranty costs can impact our gross margins.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Selling, general and administrative expense for the nine months ended September 30, 2020 increased by $3,386,046 when compared to the nine months ended September 30, 2019. We increased our staffing and promotion activities in 2020 to address growing market opportunities. We incurred a $406,124 increase in non-cash stock-based compensation expense allocated to selling, general and administrative expense that totaled $1,393,375 in the nine months ended September 30, 2020 compared to $987,251 in the nine months ended September 30, 2019. Other increases included a $1,433,545 increase in cash compensation and recruiting costs from an increase in headcount since the prior year and a $240,380 increase in public company related costs. Marketing and promotion costs increased $761,791 due primarily to promotional products and online advertising. Travel efforts resumed during the third quarter, however, due to the COVID-19 pandemic, travel was still limited. Our travel costs related to sales, demonstrations and training increased by $7,469 from the prior year resulting from an increase in the number of sales and training personnel offset in part by travel restrictions.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in part to our receipt of $414,362 in loan proceeds by way of the PPP Loan, we maintained staffing in April, we were able to respond to agency re-openings during the third quarter and employ new tools such as webinars to communicate with prospective and existing customers. We believe these staffing decisions positioned us to respond to increased opportunities resulting from recent highly publicized policing issues and an increased focus on less lethal engagement.</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expect to expend increased resources on the marketing and selling of our products, training distributors and customers and administratively supporting our operations during the balance of 2020 to respond to increased opportunities but amounts could vary depending on sales levels, the impact of the COVID-19 crisis and other factors outside of our control.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Research and development expense increased $416,813 during the nine months ended September 30, 2020, when compared to the comparable period in 2019. We incurred a $82,007 period over period increase in non-cash stock-based compensation expense allocated to research and development expense as a result of new award grants and vesting timing. The increase in costs during the 2020 period, when compared to the comparable period in 2019, included a $328,124 increase in cash compensation costs resulting from an increase in headcount primarily associated with product development. Prototype related costs increased $164,482 in the 2020 period, primarily related to development efforts to improve our BolaWrap 100 product and develop new products. We expect our research and development costs to increase during the balance of 2020 was we are adding staff and expanding our research initiatives in response to market opportunities.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w:t>
      </w: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Loss from operations during the nine months ended September 30, 2020 increased by $3,124,156 when compared to the nine months ended September 30, 2019, resulting, primarily, from increased operating costs due to increased personnel, marketing and selling and supporting activities.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net losses and negative cash flows from operations since our inception. As of September 30, 2020, we had cash and cash equivalents of $20,118,192, short-term investments of $24,986,117 and positive working capital of $46,832,991 and had sustained cumulative losses attributable to stockholders of $21,747,551. We believe that our cash on hand and short-term investments will sustain our operations for at least the next twelve months from the date of this Report.</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During the nine months ended September 30, 2020 we received $11,667,206 of net proceeds resulting from the consummation of a registered offering of our Common Stock in June 2020, and obtained $24,029,259 of net proceeds from the exercise of previously issued warrants and stock options. We also obtained $414,362 in proceeds from the PPP Loan during the nine months ended September 30, 2020.</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October 2020 through the date of this Report we obtained $358,834 of gross cash proceeds from the exercise of outstanding warrants and stock options to supplement our liquidity.</w:t>
      </w:r>
    </w:p>
    <w:p>
      <w:pPr>
        <w:spacing w:after="0" w:line="1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primary source of liquidity to date has been funding from our stockholders from the sale of equity securities and the exercise of derivative securities, consisting of options and warrants. We expect our primary source of future liquidity will be from the sale of products, exercise of stock options and warrants and if required from future equity or debt financings.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currently estimate our future liquidity requirements or future capital needs, which will depend on, among other things, capital required to introduce our products and the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We believe we have sufficient capital to sustain our operations for the next twelve months.</w:t>
      </w:r>
    </w:p>
    <w:p>
      <w:pPr>
        <w:spacing w:after="0" w:line="1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future capital requirements, cash flows and results of operations could be affected by, and will depend on, many factors, some of which are currently unknown to us, including, among other things:</w:t>
      </w:r>
    </w:p>
    <w:p>
      <w:pPr>
        <w:spacing w:after="0" w:line="174" w:lineRule="exact"/>
        <w:rPr>
          <w:sz w:val="20"/>
          <w:szCs w:val="20"/>
          <w:color w:val="auto"/>
        </w:rPr>
      </w:pPr>
    </w:p>
    <w:p>
      <w:pPr>
        <w:ind w:left="660" w:hanging="328"/>
        <w:spacing w:after="0" w:line="25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effects of the global outbreak of the COVID-19 pandemic, and other potential pandemics or contagious diseases or fear of such outbreaks;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regarding staffing, development, production, marketing and other functions;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any market acceptance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planned production and required customer and regulatory compliance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our patent applications and defending any future intellectual property-related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additional product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any future warranty claims or litigation against us associated with any of our products;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associated with any new financing.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2020, net cash used in operating activities was $7,693,290. The net loss of $9,024,333 was decreased by non-cash expense of $1,771,258 consisting primarily of stock-based compensation expense of $1,562,686. Other major component changes using operating cash included an increase of $984,915 in accounts receivable, a $215,581 decrease in customer deposits and a $49,864 increase in prepaid expenses and other current assets. A decrease of $293,547 in inventories and an increase of $609,362 in accounts payable and accrued liabilities reduced the cash used in operating activities.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6" w:name="page27"/>
    <w:bookmarkEnd w:id="26"/>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2019, net cash used in operating activities was $5,805,987 consisting primarily of the net loss of $5,782,059 reduced by non-cash stock-based compensation of $1,074,555. Major component changes using operating cash included a $1,685,059 increase in inventories, an increase of $91,109 in accounts receivable and a $96,000 reduction in deferred compensation. An increase of $585,126 in accounts payable and accrued liabilities and new customer deposits of $238,510 reduced the cash used in operating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used $202,432 and $197,873 of cash for the purchase of property and equipment during the nine months ended September 30, 2020 and 2019, respectively. We invested $101,266 and $95,536 in patents during the nine months ended September 30, 2020 and 2019, respectively. We purchased $24,979,511 of short-term investments in August 2020.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During the nine months ended September 30, 2020 we received $11,667,206 of net proceeds resulting from the consummation of a registered offering of our Common Stock in June 2020, and obtained $24,029,259 of net proceeds from the exercise of previously issued warrants and stock options. We also obtained $414,362 in proceeds from a PPP Loan during the nine months ended September 30, 2020.</w:t>
      </w:r>
    </w:p>
    <w:p>
      <w:pPr>
        <w:spacing w:after="0" w:line="18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During the nine months ended September 30, 2019 we received $11,351,214 of net proceeds resulting from the consummation of a registered offering of our Common Stock in June 2019, and obtained $1,662,285 from the exercise of previously issued warrants and stock options.</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October 2020 through the date of this Report our financing activities included $358,834 of gross cash proceeds from the exercise of outstanding warrants and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that certain exclusive Amended and Restated Intellectual Property License Agreement dated September 30, 2016, by and between the Company and Syzygy Licensing, LLC (“</w:t>
      </w:r>
      <w:r>
        <w:rPr>
          <w:rFonts w:ascii="Times New Roman" w:cs="Times New Roman" w:eastAsia="Times New Roman" w:hAnsi="Times New Roman"/>
          <w:sz w:val="18"/>
          <w:szCs w:val="18"/>
          <w:i w:val="1"/>
          <w:iCs w:val="1"/>
          <w:color w:val="auto"/>
        </w:rPr>
        <w:t>Syzygy</w:t>
      </w:r>
      <w:r>
        <w:rPr>
          <w:rFonts w:ascii="Times New Roman" w:cs="Times New Roman" w:eastAsia="Times New Roman" w:hAnsi="Times New Roman"/>
          <w:sz w:val="18"/>
          <w:szCs w:val="18"/>
          <w:color w:val="auto"/>
        </w:rPr>
        <w:t>”), we are obligated to pay to Syzygy a 4% royalty fee on future product sales up to an aggregate amount of $1.0 million in royalty payments or until September 30, 2026, whichever occurs earlier.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committed to aggregate lease payments on facility leases of $36,181 for the balance of 2020, $101,406 in 2021 and $57,328 in 2022.</w:t>
      </w:r>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September 30, 2020 the Company was committed for approximately $0.5 million for future component deliveries and contract services that are generally subject to modification or rescheduling in the normal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inflation has had a material impact on our business, revenue or operating results during the periods presented.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There have been no recent accounting pronouncements or changes in accounting pronouncements during the period ended September 30, 2020, or subsequently thereto, that we believe are of potential significance to our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 are required to maintain disclosure controls and procedures designed to ensure that material information related to us, including our consolidated subsidiaries, is recorded, processed, summarized and reported within the time periods specified in the SEC rules and forms.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Conclusion Regarding the Effectiveness of Disclosure Controls and Procedures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our principal financial officer, as of September 30, 2020 we conducted an evaluation of our disclosure controls and procedures as such term is defined under Rules 13a-15(e) and 15d-15(e) promulgated under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Based on this evaluation, our principal executive officer and our principal financial officer concluded that our disclosure controls and procedures were effective at the reasonable assurance level.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fiscal quarter ended September 30, 2020,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which may be identified during this process.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091"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23, 2020, Carone Cobden filed a putative class action complaint against the Company, former Chief Executive Officer David Norris (“</w:t>
      </w:r>
      <w:r>
        <w:rPr>
          <w:rFonts w:ascii="Times New Roman" w:cs="Times New Roman" w:eastAsia="Times New Roman" w:hAnsi="Times New Roman"/>
          <w:sz w:val="18"/>
          <w:szCs w:val="18"/>
          <w:i w:val="1"/>
          <w:iCs w:val="1"/>
          <w:color w:val="auto"/>
        </w:rPr>
        <w:t>Norris</w:t>
      </w:r>
      <w:r>
        <w:rPr>
          <w:rFonts w:ascii="Times New Roman" w:cs="Times New Roman" w:eastAsia="Times New Roman" w:hAnsi="Times New Roman"/>
          <w:sz w:val="18"/>
          <w:szCs w:val="18"/>
          <w:color w:val="auto"/>
        </w:rPr>
        <w:t>”), Chief Financial Officer James A. Barnes (“Barnes”) and President Thomas Smith (“</w:t>
      </w:r>
      <w:r>
        <w:rPr>
          <w:rFonts w:ascii="Times New Roman" w:cs="Times New Roman" w:eastAsia="Times New Roman" w:hAnsi="Times New Roman"/>
          <w:sz w:val="18"/>
          <w:szCs w:val="18"/>
          <w:i w:val="1"/>
          <w:iCs w:val="1"/>
          <w:color w:val="auto"/>
        </w:rPr>
        <w:t>Smith</w:t>
      </w:r>
      <w:r>
        <w:rPr>
          <w:rFonts w:ascii="Times New Roman" w:cs="Times New Roman" w:eastAsia="Times New Roman" w:hAnsi="Times New Roman"/>
          <w:sz w:val="18"/>
          <w:szCs w:val="18"/>
          <w:color w:val="auto"/>
        </w:rPr>
        <w:t>”) in the United States District Court for the Central District of California, docketed as Case No. 2-20-cv-08760-DMG-PVCx (the “</w:t>
      </w:r>
      <w:r>
        <w:rPr>
          <w:rFonts w:ascii="Times New Roman" w:cs="Times New Roman" w:eastAsia="Times New Roman" w:hAnsi="Times New Roman"/>
          <w:sz w:val="18"/>
          <w:szCs w:val="18"/>
          <w:i w:val="1"/>
          <w:iCs w:val="1"/>
          <w:color w:val="auto"/>
        </w:rPr>
        <w:t>Complaint</w:t>
      </w:r>
      <w:r>
        <w:rPr>
          <w:rFonts w:ascii="Times New Roman" w:cs="Times New Roman" w:eastAsia="Times New Roman" w:hAnsi="Times New Roman"/>
          <w:sz w:val="18"/>
          <w:szCs w:val="18"/>
          <w:color w:val="auto"/>
        </w:rPr>
        <w:t>”). The class period in the Complaint is defined as July 31, 2020 through September 23, 2020. The Complaint alleges that the named defendants, in their capacities as officers of the Company, knowingly made false or misleading statements or omissions regarding trials of the Company’s BolaWrap product conducted by the Los Angeles Police Department (the “</w:t>
      </w:r>
      <w:r>
        <w:rPr>
          <w:rFonts w:ascii="Times New Roman" w:cs="Times New Roman" w:eastAsia="Times New Roman" w:hAnsi="Times New Roman"/>
          <w:sz w:val="18"/>
          <w:szCs w:val="18"/>
          <w:i w:val="1"/>
          <w:iCs w:val="1"/>
          <w:color w:val="auto"/>
        </w:rPr>
        <w:t>BolaWrap Pilot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Program</w:t>
      </w:r>
      <w:r>
        <w:rPr>
          <w:rFonts w:ascii="Times New Roman" w:cs="Times New Roman" w:eastAsia="Times New Roman" w:hAnsi="Times New Roman"/>
          <w:sz w:val="18"/>
          <w:szCs w:val="18"/>
          <w:color w:val="auto"/>
        </w:rPr>
        <w:t>”). The Complaint further alleges that the conduct of the named defendants artificially inflated the price of the Company’s traded securities, and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disclosure of certain adverse information to the public led to a decline in the market value of the Company’s securities. The Complaint alleges violations of Sections 10(b) and 20(a) of the Exchange Act, and Rule 10b-5 promulgated thereunder.</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October 1, 2020, Joseph Mercurio filed a second putative class action complaint against the Company, Norris, Smith, and Barnes in the United States District Court for the Central District of California, which contains substantially the same factual allegations and legal claims as set forth in the Complaint, and is docketed as Case No. 2-20-cv-09030-DMG-PVCx.</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15, 2020, Paula Earley filed a third putative class action complaint against the Company, Smith, Norris, Barnes, Chief Strategy Officer Mike Rothans, and Chief Executive Officer Marc Thomas in the United States District Court for the Central District of California, which contains substantially the same factual allegations and legal claims as set forth in the Complaint, but defines the class period as April 29, 2020 through September 23, 2020, and alleges that the named defendants made additional false or misleading statements in connection with BolaWrap and the BolaWrap Pilot Program. The complaint is docketed as Case No. 2-20-cv-09444-DMG-PVCx.</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20, 2020, the Hon. Dolly M. Gee issued an order to show cause why the above-described cases should not be consolidated under the caption In re Wrap Technologies, Inc. Securities Exchange Act Litigation, Case No. 20-8760-DMG (PVCx), with a single consolidated class action complaint or designated operative complaint. As such, the Company expects that these cases will be consolidated, and that plaintiffs in these cases will file a consolidated amended complaint following the selection of a lead plaintiff pursuant to 15 U.S.C. § 78u-4(a)(3)(B). The Company believes that these cases are without merit and intends to vigorously defend against the claims raised therein.</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may at times become involved in litigation in the ordinary course of business. We will also, from time to time, when appropriate in management’s estimation, record adequate reserves in our financial statements for pending litigation. Currently, there are no pending material legal proceedings to which the Company is a party or to which any of its property is subject.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Exchange Act and in Item 10(f)(1) of Regulation S-K, we are electing scaled disclosure reporting obligations and therefore are not required to provide the information requested by this item.</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Investors should carefully consider the risk factors included in the “Risk Factors” section of our Annual Report on Form 10-K for our year ended December 31, 2019, as filed with SEC on March 10, 2020. The Company’s business, operating results and financial condition could be adversely affected due to any of those risks including, but not limited to, the risk factor related to business interruptions, including interruptions resulting from the COVID-19 pandemic. The extent to which the COVID-19 impacts our operations or those of our third-party partners will depend on future developments, which are highly uncertain and cannot be predicted with confidence, including the duration of the outbreak, new information that may emerge concerning the severity of COVID-19 and the actions to contain COVID-19 or treat its impact, among others. Any losses or damages we incur could have a material adverse effect on our financial results and our ability to conduct business as expected</w:t>
      </w:r>
      <w:r>
        <w:rPr>
          <w:rFonts w:ascii="Times New Roman" w:cs="Times New Roman" w:eastAsia="Times New Roman" w:hAnsi="Times New Roman"/>
          <w:sz w:val="18"/>
          <w:szCs w:val="18"/>
          <w:b w:val="1"/>
          <w:bCs w:val="1"/>
          <w:i w:val="1"/>
          <w:iCs w:val="1"/>
          <w:color w:val="auto"/>
        </w:rPr>
        <w:t>.</w:t>
      </w:r>
    </w:p>
    <w:p>
      <w:pPr>
        <w:spacing w:after="0" w:line="19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Additionally, the continued spread of COVID-19 and uncertain market conditions may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unregistered securities were issued during the three months ended September 30, 2020 that were not previously reported.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Exhibit 31.1</w:t>
              </w:r>
            </w:hyperlink>
          </w:p>
        </w:tc>
        <w:tc>
          <w:tcPr>
            <w:tcW w:w="10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7"/>
              </w:rPr>
              <w:t>Certification of Thomas P. Smith, Principal Executive Officer, pursuant to Rule 13a-14(a) or 15d-14(a) of the Securities and Exchange Act</w:t>
            </w:r>
          </w:p>
        </w:tc>
      </w:tr>
      <w:tr>
        <w:trPr>
          <w:trHeight w:val="216"/>
        </w:trPr>
        <w:tc>
          <w:tcPr>
            <w:tcW w:w="1020" w:type="dxa"/>
            <w:vAlign w:val="bottom"/>
          </w:tcPr>
          <w:p>
            <w:pPr>
              <w:spacing w:after="0"/>
              <w:rPr>
                <w:sz w:val="18"/>
                <w:szCs w:val="18"/>
                <w:color w:val="auto"/>
              </w:rPr>
            </w:pPr>
          </w:p>
        </w:tc>
        <w:tc>
          <w:tcPr>
            <w:tcW w:w="10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of 1934, as amended, as adopted pursuant to Section 302 of the Sarbanes-Oxley Act of 2002.*</w:t>
            </w:r>
          </w:p>
        </w:tc>
      </w:tr>
      <w:tr>
        <w:trPr>
          <w:trHeight w:val="216"/>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Exhibit 31.2</w:t>
              </w:r>
            </w:hyperlink>
          </w:p>
        </w:tc>
        <w:tc>
          <w:tcPr>
            <w:tcW w:w="10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98"/>
              </w:rPr>
              <w:t>Certification of James A. Barnes, Principal Financial Officer, pursuant to Rule 13a-14(a) or 15d-14(a) of the Securities and Exchange Act</w:t>
            </w:r>
          </w:p>
        </w:tc>
      </w:tr>
      <w:tr>
        <w:trPr>
          <w:trHeight w:val="216"/>
        </w:trPr>
        <w:tc>
          <w:tcPr>
            <w:tcW w:w="1020" w:type="dxa"/>
            <w:vAlign w:val="bottom"/>
          </w:tcPr>
          <w:p>
            <w:pPr>
              <w:spacing w:after="0"/>
              <w:rPr>
                <w:sz w:val="18"/>
                <w:szCs w:val="18"/>
                <w:color w:val="auto"/>
              </w:rPr>
            </w:pPr>
          </w:p>
        </w:tc>
        <w:tc>
          <w:tcPr>
            <w:tcW w:w="10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of 1934, as amended, as adopted pursuant to Section 302 of the Sarbanes-Oxley Act of 2002.*</w:t>
            </w:r>
          </w:p>
        </w:tc>
      </w:tr>
      <w:tr>
        <w:trPr>
          <w:trHeight w:val="216"/>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Exhibit 32.1</w:t>
              </w:r>
            </w:hyperlink>
          </w:p>
        </w:tc>
        <w:tc>
          <w:tcPr>
            <w:tcW w:w="10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executed by</w:t>
            </w:r>
          </w:p>
        </w:tc>
      </w:tr>
      <w:tr>
        <w:trPr>
          <w:trHeight w:val="228"/>
        </w:trPr>
        <w:tc>
          <w:tcPr>
            <w:tcW w:w="1020" w:type="dxa"/>
            <w:vAlign w:val="bottom"/>
          </w:tcPr>
          <w:p>
            <w:pPr>
              <w:spacing w:after="0"/>
              <w:rPr>
                <w:sz w:val="19"/>
                <w:szCs w:val="19"/>
                <w:color w:val="auto"/>
              </w:rPr>
            </w:pPr>
          </w:p>
        </w:tc>
        <w:tc>
          <w:tcPr>
            <w:tcW w:w="10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Thomas P. Smith, Principal Executive Officer, and James A. Barnes, Principal Financial Officer.*</w:t>
            </w:r>
          </w:p>
        </w:tc>
      </w:tr>
      <w:tr>
        <w:trPr>
          <w:trHeight w:val="394"/>
        </w:trPr>
        <w:tc>
          <w:tcPr>
            <w:tcW w:w="102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Extensible Business Reporting Language (XBRL) Exhibits*</w:t>
            </w:r>
          </w:p>
        </w:tc>
      </w:tr>
      <w:tr>
        <w:trPr>
          <w:trHeight w:val="222"/>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101.INS</w:t>
            </w:r>
          </w:p>
        </w:tc>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5760" w:type="dxa"/>
            <w:vAlign w:val="bottom"/>
          </w:tcPr>
          <w:p>
            <w:pPr>
              <w:spacing w:after="0"/>
              <w:rPr>
                <w:sz w:val="19"/>
                <w:szCs w:val="19"/>
                <w:color w:val="auto"/>
              </w:rPr>
            </w:pPr>
          </w:p>
        </w:tc>
      </w:tr>
      <w:tr>
        <w:trPr>
          <w:trHeight w:val="216"/>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28"/>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concurrently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90"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582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WRAP TECHNOLOGIES, INC.</w:t>
            </w:r>
          </w:p>
        </w:tc>
        <w:tc>
          <w:tcPr>
            <w:tcW w:w="0" w:type="dxa"/>
            <w:vAlign w:val="bottom"/>
          </w:tcPr>
          <w:p>
            <w:pPr>
              <w:spacing w:after="0"/>
              <w:rPr>
                <w:sz w:val="1"/>
                <w:szCs w:val="1"/>
                <w:color w:val="auto"/>
              </w:rPr>
            </w:pPr>
          </w:p>
        </w:tc>
      </w:tr>
      <w:tr>
        <w:trPr>
          <w:trHeight w:val="393"/>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October 29, 2020</w:t>
            </w:r>
          </w:p>
        </w:tc>
        <w:tc>
          <w:tcPr>
            <w:tcW w:w="582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By: /s/ JAMES A. BARNES</w:t>
            </w:r>
          </w:p>
        </w:tc>
        <w:tc>
          <w:tcPr>
            <w:tcW w:w="0" w:type="dxa"/>
            <w:vAlign w:val="bottom"/>
          </w:tcPr>
          <w:p>
            <w:pPr>
              <w:spacing w:after="0"/>
              <w:rPr>
                <w:sz w:val="1"/>
                <w:szCs w:val="1"/>
                <w:color w:val="auto"/>
              </w:rPr>
            </w:pPr>
          </w:p>
        </w:tc>
      </w:tr>
      <w:tr>
        <w:trPr>
          <w:trHeight w:val="20"/>
        </w:trPr>
        <w:tc>
          <w:tcPr>
            <w:tcW w:w="3340" w:type="dxa"/>
            <w:vAlign w:val="bottom"/>
            <w:vMerge w:val="continu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340" w:type="dxa"/>
            <w:vAlign w:val="bottom"/>
            <w:vMerge w:val="continue"/>
          </w:tcPr>
          <w:p>
            <w:pPr>
              <w:spacing w:after="0"/>
              <w:rPr>
                <w:sz w:val="11"/>
                <w:szCs w:val="11"/>
                <w:color w:val="auto"/>
              </w:rPr>
            </w:pPr>
          </w:p>
        </w:tc>
        <w:tc>
          <w:tcPr>
            <w:tcW w:w="5820" w:type="dxa"/>
            <w:vAlign w:val="bottom"/>
            <w:gridSpan w:val="3"/>
            <w:vMerge w:val="restart"/>
          </w:tcPr>
          <w:p>
            <w:pPr>
              <w:ind w:left="2440"/>
              <w:spacing w:after="0"/>
              <w:rPr>
                <w:sz w:val="20"/>
                <w:szCs w:val="20"/>
                <w:color w:val="auto"/>
              </w:rPr>
            </w:pPr>
            <w:r>
              <w:rPr>
                <w:rFonts w:ascii="Times New Roman" w:cs="Times New Roman" w:eastAsia="Times New Roman" w:hAnsi="Times New Roman"/>
                <w:sz w:val="18"/>
                <w:szCs w:val="18"/>
                <w:color w:val="auto"/>
              </w:rPr>
              <w:t>James A. Barnes</w:t>
            </w:r>
          </w:p>
        </w:tc>
        <w:tc>
          <w:tcPr>
            <w:tcW w:w="0" w:type="dxa"/>
            <w:vAlign w:val="bottom"/>
          </w:tcPr>
          <w:p>
            <w:pPr>
              <w:spacing w:after="0"/>
              <w:rPr>
                <w:sz w:val="1"/>
                <w:szCs w:val="1"/>
                <w:color w:val="auto"/>
              </w:rPr>
            </w:pPr>
          </w:p>
        </w:tc>
      </w:tr>
      <w:tr>
        <w:trPr>
          <w:trHeight w:val="96"/>
        </w:trPr>
        <w:tc>
          <w:tcPr>
            <w:tcW w:w="3340" w:type="dxa"/>
            <w:vAlign w:val="bottom"/>
          </w:tcPr>
          <w:p>
            <w:pPr>
              <w:spacing w:after="0"/>
              <w:rPr>
                <w:sz w:val="8"/>
                <w:szCs w:val="8"/>
                <w:color w:val="auto"/>
              </w:rPr>
            </w:pPr>
          </w:p>
        </w:tc>
        <w:tc>
          <w:tcPr>
            <w:tcW w:w="5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5820" w:type="dxa"/>
            <w:vAlign w:val="bottom"/>
            <w:gridSpan w:val="3"/>
          </w:tcPr>
          <w:p>
            <w:pPr>
              <w:ind w:left="2440"/>
              <w:spacing w:after="0"/>
              <w:rPr>
                <w:sz w:val="20"/>
                <w:szCs w:val="20"/>
                <w:color w:val="auto"/>
              </w:rPr>
            </w:pPr>
            <w:r>
              <w:rPr>
                <w:rFonts w:ascii="Times New Roman" w:cs="Times New Roman" w:eastAsia="Times New Roman" w:hAnsi="Times New Roman"/>
                <w:sz w:val="18"/>
                <w:szCs w:val="18"/>
                <w:color w:val="auto"/>
                <w:w w:val="96"/>
              </w:rPr>
              <w:t>Chief Financial Officer, Secretary and Treasurer</w:t>
            </w:r>
          </w:p>
        </w:tc>
        <w:tc>
          <w:tcPr>
            <w:tcW w:w="0" w:type="dxa"/>
            <w:vAlign w:val="bottom"/>
          </w:tcPr>
          <w:p>
            <w:pPr>
              <w:spacing w:after="0"/>
              <w:rPr>
                <w:sz w:val="1"/>
                <w:szCs w:val="1"/>
                <w:color w:val="auto"/>
              </w:rPr>
            </w:pPr>
          </w:p>
        </w:tc>
      </w:tr>
      <w:tr>
        <w:trPr>
          <w:trHeight w:val="228"/>
        </w:trPr>
        <w:tc>
          <w:tcPr>
            <w:tcW w:w="3340" w:type="dxa"/>
            <w:vAlign w:val="bottom"/>
          </w:tcPr>
          <w:p>
            <w:pPr>
              <w:spacing w:after="0"/>
              <w:rPr>
                <w:sz w:val="19"/>
                <w:szCs w:val="19"/>
                <w:color w:val="auto"/>
              </w:rPr>
            </w:pPr>
          </w:p>
        </w:tc>
        <w:tc>
          <w:tcPr>
            <w:tcW w:w="5820" w:type="dxa"/>
            <w:vAlign w:val="bottom"/>
            <w:gridSpan w:val="3"/>
          </w:tcPr>
          <w:p>
            <w:pPr>
              <w:ind w:left="24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P. Smith, certify that:</w:t>
      </w:r>
    </w:p>
    <w:p>
      <w:pPr>
        <w:spacing w:after="0" w:line="158" w:lineRule="exact"/>
        <w:rPr>
          <w:sz w:val="20"/>
          <w:szCs w:val="20"/>
          <w:color w:val="auto"/>
        </w:rPr>
      </w:pPr>
    </w:p>
    <w:p>
      <w:pPr>
        <w:ind w:left="980" w:hanging="648"/>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Wrap Technologies, Inc.;</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Times New Roman" w:cs="Times New Roman" w:eastAsia="Times New Roman" w:hAnsi="Times New Roman"/>
          <w:sz w:val="18"/>
          <w:szCs w:val="18"/>
          <w:color w:val="auto"/>
        </w:rPr>
      </w:pPr>
    </w:p>
    <w:p>
      <w:pPr>
        <w:ind w:left="980" w:hanging="648"/>
        <w:spacing w:after="0" w:line="257"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980" w:hanging="648"/>
        <w:spacing w:after="0" w:line="25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jc w:val="both"/>
        <w:ind w:left="1620" w:hanging="640"/>
        <w:spacing w:after="0" w:line="250"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620" w:hanging="640"/>
        <w:spacing w:after="0" w:line="281" w:lineRule="auto"/>
        <w:tabs>
          <w:tab w:leader="none" w:pos="1620"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jc w:val="both"/>
        <w:ind w:left="1620" w:hanging="640"/>
        <w:spacing w:after="0" w:line="255"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8"/>
          <w:szCs w:val="18"/>
          <w:color w:val="auto"/>
        </w:rPr>
      </w:pPr>
    </w:p>
    <w:p>
      <w:pPr>
        <w:ind w:left="980" w:hanging="648"/>
        <w:spacing w:after="0" w:line="289" w:lineRule="auto"/>
        <w:tabs>
          <w:tab w:leader="none" w:pos="9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6"/>
          <w:szCs w:val="16"/>
          <w:color w:val="auto"/>
        </w:rPr>
      </w:pPr>
    </w:p>
    <w:p>
      <w:pPr>
        <w:ind w:left="1620" w:hanging="640"/>
        <w:spacing w:after="0" w:line="250"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620" w:hanging="640"/>
        <w:spacing w:after="0" w:line="260"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THOMAS P. SMITH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P. Smith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Chief Executive Officer and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A. Barnes, certify that:</w:t>
      </w:r>
    </w:p>
    <w:p>
      <w:pPr>
        <w:spacing w:after="0" w:line="158" w:lineRule="exact"/>
        <w:rPr>
          <w:sz w:val="20"/>
          <w:szCs w:val="20"/>
          <w:color w:val="auto"/>
        </w:rPr>
      </w:pPr>
    </w:p>
    <w:p>
      <w:pPr>
        <w:ind w:left="980" w:hanging="486"/>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Wrap Technologies, Inc.;</w:t>
      </w:r>
    </w:p>
    <w:p>
      <w:pPr>
        <w:spacing w:after="0" w:line="225" w:lineRule="exact"/>
        <w:rPr>
          <w:rFonts w:ascii="Times New Roman" w:cs="Times New Roman" w:eastAsia="Times New Roman" w:hAnsi="Times New Roman"/>
          <w:sz w:val="18"/>
          <w:szCs w:val="18"/>
          <w:color w:val="auto"/>
        </w:rPr>
      </w:pPr>
    </w:p>
    <w:p>
      <w:pPr>
        <w:jc w:val="both"/>
        <w:ind w:left="980" w:hanging="486"/>
        <w:spacing w:after="0" w:line="26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Times New Roman" w:cs="Times New Roman" w:eastAsia="Times New Roman" w:hAnsi="Times New Roman"/>
          <w:sz w:val="18"/>
          <w:szCs w:val="18"/>
          <w:color w:val="auto"/>
        </w:rPr>
      </w:pPr>
    </w:p>
    <w:p>
      <w:pPr>
        <w:ind w:left="980" w:hanging="486"/>
        <w:spacing w:after="0" w:line="275"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ind w:left="980" w:hanging="486"/>
        <w:spacing w:after="0" w:line="257"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 w:lineRule="exact"/>
        <w:rPr>
          <w:rFonts w:ascii="Times New Roman" w:cs="Times New Roman" w:eastAsia="Times New Roman" w:hAnsi="Times New Roman"/>
          <w:sz w:val="18"/>
          <w:szCs w:val="18"/>
          <w:color w:val="auto"/>
        </w:rPr>
      </w:pPr>
    </w:p>
    <w:p>
      <w:pPr>
        <w:jc w:val="both"/>
        <w:ind w:left="1620" w:hanging="640"/>
        <w:spacing w:after="0" w:line="250" w:lineRule="auto"/>
        <w:tabs>
          <w:tab w:leader="none" w:pos="16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620" w:hanging="640"/>
        <w:spacing w:after="0" w:line="281" w:lineRule="auto"/>
        <w:tabs>
          <w:tab w:leader="none" w:pos="1620" w:val="left"/>
        </w:tabs>
        <w:numPr>
          <w:ilvl w:val="2"/>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jc w:val="both"/>
        <w:ind w:left="1620" w:hanging="640"/>
        <w:spacing w:after="0" w:line="255" w:lineRule="auto"/>
        <w:tabs>
          <w:tab w:leader="none" w:pos="16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8"/>
          <w:szCs w:val="18"/>
          <w:color w:val="auto"/>
        </w:rPr>
      </w:pPr>
    </w:p>
    <w:p>
      <w:pPr>
        <w:ind w:left="1080" w:hanging="654"/>
        <w:spacing w:after="0" w:line="289" w:lineRule="auto"/>
        <w:tabs>
          <w:tab w:leader="none" w:pos="10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6"/>
          <w:szCs w:val="16"/>
          <w:color w:val="auto"/>
        </w:rPr>
      </w:pPr>
    </w:p>
    <w:p>
      <w:pPr>
        <w:ind w:left="1620" w:hanging="640"/>
        <w:spacing w:after="0" w:line="250" w:lineRule="auto"/>
        <w:tabs>
          <w:tab w:leader="none" w:pos="162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620" w:hanging="640"/>
        <w:spacing w:after="0" w:line="260" w:lineRule="auto"/>
        <w:tabs>
          <w:tab w:leader="none" w:pos="162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JAMES A. BARNES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A. Barnes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PRINCIPAL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the undersigned hereby certifies, in accordance with 18 U.S.C. 1350, as adopted pursuant to Section 906 of the Sarbanes-Oxley Act of 2002, in his or her capacity as an officer of Wrap Technologies,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that, to his or her knowledge, the Quarterly Report of the Company on Form 10-Q for the period ended September 30, 2020,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THOMAS P. SMITH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P. Smith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Chief Executive Officer and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JAMES A. BARNES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A. Barnes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2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7"/>
    </w:lvl>
  </w:abstractNum>
  <w:abstractNum w:abstractNumId="5">
    <w:nsid w:val="4DB127F8"/>
    <w:multiLevelType w:val="hybridMultilevel"/>
    <w:lvl w:ilvl="0">
      <w:lvlJc w:val="left"/>
      <w:lvlText w:val="%1."/>
      <w:numFmt w:val="decimal"/>
      <w:start w:val="9"/>
    </w:lvl>
  </w:abstractNum>
  <w:abstractNum w:abstractNumId="6">
    <w:nsid w:val="216231B"/>
    <w:multiLevelType w:val="hybridMultilevel"/>
    <w:lvl w:ilvl="0">
      <w:lvlJc w:val="left"/>
      <w:lvlText w:val="%1."/>
      <w:numFmt w:val="decimal"/>
      <w:start w:val="10"/>
    </w:lvl>
  </w:abstractNum>
  <w:abstractNum w:abstractNumId="7">
    <w:nsid w:val="1F16E9E8"/>
    <w:multiLevelType w:val="hybridMultilevel"/>
    <w:lvl w:ilvl="0">
      <w:lvlJc w:val="left"/>
      <w:lvlText w:val="%1."/>
      <w:numFmt w:val="decimal"/>
      <w:start w:val="12"/>
    </w:lvl>
  </w:abstractNum>
  <w:abstractNum w:abstractNumId="8">
    <w:nsid w:val="1190CDE7"/>
    <w:multiLevelType w:val="hybridMultilevel"/>
    <w:lvl w:ilvl="0">
      <w:lvlJc w:val="left"/>
      <w:lvlText w:val="%1."/>
      <w:numFmt w:val="decimal"/>
      <w:start w:val="13"/>
    </w:lvl>
  </w:abstractNum>
  <w:abstractNum w:abstractNumId="9">
    <w:nsid w:val="66EF438D"/>
    <w:multiLevelType w:val="hybridMultilevel"/>
    <w:lvl w:ilvl="0">
      <w:lvlJc w:val="left"/>
      <w:lvlText w:val="%1."/>
      <w:numFmt w:val="decimal"/>
      <w:start w:val="14"/>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3">
    <w:nsid w:val="DED7263"/>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2020-10-29T15:05:26Z</dcterms:created>
  <dcterms:modified xsi:type="dcterms:W3CDTF">2020-10-29T15:05:26Z</dcterms:modified>
</cp:coreProperties>
</file>