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form10q.htm"/>
      <w:bookmarkStart w:id="1" w:name="ksform10q"/>
      <w:bookmarkStart w:id="2" w:name="form10q.htm"/>
      <w:bookmarkStart w:id="3" w:name="ksform10q"/>
      <w:bookmarkEnd w:id="2"/>
      <w:bookmarkEnd w:id="3"/>
    </w:p>
    <w:p>
      <w:pPr>
        <w:pStyle w:val="TextBody"/>
        <w:bidi w:val="0"/>
        <w:jc w:val="left"/>
        <w:rPr/>
      </w:pPr>
      <w:r>
        <w:rPr/>
        <w:t xml:space="preserve">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 w:hAnsi="Times New Roman"/>
          <w:b/>
          <w:i w:val="false"/>
          <w:caps w:val="false"/>
          <w:smallCaps w:val="false"/>
          <w:sz w:val="36"/>
        </w:rPr>
      </w:pPr>
      <w:r>
        <w:rPr>
          <w:rFonts w:ascii="Times New Roman" w:hAnsi="Times New Roman"/>
          <w:b/>
          <w:i w:val="false"/>
          <w:caps w:val="false"/>
          <w:smallCaps w:val="false"/>
          <w:sz w:val="36"/>
        </w:rPr>
        <w:t>UNITED STATES</w:t>
      </w:r>
    </w:p>
    <w:p>
      <w:pPr>
        <w:pStyle w:val="TextBody"/>
        <w:bidi w:val="0"/>
        <w:spacing w:before="0" w:after="0"/>
        <w:jc w:val="center"/>
        <w:rPr>
          <w:rFonts w:ascii="Times New Roman" w:hAnsi="Times New Roman"/>
          <w:b/>
          <w:i w:val="false"/>
          <w:caps w:val="false"/>
          <w:smallCaps w:val="false"/>
          <w:sz w:val="36"/>
        </w:rPr>
      </w:pPr>
      <w:r>
        <w:rPr>
          <w:rFonts w:ascii="Times New Roman" w:hAnsi="Times New Roman"/>
          <w:b/>
          <w:i w:val="false"/>
          <w:caps w:val="false"/>
          <w:smallCaps w:val="false"/>
          <w:sz w:val="36"/>
        </w:rPr>
        <w:t>SECURITIES AND EXCHANGE COMMISSION</w:t>
      </w:r>
    </w:p>
    <w:p>
      <w:pPr>
        <w:pStyle w:val="TextBody"/>
        <w:bidi w:val="0"/>
        <w:spacing w:before="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 w:hAnsi="Times New Roman"/>
          <w:b/>
          <w:i w:val="false"/>
          <w:caps w:val="false"/>
          <w:smallCaps w:val="false"/>
          <w:sz w:val="36"/>
        </w:rPr>
      </w:pPr>
      <w:r>
        <w:rPr>
          <w:rFonts w:ascii="Times New Roman" w:hAnsi="Times New Roman"/>
          <w:b/>
          <w:i w:val="false"/>
          <w:caps w:val="false"/>
          <w:smallCaps w:val="false"/>
          <w:sz w:val="36"/>
        </w:rPr>
        <w:t>FORM 10-Q</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 w:hAnsi="Times New Roman"/>
          <w:b w:val="false"/>
          <w:i w:val="false"/>
          <w:caps w:val="false"/>
          <w:smallCaps w:val="false"/>
          <w:sz w:val="20"/>
        </w:rPr>
        <w:t>QUARTERLY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For the quarterly period ended June 30,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 w:hAnsi="Times New Roman"/>
          <w:b w:val="false"/>
          <w:i w:val="false"/>
          <w:caps w:val="false"/>
          <w:smallCaps w:val="false"/>
          <w:sz w:val="20"/>
        </w:rPr>
        <w:t>TRANSITION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For the transition period from _________ to 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Commission File Number: 001-38750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352550" cy="304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52550" cy="3048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 w:hAnsi="Times New Roman"/>
          <w:b/>
          <w:i w:val="false"/>
          <w:caps w:val="false"/>
          <w:smallCaps w:val="false"/>
          <w:sz w:val="36"/>
        </w:rPr>
      </w:pPr>
      <w:r>
        <w:rPr>
          <w:rFonts w:ascii="Times New Roman" w:hAnsi="Times New Roman"/>
          <w:b/>
          <w:i w:val="false"/>
          <w:caps w:val="false"/>
          <w:smallCaps w:val="false"/>
          <w:sz w:val="36"/>
        </w:rPr>
        <w:t>Wrap Technologies, Inc.</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570" w:type="dxa"/>
        <w:jc w:val="left"/>
        <w:tblInd w:w="0" w:type="dxa"/>
        <w:tblLayout w:type="fixed"/>
        <w:tblCellMar>
          <w:top w:w="0" w:type="dxa"/>
          <w:left w:w="0" w:type="dxa"/>
          <w:bottom w:w="28" w:type="dxa"/>
          <w:right w:w="0" w:type="dxa"/>
        </w:tblCellMar>
      </w:tblPr>
      <w:tblGrid>
        <w:gridCol w:w="2525"/>
        <w:gridCol w:w="90"/>
        <w:gridCol w:w="1955"/>
      </w:tblGrid>
      <w:tr>
        <w:trPr/>
        <w:tc>
          <w:tcPr>
            <w:tcW w:w="2525" w:type="dxa"/>
            <w:tcBorders>
              <w:bottom w:val="single" w:sz="16" w:space="0" w:color="000000"/>
            </w:tcBorders>
            <w:vAlign w:val="center"/>
          </w:tcPr>
          <w:p>
            <w:pPr>
              <w:pStyle w:val="TableContents"/>
              <w:bidi w:val="0"/>
              <w:spacing w:before="0" w:after="283"/>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Delaware</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55" w:type="dxa"/>
            <w:tcBorders>
              <w:bottom w:val="single" w:sz="16" w:space="0" w:color="000000"/>
            </w:tcBorders>
            <w:vAlign w:val="center"/>
          </w:tcPr>
          <w:p>
            <w:pPr>
              <w:pStyle w:val="TableContents"/>
              <w:bidi w:val="0"/>
              <w:spacing w:before="0" w:after="283"/>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98-0551945</w:t>
            </w:r>
          </w:p>
        </w:tc>
      </w:tr>
      <w:tr>
        <w:trPr/>
        <w:tc>
          <w:tcPr>
            <w:tcW w:w="2525" w:type="dxa"/>
            <w:tcBorders/>
            <w:tcMar>
              <w:bottom w:w="0" w:type="dxa"/>
            </w:tcMar>
            <w:vAlign w:val="center"/>
          </w:tcPr>
          <w:p>
            <w:pPr>
              <w:pStyle w:val="TableContents"/>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(State or other jurisdiction of</w:t>
            </w:r>
          </w:p>
          <w:p>
            <w:pPr>
              <w:pStyle w:val="TableContents"/>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incorporation or organization)</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55" w:type="dxa"/>
            <w:tcBorders/>
            <w:tcMar>
              <w:bottom w:w="0" w:type="dxa"/>
            </w:tcMar>
            <w:vAlign w:val="center"/>
          </w:tcPr>
          <w:p>
            <w:pPr>
              <w:pStyle w:val="TableContents"/>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(I.R.S. Employer</w:t>
            </w:r>
          </w:p>
          <w:p>
            <w:pPr>
              <w:pStyle w:val="TableContents"/>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Identification Number)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 w:hAnsi="Times New Roman"/>
          <w:b w:val="false"/>
          <w:i w:val="false"/>
          <w:caps w:val="false"/>
          <w:smallCaps w:val="false"/>
          <w:sz w:val="20"/>
          <w:u w:val="single"/>
        </w:rPr>
      </w:pPr>
      <w:r>
        <w:rPr>
          <w:rFonts w:ascii="Times New Roman" w:hAnsi="Times New Roman"/>
          <w:b w:val="false"/>
          <w:i w:val="false"/>
          <w:caps w:val="false"/>
          <w:smallCaps w:val="false"/>
          <w:sz w:val="20"/>
          <w:u w:val="single"/>
        </w:rPr>
        <w:t>3350 Virginia Street, Suite 200</w:t>
      </w:r>
    </w:p>
    <w:p>
      <w:pPr>
        <w:pStyle w:val="TextBody"/>
        <w:bidi w:val="0"/>
        <w:spacing w:before="0" w:after="0"/>
        <w:jc w:val="center"/>
        <w:rPr>
          <w:rFonts w:ascii="Times New Roman" w:hAnsi="Times New Roman"/>
          <w:b w:val="false"/>
          <w:i w:val="false"/>
          <w:caps w:val="false"/>
          <w:smallCaps w:val="false"/>
          <w:sz w:val="20"/>
          <w:u w:val="single"/>
        </w:rPr>
      </w:pPr>
      <w:r>
        <w:rPr>
          <w:rFonts w:ascii="Times New Roman" w:hAnsi="Times New Roman"/>
          <w:b w:val="false"/>
          <w:i w:val="false"/>
          <w:caps w:val="false"/>
          <w:smallCaps w:val="false"/>
          <w:sz w:val="20"/>
          <w:u w:val="single"/>
        </w:rPr>
        <w:t>Miami, Florida 33133</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(Address of principal executive offices)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 w:hAnsi="Times New Roman"/>
          <w:b w:val="false"/>
          <w:i w:val="false"/>
          <w:caps w:val="false"/>
          <w:smallCaps w:val="false"/>
          <w:sz w:val="20"/>
          <w:u w:val="single"/>
        </w:rPr>
      </w:pPr>
      <w:r>
        <w:rPr>
          <w:rFonts w:ascii="Times New Roman" w:hAnsi="Times New Roman"/>
          <w:b w:val="false"/>
          <w:i w:val="false"/>
          <w:caps w:val="false"/>
          <w:smallCaps w:val="false"/>
          <w:sz w:val="20"/>
          <w:u w:val="single"/>
        </w:rPr>
        <w:t>(800) 583-2652</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N/A</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(Former name, former address and former fiscal year,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Securities registered pursuant to Section 12(b) of the Act:</w:t>
      </w:r>
    </w:p>
    <w:p>
      <w:pPr>
        <w:pStyle w:val="TextBody"/>
        <w:bidi w:val="0"/>
        <w:spacing w:before="0" w:after="0"/>
        <w:jc w:val="center"/>
        <w:rPr>
          <w:caps w:val="false"/>
          <w:smallCaps w:val="false"/>
        </w:rPr>
      </w:pPr>
      <w:r>
        <w:rPr>
          <w:caps w:val="false"/>
          <w:smallCaps w:val="false"/>
        </w:rPr>
        <w:t> </w:t>
      </w:r>
    </w:p>
    <w:tbl>
      <w:tblPr>
        <w:tblW w:w="9045" w:type="dxa"/>
        <w:jc w:val="left"/>
        <w:tblInd w:w="0" w:type="dxa"/>
        <w:tblLayout w:type="fixed"/>
        <w:tblCellMar>
          <w:top w:w="0" w:type="dxa"/>
          <w:left w:w="0" w:type="dxa"/>
          <w:bottom w:w="28" w:type="dxa"/>
          <w:right w:w="0" w:type="dxa"/>
        </w:tblCellMar>
      </w:tblPr>
      <w:tblGrid>
        <w:gridCol w:w="3650"/>
        <w:gridCol w:w="90"/>
        <w:gridCol w:w="1565"/>
        <w:gridCol w:w="90"/>
        <w:gridCol w:w="3650"/>
      </w:tblGrid>
      <w:tr>
        <w:trPr/>
        <w:tc>
          <w:tcPr>
            <w:tcW w:w="3650" w:type="dxa"/>
            <w:tcBorders>
              <w:bottom w:val="single" w:sz="16" w:space="0" w:color="000000"/>
            </w:tcBorders>
            <w:vAlign w:val="center"/>
          </w:tcPr>
          <w:p>
            <w:pPr>
              <w:pStyle w:val="TableContents"/>
              <w:bidi w:val="0"/>
              <w:spacing w:before="0" w:after="283"/>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Title of each class</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bottom w:val="single" w:sz="16" w:space="0" w:color="000000"/>
            </w:tcBorders>
            <w:vAlign w:val="center"/>
          </w:tcPr>
          <w:p>
            <w:pPr>
              <w:pStyle w:val="TableContents"/>
              <w:bidi w:val="0"/>
              <w:spacing w:before="0" w:after="283"/>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Trading Symbol(s)</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50" w:type="dxa"/>
            <w:tcBorders>
              <w:bottom w:val="single" w:sz="16" w:space="0" w:color="000000"/>
            </w:tcBorders>
            <w:vAlign w:val="center"/>
          </w:tcPr>
          <w:p>
            <w:pPr>
              <w:pStyle w:val="TableContents"/>
              <w:bidi w:val="0"/>
              <w:spacing w:before="0" w:after="283"/>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Name of each exchange on which registered</w:t>
            </w:r>
          </w:p>
        </w:tc>
      </w:tr>
      <w:tr>
        <w:trPr/>
        <w:tc>
          <w:tcPr>
            <w:tcW w:w="3650" w:type="dxa"/>
            <w:tcBorders/>
            <w:tcMar>
              <w:bottom w:w="0" w:type="dxa"/>
            </w:tcMar>
            <w:vAlign w:val="center"/>
          </w:tcPr>
          <w:p>
            <w:pPr>
              <w:pStyle w:val="TableContents"/>
              <w:bidi w:val="0"/>
              <w:spacing w:before="0" w:after="283"/>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Common Stock, par value $0.0001 per share</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WRAP</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50" w:type="dxa"/>
            <w:tcBorders/>
            <w:tcMar>
              <w:bottom w:w="0" w:type="dxa"/>
            </w:tcMar>
            <w:vAlign w:val="center"/>
          </w:tcPr>
          <w:p>
            <w:pPr>
              <w:pStyle w:val="TableContents"/>
              <w:bidi w:val="0"/>
              <w:spacing w:before="0" w:after="283"/>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Nasdaq Capital Market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caps w:val="false"/>
          <w:smallCaps w:val="false"/>
        </w:rPr>
      </w:pPr>
      <w:r>
        <w:rPr>
          <w:caps w:val="false"/>
          <w:smallCaps w:val="false"/>
        </w:rPr>
        <w:t> </w:t>
      </w:r>
    </w:p>
    <w:tbl>
      <w:tblPr>
        <w:tblW w:w="4775" w:type="dxa"/>
        <w:jc w:val="left"/>
        <w:tblInd w:w="0" w:type="dxa"/>
        <w:tblLayout w:type="fixed"/>
        <w:tblCellMar>
          <w:top w:w="0" w:type="dxa"/>
          <w:left w:w="0" w:type="dxa"/>
          <w:bottom w:w="0" w:type="dxa"/>
          <w:right w:w="0" w:type="dxa"/>
        </w:tblCellMar>
      </w:tblPr>
      <w:tblGrid>
        <w:gridCol w:w="1955"/>
        <w:gridCol w:w="260"/>
        <w:gridCol w:w="2255"/>
        <w:gridCol w:w="305"/>
      </w:tblGrid>
      <w:tr>
        <w:trPr/>
        <w:tc>
          <w:tcPr>
            <w:tcW w:w="195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Large Accelerated Filer</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225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Accelerated filer</w:t>
            </w:r>
          </w:p>
        </w:tc>
        <w:tc>
          <w:tcPr>
            <w:tcW w:w="30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95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Non-accelerated filer</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225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Smaller reporting company</w:t>
            </w:r>
          </w:p>
        </w:tc>
        <w:tc>
          <w:tcPr>
            <w:tcW w:w="30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221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25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Emerging growth company</w:t>
            </w:r>
          </w:p>
        </w:tc>
        <w:tc>
          <w:tcPr>
            <w:tcW w:w="30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whether the registrant is a shell company (as defined in Rule 12b-2 of the Exchange Act). Yes ☐ No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August 7, </w:t>
      </w:r>
      <w:r>
        <w:rPr>
          <w:rFonts w:ascii="Times New Roman" w:hAnsi="Times New Roman"/>
          <w:b w:val="false"/>
          <w:i w:val="false"/>
          <w:caps w:val="false"/>
          <w:smallCaps w:val="false"/>
          <w:sz w:val="20"/>
          <w:shd w:fill="FFFFFF" w:val="clear"/>
        </w:rPr>
        <w:t>2026 a total of 56,003,638 sh</w:t>
      </w:r>
      <w:r>
        <w:rPr>
          <w:rFonts w:ascii="Times New Roman" w:hAnsi="Times New Roman"/>
          <w:b w:val="false"/>
          <w:i w:val="false"/>
          <w:caps w:val="false"/>
          <w:smallCaps w:val="false"/>
          <w:sz w:val="20"/>
        </w:rPr>
        <w:t>ares of the Registrant’s common stock, par value $0.0001 per share (“</w:t>
      </w:r>
      <w:r>
        <w:rPr>
          <w:rFonts w:ascii="Times New Roman" w:hAnsi="Times New Roman"/>
          <w:b w:val="false"/>
          <w:i/>
          <w:caps w:val="false"/>
          <w:smallCaps w:val="false"/>
          <w:sz w:val="20"/>
        </w:rPr>
        <w:t>Common Stock</w:t>
      </w:r>
      <w:r>
        <w:rPr>
          <w:rFonts w:ascii="Times New Roman" w:hAnsi="Times New Roman"/>
          <w:b w:val="false"/>
          <w:i w:val="false"/>
          <w:caps w:val="false"/>
          <w:smallCaps w:val="false"/>
          <w:sz w:val="20"/>
        </w:rPr>
        <w:t>”), were issued and outstanding.</w:t>
      </w:r>
    </w:p>
    <w:p>
      <w:pPr>
        <w:pStyle w:val="TextBody"/>
        <w:bidi w:val="0"/>
        <w:jc w:val="left"/>
        <w:rPr/>
      </w:pPr>
      <w:r>
        <w:rPr/>
        <w:t> </w:t>
      </w:r>
    </w:p>
    <w:p>
      <w:pPr>
        <w:pStyle w:val="TextBody"/>
        <w:bidi w:val="0"/>
        <w:spacing w:before="0" w:after="0"/>
        <w:jc w:val="center"/>
        <w:rPr>
          <w:b/>
        </w:rPr>
      </w:pPr>
      <w:r>
        <w:rPr>
          <w:b/>
        </w:rPr>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WRAP TECHNOLOGIES,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INDEX</w:t>
      </w:r>
    </w:p>
    <w:p>
      <w:pPr>
        <w:pStyle w:val="TextBody"/>
        <w:bidi w:val="0"/>
        <w:spacing w:before="0" w:after="0"/>
        <w:jc w:val="center"/>
        <w:rPr>
          <w:caps w:val="false"/>
          <w:smallCaps w:val="false"/>
        </w:rPr>
      </w:pPr>
      <w:r>
        <w:rPr>
          <w:caps w:val="false"/>
          <w:smallCaps w:val="false"/>
        </w:rPr>
        <w:t> </w:t>
      </w:r>
    </w:p>
    <w:tbl>
      <w:tblPr>
        <w:tblW w:w="8520" w:type="dxa"/>
        <w:jc w:val="left"/>
        <w:tblInd w:w="0" w:type="dxa"/>
        <w:tblLayout w:type="fixed"/>
        <w:tblCellMar>
          <w:top w:w="0" w:type="dxa"/>
          <w:left w:w="0" w:type="dxa"/>
          <w:bottom w:w="0" w:type="dxa"/>
          <w:right w:w="0" w:type="dxa"/>
        </w:tblCellMar>
      </w:tblPr>
      <w:tblGrid>
        <w:gridCol w:w="740"/>
        <w:gridCol w:w="7310"/>
        <w:gridCol w:w="470"/>
      </w:tblGrid>
      <w:tr>
        <w:trPr/>
        <w:tc>
          <w:tcPr>
            <w:tcW w:w="740"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805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single" w:sz="16" w:space="0" w:color="000000"/>
            </w:tcBorders>
            <w:tcMar>
              <w:bottom w:w="28" w:type="dxa"/>
            </w:tcMar>
            <w:vAlign w:val="center"/>
          </w:tcPr>
          <w:p>
            <w:pPr>
              <w:pStyle w:val="TableContents"/>
              <w:bidi w:val="0"/>
              <w:spacing w:before="0" w:after="283"/>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Page</w:t>
            </w:r>
          </w:p>
        </w:tc>
      </w:tr>
      <w:tr>
        <w:trPr/>
        <w:tc>
          <w:tcPr>
            <w:tcW w:w="805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70"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8050" w:type="dxa"/>
            <w:gridSpan w:val="2"/>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PART I. FINANCIAL INFORMATION</w:t>
            </w:r>
          </w:p>
        </w:tc>
        <w:tc>
          <w:tcPr>
            <w:tcW w:w="47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7310" w:type="dxa"/>
            <w:tcBorders/>
            <w:vAlign w:val="center"/>
          </w:tcPr>
          <w:p>
            <w:pPr>
              <w:pStyle w:val="TableContents"/>
              <w:bidi w:val="0"/>
              <w:spacing w:before="0" w:after="283"/>
              <w:jc w:val="left"/>
              <w:rPr>
                <w:caps w:val="false"/>
                <w:smallCaps w:val="false"/>
              </w:rPr>
            </w:pPr>
            <w:r>
              <w:rPr>
                <w:caps w:val="false"/>
                <w:smallCaps w:val="false"/>
              </w:rPr>
              <w:t> </w:t>
            </w:r>
          </w:p>
        </w:tc>
        <w:tc>
          <w:tcPr>
            <w:tcW w:w="470"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74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1.</w:t>
            </w:r>
          </w:p>
        </w:tc>
        <w:tc>
          <w:tcPr>
            <w:tcW w:w="731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Financial Statements:</w:t>
            </w:r>
          </w:p>
        </w:tc>
        <w:tc>
          <w:tcPr>
            <w:tcW w:w="47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r>
      <w:tr>
        <w:trPr/>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7310"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Condensed Consolidated Balance Sheets </w:t>
            </w:r>
          </w:p>
        </w:tc>
        <w:tc>
          <w:tcPr>
            <w:tcW w:w="470" w:type="dxa"/>
            <w:tcBorders/>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r>
      <w:tr>
        <w:trPr/>
        <w:tc>
          <w:tcPr>
            <w:tcW w:w="7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1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Condensed Consolidated Statements of Operations and Comprehensive Loss</w:t>
            </w:r>
          </w:p>
        </w:tc>
        <w:tc>
          <w:tcPr>
            <w:tcW w:w="47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tc>
      </w:tr>
      <w:tr>
        <w:trPr/>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7310"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Condensed Consolidated Statements of Stockholders’ Equity</w:t>
            </w:r>
          </w:p>
        </w:tc>
        <w:tc>
          <w:tcPr>
            <w:tcW w:w="470" w:type="dxa"/>
            <w:tcBorders/>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w:t>
            </w:r>
          </w:p>
        </w:tc>
      </w:tr>
      <w:tr>
        <w:trPr/>
        <w:tc>
          <w:tcPr>
            <w:tcW w:w="7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1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Condensed Consolidated Statements of Cash Flows</w:t>
            </w:r>
          </w:p>
        </w:tc>
        <w:tc>
          <w:tcPr>
            <w:tcW w:w="47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w:t>
            </w:r>
          </w:p>
        </w:tc>
      </w:tr>
      <w:tr>
        <w:trPr/>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7310"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Notes to Condensed Consolidated Interim Financial Statements</w:t>
            </w:r>
          </w:p>
        </w:tc>
        <w:tc>
          <w:tcPr>
            <w:tcW w:w="470" w:type="dxa"/>
            <w:tcBorders/>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w:t>
            </w:r>
          </w:p>
        </w:tc>
      </w:tr>
      <w:tr>
        <w:trPr/>
        <w:tc>
          <w:tcPr>
            <w:tcW w:w="74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2.</w:t>
            </w:r>
          </w:p>
        </w:tc>
        <w:tc>
          <w:tcPr>
            <w:tcW w:w="731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Management’s Discussion and Analysis of Financial Condition and Results of Operations</w:t>
            </w:r>
          </w:p>
        </w:tc>
        <w:tc>
          <w:tcPr>
            <w:tcW w:w="47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19</w:t>
            </w:r>
          </w:p>
        </w:tc>
      </w:tr>
      <w:tr>
        <w:trPr/>
        <w:tc>
          <w:tcPr>
            <w:tcW w:w="740"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3.</w:t>
            </w:r>
          </w:p>
        </w:tc>
        <w:tc>
          <w:tcPr>
            <w:tcW w:w="7310"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Quantitative and Qualitative Disclosures About Market Risk</w:t>
            </w:r>
          </w:p>
        </w:tc>
        <w:tc>
          <w:tcPr>
            <w:tcW w:w="470" w:type="dxa"/>
            <w:tcBorders/>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w:t>
            </w:r>
          </w:p>
        </w:tc>
      </w:tr>
      <w:tr>
        <w:trPr/>
        <w:tc>
          <w:tcPr>
            <w:tcW w:w="74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4.</w:t>
            </w:r>
          </w:p>
        </w:tc>
        <w:tc>
          <w:tcPr>
            <w:tcW w:w="731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Controls and Procedures</w:t>
            </w:r>
          </w:p>
        </w:tc>
        <w:tc>
          <w:tcPr>
            <w:tcW w:w="47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w:t>
            </w:r>
          </w:p>
        </w:tc>
      </w:tr>
      <w:tr>
        <w:trPr/>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7310" w:type="dxa"/>
            <w:tcBorders/>
            <w:vAlign w:val="center"/>
          </w:tcPr>
          <w:p>
            <w:pPr>
              <w:pStyle w:val="TableContents"/>
              <w:bidi w:val="0"/>
              <w:spacing w:before="0" w:after="283"/>
              <w:jc w:val="left"/>
              <w:rPr>
                <w:caps w:val="false"/>
                <w:smallCaps w:val="false"/>
              </w:rPr>
            </w:pPr>
            <w:r>
              <w:rPr>
                <w:caps w:val="false"/>
                <w:smallCaps w:val="false"/>
              </w:rPr>
              <w:t> </w:t>
            </w:r>
          </w:p>
        </w:tc>
        <w:tc>
          <w:tcPr>
            <w:tcW w:w="470"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8050" w:type="dxa"/>
            <w:gridSpan w:val="2"/>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PART II. OTHER INFORMATION</w:t>
            </w:r>
          </w:p>
        </w:tc>
        <w:tc>
          <w:tcPr>
            <w:tcW w:w="47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7310" w:type="dxa"/>
            <w:tcBorders/>
            <w:vAlign w:val="center"/>
          </w:tcPr>
          <w:p>
            <w:pPr>
              <w:pStyle w:val="TableContents"/>
              <w:bidi w:val="0"/>
              <w:spacing w:before="0" w:after="283"/>
              <w:jc w:val="left"/>
              <w:rPr>
                <w:caps w:val="false"/>
                <w:smallCaps w:val="false"/>
              </w:rPr>
            </w:pPr>
            <w:r>
              <w:rPr>
                <w:caps w:val="false"/>
                <w:smallCaps w:val="false"/>
              </w:rPr>
              <w:t> </w:t>
            </w:r>
          </w:p>
        </w:tc>
        <w:tc>
          <w:tcPr>
            <w:tcW w:w="470"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74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1.</w:t>
            </w:r>
          </w:p>
        </w:tc>
        <w:tc>
          <w:tcPr>
            <w:tcW w:w="731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Legal Proceedings</w:t>
            </w:r>
          </w:p>
        </w:tc>
        <w:tc>
          <w:tcPr>
            <w:tcW w:w="47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w:t>
            </w:r>
          </w:p>
        </w:tc>
      </w:tr>
      <w:tr>
        <w:trPr/>
        <w:tc>
          <w:tcPr>
            <w:tcW w:w="740"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1A.</w:t>
            </w:r>
          </w:p>
        </w:tc>
        <w:tc>
          <w:tcPr>
            <w:tcW w:w="7310"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Risk Factors</w:t>
            </w:r>
          </w:p>
        </w:tc>
        <w:tc>
          <w:tcPr>
            <w:tcW w:w="470" w:type="dxa"/>
            <w:tcBorders/>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w:t>
            </w:r>
          </w:p>
        </w:tc>
      </w:tr>
      <w:tr>
        <w:trPr/>
        <w:tc>
          <w:tcPr>
            <w:tcW w:w="74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2.</w:t>
            </w:r>
          </w:p>
        </w:tc>
        <w:tc>
          <w:tcPr>
            <w:tcW w:w="731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Unregistered Sales of Equity Securities and Use of Proceeds</w:t>
            </w:r>
          </w:p>
        </w:tc>
        <w:tc>
          <w:tcPr>
            <w:tcW w:w="47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w:t>
            </w:r>
          </w:p>
        </w:tc>
      </w:tr>
      <w:tr>
        <w:trPr/>
        <w:tc>
          <w:tcPr>
            <w:tcW w:w="740"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3.</w:t>
            </w:r>
          </w:p>
        </w:tc>
        <w:tc>
          <w:tcPr>
            <w:tcW w:w="7310"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Defaults Upon Senior Securities</w:t>
            </w:r>
          </w:p>
        </w:tc>
        <w:tc>
          <w:tcPr>
            <w:tcW w:w="470" w:type="dxa"/>
            <w:tcBorders/>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w:t>
            </w:r>
          </w:p>
        </w:tc>
      </w:tr>
      <w:tr>
        <w:trPr/>
        <w:tc>
          <w:tcPr>
            <w:tcW w:w="74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4.</w:t>
            </w:r>
          </w:p>
        </w:tc>
        <w:tc>
          <w:tcPr>
            <w:tcW w:w="731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Mine Safety Disclosures</w:t>
            </w:r>
          </w:p>
        </w:tc>
        <w:tc>
          <w:tcPr>
            <w:tcW w:w="47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w:t>
            </w:r>
          </w:p>
        </w:tc>
      </w:tr>
      <w:tr>
        <w:trPr/>
        <w:tc>
          <w:tcPr>
            <w:tcW w:w="740"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5.</w:t>
            </w:r>
          </w:p>
        </w:tc>
        <w:tc>
          <w:tcPr>
            <w:tcW w:w="7310"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Other Information</w:t>
            </w:r>
          </w:p>
        </w:tc>
        <w:tc>
          <w:tcPr>
            <w:tcW w:w="470" w:type="dxa"/>
            <w:tcBorders/>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w:t>
            </w:r>
          </w:p>
        </w:tc>
      </w:tr>
      <w:tr>
        <w:trPr/>
        <w:tc>
          <w:tcPr>
            <w:tcW w:w="74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6.</w:t>
            </w:r>
          </w:p>
        </w:tc>
        <w:tc>
          <w:tcPr>
            <w:tcW w:w="731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Exhibits</w:t>
            </w:r>
          </w:p>
        </w:tc>
        <w:tc>
          <w:tcPr>
            <w:tcW w:w="47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34</w:t>
            </w:r>
          </w:p>
        </w:tc>
      </w:tr>
      <w:tr>
        <w:trPr/>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7310" w:type="dxa"/>
            <w:tcBorders/>
            <w:vAlign w:val="center"/>
          </w:tcPr>
          <w:p>
            <w:pPr>
              <w:pStyle w:val="TableContents"/>
              <w:bidi w:val="0"/>
              <w:spacing w:before="0" w:after="283"/>
              <w:jc w:val="left"/>
              <w:rPr>
                <w:caps w:val="false"/>
                <w:smallCaps w:val="false"/>
              </w:rPr>
            </w:pPr>
            <w:r>
              <w:rPr>
                <w:caps w:val="false"/>
                <w:smallCaps w:val="false"/>
              </w:rPr>
              <w:t> </w:t>
            </w:r>
          </w:p>
        </w:tc>
        <w:tc>
          <w:tcPr>
            <w:tcW w:w="470"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8050" w:type="dxa"/>
            <w:gridSpan w:val="2"/>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SIGNATURES</w:t>
            </w:r>
          </w:p>
        </w:tc>
        <w:tc>
          <w:tcPr>
            <w:tcW w:w="47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35</w:t>
            </w:r>
          </w:p>
        </w:tc>
      </w:tr>
    </w:tbl>
    <w:p>
      <w:pPr>
        <w:pStyle w:val="TextBody"/>
        <w:bidi w:val="0"/>
        <w:spacing w:before="200" w:after="200"/>
        <w:jc w:val="left"/>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rFonts w:ascii="Times New Roman" w:hAnsi="Times New Roman"/>
          <w:b/>
          <w:i w:val="false"/>
          <w:caps w:val="false"/>
          <w:smallCaps w:val="false"/>
          <w:sz w:val="20"/>
        </w:rPr>
      </w:pPr>
      <w:r>
        <w:rPr>
          <w:rFonts w:ascii="Times New Roman" w:hAnsi="Times New Roman"/>
          <w:b/>
          <w:i w:val="false"/>
          <w:caps w:val="false"/>
          <w:smallCaps w:val="false"/>
          <w:sz w:val="20"/>
        </w:rPr>
        <w:t>PART I. FINANCIAL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Item 1.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Wrap Technologies, Inc.</w:t>
      </w:r>
    </w:p>
    <w:p>
      <w:pPr>
        <w:pStyle w:val="TextBody"/>
        <w:bidi w:val="0"/>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Condensed Consolidated Balance Sheets</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thousands, except par value and share amounts)</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30"/>
        <w:gridCol w:w="170"/>
        <w:gridCol w:w="1069"/>
        <w:gridCol w:w="185"/>
        <w:gridCol w:w="90"/>
        <w:gridCol w:w="170"/>
        <w:gridCol w:w="1359"/>
        <w:gridCol w:w="232"/>
      </w:tblGrid>
      <w:tr>
        <w:trPr/>
        <w:tc>
          <w:tcPr>
            <w:tcW w:w="69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693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69" w:type="dxa"/>
            <w:tcBorders>
              <w:bottom w:val="single" w:sz="6" w:space="0" w:color="000000"/>
            </w:tcBorders>
            <w:tcMar>
              <w:bottom w:w="28" w:type="dxa"/>
            </w:tcMar>
            <w:vAlign w:val="center"/>
          </w:tcPr>
          <w:p>
            <w:pPr>
              <w:pStyle w:val="TableContents"/>
              <w:bidi w:val="0"/>
              <w:spacing w:before="0" w:after="283"/>
              <w:jc w:val="center"/>
              <w:rPr>
                <w:b/>
              </w:rPr>
            </w:pPr>
            <w:r>
              <w:rPr>
                <w:b/>
              </w:rPr>
              <w:t>June 30, 2026</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59" w:type="dxa"/>
            <w:tcBorders>
              <w:bottom w:val="single" w:sz="6" w:space="0" w:color="000000"/>
            </w:tcBorders>
            <w:tcMar>
              <w:bottom w:w="28" w:type="dxa"/>
            </w:tcMar>
            <w:vAlign w:val="center"/>
          </w:tcPr>
          <w:p>
            <w:pPr>
              <w:pStyle w:val="TableContents"/>
              <w:bidi w:val="0"/>
              <w:spacing w:before="0" w:after="283"/>
              <w:jc w:val="center"/>
              <w:rPr>
                <w:b/>
              </w:rPr>
            </w:pPr>
            <w:r>
              <w:rPr>
                <w:b/>
              </w:rPr>
              <w:t>December 31, 2025</w:t>
            </w:r>
          </w:p>
        </w:tc>
        <w:tc>
          <w:tcPr>
            <w:tcW w:w="232"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283"/>
              <w:jc w:val="left"/>
              <w:rPr>
                <w:b/>
              </w:rPr>
            </w:pPr>
            <w:r>
              <w:rPr>
                <w:b/>
              </w:rPr>
              <w:t>ASSETS</w:t>
            </w:r>
          </w:p>
        </w:tc>
        <w:tc>
          <w:tcPr>
            <w:tcW w:w="170"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283"/>
              <w:jc w:val="left"/>
              <w:rPr/>
            </w:pPr>
            <w:r>
              <w:rPr/>
              <w:t>Current assets:</w:t>
            </w:r>
          </w:p>
        </w:tc>
        <w:tc>
          <w:tcPr>
            <w:tcW w:w="170"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283"/>
              <w:jc w:val="left"/>
              <w:rPr/>
            </w:pPr>
            <w:r>
              <w:rPr/>
              <w:t>Cash and cash equivalents</w:t>
            </w:r>
          </w:p>
        </w:tc>
        <w:tc>
          <w:tcPr>
            <w:tcW w:w="170" w:type="dxa"/>
            <w:tcBorders/>
            <w:shd w:fill="CCEEFF" w:val="clear"/>
            <w:vAlign w:val="center"/>
          </w:tcPr>
          <w:p>
            <w:pPr>
              <w:pStyle w:val="TableContents"/>
              <w:bidi w:val="0"/>
              <w:spacing w:before="0" w:after="283"/>
              <w:jc w:val="left"/>
              <w:rPr/>
            </w:pPr>
            <w:r>
              <w:rPr/>
              <w:t>$</w:t>
            </w:r>
          </w:p>
        </w:tc>
        <w:tc>
          <w:tcPr>
            <w:tcW w:w="1069" w:type="dxa"/>
            <w:tcBorders/>
            <w:shd w:fill="CCEEFF" w:val="clear"/>
            <w:vAlign w:val="center"/>
          </w:tcPr>
          <w:p>
            <w:pPr>
              <w:pStyle w:val="TableContents"/>
              <w:bidi w:val="0"/>
              <w:spacing w:before="0" w:after="283"/>
              <w:jc w:val="right"/>
              <w:rPr/>
            </w:pPr>
            <w:r>
              <w:rPr/>
              <w:t>4,781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59" w:type="dxa"/>
            <w:tcBorders/>
            <w:shd w:fill="CCEEFF" w:val="clear"/>
            <w:vAlign w:val="center"/>
          </w:tcPr>
          <w:p>
            <w:pPr>
              <w:pStyle w:val="TableContents"/>
              <w:bidi w:val="0"/>
              <w:spacing w:before="0" w:after="283"/>
              <w:jc w:val="right"/>
              <w:rPr/>
            </w:pPr>
            <w:r>
              <w:rPr/>
              <w:t>3,468</w:t>
            </w:r>
          </w:p>
        </w:tc>
        <w:tc>
          <w:tcPr>
            <w:tcW w:w="232"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283"/>
              <w:jc w:val="left"/>
              <w:rPr/>
            </w:pPr>
            <w:r>
              <w:rPr/>
              <w:t>Accounts receivable and contract assets, net</w:t>
            </w:r>
          </w:p>
        </w:tc>
        <w:tc>
          <w:tcPr>
            <w:tcW w:w="170"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pPr>
            <w:r>
              <w:rPr/>
              <w:t>3,378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2,787</w:t>
            </w:r>
          </w:p>
        </w:tc>
        <w:tc>
          <w:tcPr>
            <w:tcW w:w="232"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283"/>
              <w:jc w:val="left"/>
              <w:rPr/>
            </w:pPr>
            <w:r>
              <w:rPr/>
              <w:t>Inventories, net</w:t>
            </w:r>
          </w:p>
        </w:tc>
        <w:tc>
          <w:tcPr>
            <w:tcW w:w="17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4,308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4,971</w:t>
            </w:r>
          </w:p>
        </w:tc>
        <w:tc>
          <w:tcPr>
            <w:tcW w:w="232"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283"/>
              <w:jc w:val="left"/>
              <w:rPr/>
            </w:pPr>
            <w:r>
              <w:rPr/>
              <w:t>Prepaid expenses and other current assets</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69" w:type="dxa"/>
            <w:tcBorders>
              <w:bottom w:val="single" w:sz="6" w:space="0" w:color="000000"/>
            </w:tcBorders>
            <w:tcMar>
              <w:bottom w:w="28" w:type="dxa"/>
            </w:tcMar>
            <w:vAlign w:val="center"/>
          </w:tcPr>
          <w:p>
            <w:pPr>
              <w:pStyle w:val="TableContents"/>
              <w:bidi w:val="0"/>
              <w:spacing w:before="0" w:after="283"/>
              <w:jc w:val="right"/>
              <w:rPr/>
            </w:pPr>
            <w:r>
              <w:rPr/>
              <w:t>729</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59" w:type="dxa"/>
            <w:tcBorders>
              <w:bottom w:val="single" w:sz="6" w:space="0" w:color="000000"/>
            </w:tcBorders>
            <w:tcMar>
              <w:bottom w:w="28" w:type="dxa"/>
            </w:tcMar>
            <w:vAlign w:val="center"/>
          </w:tcPr>
          <w:p>
            <w:pPr>
              <w:pStyle w:val="TableContents"/>
              <w:bidi w:val="0"/>
              <w:spacing w:before="0" w:after="283"/>
              <w:jc w:val="right"/>
              <w:rPr/>
            </w:pPr>
            <w:r>
              <w:rPr/>
              <w:t>194</w:t>
            </w:r>
          </w:p>
        </w:tc>
        <w:tc>
          <w:tcPr>
            <w:tcW w:w="232"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283"/>
              <w:jc w:val="left"/>
              <w:rPr>
                <w:b/>
              </w:rPr>
            </w:pPr>
            <w:r>
              <w:rPr>
                <w:b/>
              </w:rPr>
              <w:t>Total current assets</w:t>
            </w:r>
          </w:p>
        </w:tc>
        <w:tc>
          <w:tcPr>
            <w:tcW w:w="17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13,196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11,420</w:t>
            </w:r>
          </w:p>
        </w:tc>
        <w:tc>
          <w:tcPr>
            <w:tcW w:w="232"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283"/>
              <w:jc w:val="left"/>
              <w:rPr/>
            </w:pPr>
            <w:r>
              <w:rPr/>
              <w:t>Property and equipment, net</w:t>
            </w:r>
          </w:p>
        </w:tc>
        <w:tc>
          <w:tcPr>
            <w:tcW w:w="170"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pPr>
            <w:r>
              <w:rPr/>
              <w:t>89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123</w:t>
            </w:r>
          </w:p>
        </w:tc>
        <w:tc>
          <w:tcPr>
            <w:tcW w:w="232"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283"/>
              <w:jc w:val="left"/>
              <w:rPr/>
            </w:pPr>
            <w:r>
              <w:rPr/>
              <w:t>Operating lease right-of-use asset, net</w:t>
            </w:r>
          </w:p>
        </w:tc>
        <w:tc>
          <w:tcPr>
            <w:tcW w:w="17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426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2,175</w:t>
            </w:r>
          </w:p>
        </w:tc>
        <w:tc>
          <w:tcPr>
            <w:tcW w:w="232"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283"/>
              <w:jc w:val="left"/>
              <w:rPr/>
            </w:pPr>
            <w:r>
              <w:rPr/>
              <w:t>Intangible assets, net</w:t>
            </w:r>
          </w:p>
        </w:tc>
        <w:tc>
          <w:tcPr>
            <w:tcW w:w="170"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pPr>
            <w:r>
              <w:rPr/>
              <w:t>1,603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1,572</w:t>
            </w:r>
          </w:p>
        </w:tc>
        <w:tc>
          <w:tcPr>
            <w:tcW w:w="232"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283"/>
              <w:jc w:val="left"/>
              <w:rPr/>
            </w:pPr>
            <w:r>
              <w:rPr/>
              <w:t>Other assets</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069" w:type="dxa"/>
            <w:tcBorders>
              <w:bottom w:val="single" w:sz="6" w:space="0" w:color="000000"/>
            </w:tcBorders>
            <w:shd w:fill="CCEEFF" w:val="clear"/>
            <w:tcMar>
              <w:bottom w:w="28" w:type="dxa"/>
            </w:tcMar>
            <w:vAlign w:val="center"/>
          </w:tcPr>
          <w:p>
            <w:pPr>
              <w:pStyle w:val="TableContents"/>
              <w:bidi w:val="0"/>
              <w:spacing w:before="0" w:after="283"/>
              <w:jc w:val="right"/>
              <w:rPr/>
            </w:pPr>
            <w:r>
              <w:rPr/>
              <w:t>25</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359" w:type="dxa"/>
            <w:tcBorders>
              <w:bottom w:val="single" w:sz="6" w:space="0" w:color="000000"/>
            </w:tcBorders>
            <w:shd w:fill="CCEEFF" w:val="clear"/>
            <w:tcMar>
              <w:bottom w:w="28" w:type="dxa"/>
            </w:tcMar>
            <w:vAlign w:val="center"/>
          </w:tcPr>
          <w:p>
            <w:pPr>
              <w:pStyle w:val="TableContents"/>
              <w:bidi w:val="0"/>
              <w:spacing w:before="0" w:after="283"/>
              <w:jc w:val="right"/>
              <w:rPr/>
            </w:pPr>
            <w:r>
              <w:rPr/>
              <w:t>128</w:t>
            </w:r>
          </w:p>
        </w:tc>
        <w:tc>
          <w:tcPr>
            <w:tcW w:w="232"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283"/>
              <w:jc w:val="left"/>
              <w:rPr>
                <w:b/>
              </w:rPr>
            </w:pPr>
            <w:r>
              <w:rPr>
                <w:b/>
              </w:rPr>
              <w:t>Total assets</w:t>
            </w:r>
          </w:p>
        </w:tc>
        <w:tc>
          <w:tcPr>
            <w:tcW w:w="170" w:type="dxa"/>
            <w:tcBorders>
              <w:bottom w:val="double" w:sz="6" w:space="0" w:color="000000"/>
            </w:tcBorders>
            <w:tcMar>
              <w:bottom w:w="28" w:type="dxa"/>
            </w:tcMar>
            <w:vAlign w:val="center"/>
          </w:tcPr>
          <w:p>
            <w:pPr>
              <w:pStyle w:val="TableContents"/>
              <w:bidi w:val="0"/>
              <w:spacing w:before="0" w:after="283"/>
              <w:jc w:val="left"/>
              <w:rPr/>
            </w:pPr>
            <w:r>
              <w:rPr/>
              <w:t> </w:t>
            </w:r>
          </w:p>
        </w:tc>
        <w:tc>
          <w:tcPr>
            <w:tcW w:w="1069" w:type="dxa"/>
            <w:tcBorders>
              <w:bottom w:val="double" w:sz="6" w:space="0" w:color="000000"/>
            </w:tcBorders>
            <w:tcMar>
              <w:bottom w:w="28" w:type="dxa"/>
            </w:tcMar>
            <w:vAlign w:val="center"/>
          </w:tcPr>
          <w:p>
            <w:pPr>
              <w:pStyle w:val="TableContents"/>
              <w:bidi w:val="0"/>
              <w:spacing w:before="0" w:after="283"/>
              <w:jc w:val="right"/>
              <w:rPr/>
            </w:pPr>
            <w:r>
              <w:rPr/>
              <w:t>15,339</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 </w:t>
            </w:r>
          </w:p>
        </w:tc>
        <w:tc>
          <w:tcPr>
            <w:tcW w:w="1359" w:type="dxa"/>
            <w:tcBorders>
              <w:bottom w:val="double" w:sz="6" w:space="0" w:color="000000"/>
            </w:tcBorders>
            <w:tcMar>
              <w:bottom w:w="28" w:type="dxa"/>
            </w:tcMar>
            <w:vAlign w:val="center"/>
          </w:tcPr>
          <w:p>
            <w:pPr>
              <w:pStyle w:val="TableContents"/>
              <w:bidi w:val="0"/>
              <w:spacing w:before="0" w:after="283"/>
              <w:jc w:val="right"/>
              <w:rPr/>
            </w:pPr>
            <w:r>
              <w:rPr/>
              <w:t>15,418</w:t>
            </w:r>
          </w:p>
        </w:tc>
        <w:tc>
          <w:tcPr>
            <w:tcW w:w="232"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283"/>
              <w:jc w:val="left"/>
              <w:rPr>
                <w:b/>
              </w:rPr>
            </w:pPr>
            <w:r>
              <w:rPr>
                <w:b/>
              </w:rPr>
              <w:t>LIABILITIES AND STOCKHOLDERS' EQUITY</w:t>
            </w:r>
          </w:p>
        </w:tc>
        <w:tc>
          <w:tcPr>
            <w:tcW w:w="170"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283"/>
              <w:jc w:val="left"/>
              <w:rPr/>
            </w:pPr>
            <w:r>
              <w:rPr/>
              <w:t>Current liabilities:</w:t>
            </w:r>
          </w:p>
        </w:tc>
        <w:tc>
          <w:tcPr>
            <w:tcW w:w="17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283"/>
              <w:jc w:val="left"/>
              <w:rPr/>
            </w:pPr>
            <w:r>
              <w:rPr/>
              <w:t>Accounts payable</w:t>
            </w:r>
          </w:p>
        </w:tc>
        <w:tc>
          <w:tcPr>
            <w:tcW w:w="170"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pPr>
            <w:r>
              <w:rPr/>
              <w:t>764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620</w:t>
            </w:r>
          </w:p>
        </w:tc>
        <w:tc>
          <w:tcPr>
            <w:tcW w:w="232"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283"/>
              <w:jc w:val="left"/>
              <w:rPr/>
            </w:pPr>
            <w:r>
              <w:rPr/>
              <w:t>Accrued liabilities</w:t>
            </w:r>
          </w:p>
        </w:tc>
        <w:tc>
          <w:tcPr>
            <w:tcW w:w="17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310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407</w:t>
            </w:r>
          </w:p>
        </w:tc>
        <w:tc>
          <w:tcPr>
            <w:tcW w:w="232"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283"/>
              <w:jc w:val="left"/>
              <w:rPr/>
            </w:pPr>
            <w:r>
              <w:rPr/>
              <w:t>Customer deposits</w:t>
            </w:r>
          </w:p>
        </w:tc>
        <w:tc>
          <w:tcPr>
            <w:tcW w:w="170"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pPr>
            <w:r>
              <w:rPr/>
              <w:t>98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62</w:t>
            </w:r>
          </w:p>
        </w:tc>
        <w:tc>
          <w:tcPr>
            <w:tcW w:w="232"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283"/>
              <w:jc w:val="left"/>
              <w:rPr/>
            </w:pPr>
            <w:r>
              <w:rPr/>
              <w:t>Deferred revenue — short term</w:t>
            </w:r>
          </w:p>
        </w:tc>
        <w:tc>
          <w:tcPr>
            <w:tcW w:w="17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378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408</w:t>
            </w:r>
          </w:p>
        </w:tc>
        <w:tc>
          <w:tcPr>
            <w:tcW w:w="232"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283"/>
              <w:jc w:val="left"/>
              <w:rPr/>
            </w:pPr>
            <w:r>
              <w:rPr/>
              <w:t>Operating lease liability — short term</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69" w:type="dxa"/>
            <w:tcBorders>
              <w:bottom w:val="single" w:sz="6" w:space="0" w:color="000000"/>
            </w:tcBorders>
            <w:tcMar>
              <w:bottom w:w="28" w:type="dxa"/>
            </w:tcMar>
            <w:vAlign w:val="center"/>
          </w:tcPr>
          <w:p>
            <w:pPr>
              <w:pStyle w:val="TableContents"/>
              <w:bidi w:val="0"/>
              <w:spacing w:before="0" w:after="283"/>
              <w:jc w:val="right"/>
              <w:rPr/>
            </w:pPr>
            <w:r>
              <w:rPr/>
              <w:t>91</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59" w:type="dxa"/>
            <w:tcBorders>
              <w:bottom w:val="single" w:sz="6" w:space="0" w:color="000000"/>
            </w:tcBorders>
            <w:tcMar>
              <w:bottom w:w="28" w:type="dxa"/>
            </w:tcMar>
            <w:vAlign w:val="center"/>
          </w:tcPr>
          <w:p>
            <w:pPr>
              <w:pStyle w:val="TableContents"/>
              <w:bidi w:val="0"/>
              <w:spacing w:before="0" w:after="283"/>
              <w:jc w:val="right"/>
              <w:rPr/>
            </w:pPr>
            <w:r>
              <w:rPr/>
              <w:t>320</w:t>
            </w:r>
          </w:p>
        </w:tc>
        <w:tc>
          <w:tcPr>
            <w:tcW w:w="232"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283"/>
              <w:jc w:val="left"/>
              <w:rPr>
                <w:b/>
              </w:rPr>
            </w:pPr>
            <w:r>
              <w:rPr>
                <w:b/>
              </w:rPr>
              <w:t>Total current liabilities</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069" w:type="dxa"/>
            <w:tcBorders>
              <w:bottom w:val="single" w:sz="6" w:space="0" w:color="000000"/>
            </w:tcBorders>
            <w:shd w:fill="CCEEFF" w:val="clear"/>
            <w:tcMar>
              <w:bottom w:w="28" w:type="dxa"/>
            </w:tcMar>
            <w:vAlign w:val="center"/>
          </w:tcPr>
          <w:p>
            <w:pPr>
              <w:pStyle w:val="TableContents"/>
              <w:bidi w:val="0"/>
              <w:spacing w:before="0" w:after="283"/>
              <w:jc w:val="right"/>
              <w:rPr/>
            </w:pPr>
            <w:r>
              <w:rPr/>
              <w:t xml:space="preserve">1,641 </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359" w:type="dxa"/>
            <w:tcBorders>
              <w:bottom w:val="single" w:sz="6" w:space="0" w:color="000000"/>
            </w:tcBorders>
            <w:shd w:fill="CCEEFF" w:val="clear"/>
            <w:tcMar>
              <w:bottom w:w="28" w:type="dxa"/>
            </w:tcMar>
            <w:vAlign w:val="center"/>
          </w:tcPr>
          <w:p>
            <w:pPr>
              <w:pStyle w:val="TableContents"/>
              <w:bidi w:val="0"/>
              <w:spacing w:before="0" w:after="283"/>
              <w:jc w:val="right"/>
              <w:rPr/>
            </w:pPr>
            <w:r>
              <w:rPr/>
              <w:t xml:space="preserve">1,817 </w:t>
            </w:r>
          </w:p>
        </w:tc>
        <w:tc>
          <w:tcPr>
            <w:tcW w:w="232"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283"/>
              <w:jc w:val="left"/>
              <w:rPr/>
            </w:pPr>
            <w:r>
              <w:rPr/>
              <w:t>Non-current liabilities:</w:t>
            </w:r>
          </w:p>
        </w:tc>
        <w:tc>
          <w:tcPr>
            <w:tcW w:w="17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283"/>
              <w:jc w:val="left"/>
              <w:rPr/>
            </w:pPr>
            <w:r>
              <w:rPr/>
              <w:t>Deferred revenue — long term</w:t>
            </w:r>
          </w:p>
        </w:tc>
        <w:tc>
          <w:tcPr>
            <w:tcW w:w="170"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pPr>
            <w:r>
              <w:rPr/>
              <w:t>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14</w:t>
            </w:r>
          </w:p>
        </w:tc>
        <w:tc>
          <w:tcPr>
            <w:tcW w:w="232"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283"/>
              <w:jc w:val="left"/>
              <w:rPr/>
            </w:pPr>
            <w:r>
              <w:rPr/>
              <w:t>Operating lease liability — long term</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069" w:type="dxa"/>
            <w:tcBorders>
              <w:bottom w:val="single" w:sz="6" w:space="0" w:color="000000"/>
            </w:tcBorders>
            <w:shd w:fill="CCEEFF" w:val="clear"/>
            <w:tcMar>
              <w:bottom w:w="28" w:type="dxa"/>
            </w:tcMar>
            <w:vAlign w:val="center"/>
          </w:tcPr>
          <w:p>
            <w:pPr>
              <w:pStyle w:val="TableContents"/>
              <w:bidi w:val="0"/>
              <w:spacing w:before="0" w:after="283"/>
              <w:jc w:val="right"/>
              <w:rPr/>
            </w:pPr>
            <w:r>
              <w:rPr/>
              <w:t>345</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359" w:type="dxa"/>
            <w:tcBorders>
              <w:bottom w:val="single" w:sz="6" w:space="0" w:color="000000"/>
            </w:tcBorders>
            <w:shd w:fill="CCEEFF" w:val="clear"/>
            <w:tcMar>
              <w:bottom w:w="28" w:type="dxa"/>
            </w:tcMar>
            <w:vAlign w:val="center"/>
          </w:tcPr>
          <w:p>
            <w:pPr>
              <w:pStyle w:val="TableContents"/>
              <w:bidi w:val="0"/>
              <w:spacing w:before="0" w:after="283"/>
              <w:jc w:val="right"/>
              <w:rPr/>
            </w:pPr>
            <w:r>
              <w:rPr/>
              <w:t>2,097</w:t>
            </w:r>
          </w:p>
        </w:tc>
        <w:tc>
          <w:tcPr>
            <w:tcW w:w="232"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283"/>
              <w:jc w:val="left"/>
              <w:rPr>
                <w:b/>
              </w:rPr>
            </w:pPr>
            <w:r>
              <w:rPr>
                <w:b/>
              </w:rPr>
              <w:t>Total non-current liabilities</w:t>
            </w:r>
          </w:p>
        </w:tc>
        <w:tc>
          <w:tcPr>
            <w:tcW w:w="170"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pPr>
            <w:r>
              <w:rPr/>
              <w:t>352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2,111</w:t>
            </w:r>
          </w:p>
        </w:tc>
        <w:tc>
          <w:tcPr>
            <w:tcW w:w="232"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283"/>
              <w:jc w:val="left"/>
              <w:rPr>
                <w:b/>
              </w:rPr>
            </w:pPr>
            <w:r>
              <w:rPr>
                <w:b/>
              </w:rPr>
              <w:t>Total liabilities</w:t>
            </w:r>
          </w:p>
        </w:tc>
        <w:tc>
          <w:tcPr>
            <w:tcW w:w="17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xml:space="preserve">1,993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xml:space="preserve">3,928 </w:t>
            </w:r>
          </w:p>
        </w:tc>
        <w:tc>
          <w:tcPr>
            <w:tcW w:w="232"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283"/>
              <w:jc w:val="left"/>
              <w:rPr>
                <w:b/>
              </w:rPr>
            </w:pPr>
            <w:r>
              <w:rPr>
                <w:b/>
              </w:rPr>
              <w:t>Commitments and Contingencies (Note 13)</w:t>
            </w:r>
          </w:p>
        </w:tc>
        <w:tc>
          <w:tcPr>
            <w:tcW w:w="17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0"/>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0"/>
              <w:jc w:val="lef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283"/>
              <w:jc w:val="left"/>
              <w:rPr>
                <w:b/>
              </w:rPr>
            </w:pPr>
            <w:r>
              <w:rPr>
                <w:b/>
              </w:rPr>
              <w:t>Stockholders' equity:</w:t>
            </w:r>
          </w:p>
        </w:tc>
        <w:tc>
          <w:tcPr>
            <w:tcW w:w="17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283"/>
              <w:jc w:val="left"/>
              <w:rPr/>
            </w:pPr>
            <w:r>
              <w:rPr/>
              <w:t>Preferred stock - 5,000,000 authorized; par value $0.0001 per share; 11,707 and 12,707 shares issued and outstanding at June 30, 2026, and December 31, 2025, respectively.</w:t>
            </w:r>
          </w:p>
        </w:tc>
        <w:tc>
          <w:tcPr>
            <w:tcW w:w="170"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xml:space="preserve">- </w:t>
            </w:r>
          </w:p>
        </w:tc>
        <w:tc>
          <w:tcPr>
            <w:tcW w:w="232"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283"/>
              <w:jc w:val="left"/>
              <w:rPr/>
            </w:pPr>
            <w:r>
              <w:rPr/>
              <w:t>Common stock - 200,000,000 authorized; par value $0.0001 per share; 55,857,933 and 51,733,217 shares issued and outstanding at June 30, 2026 and December 31, 2025, respectively</w:t>
            </w:r>
          </w:p>
        </w:tc>
        <w:tc>
          <w:tcPr>
            <w:tcW w:w="17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5</w:t>
            </w:r>
          </w:p>
        </w:tc>
        <w:tc>
          <w:tcPr>
            <w:tcW w:w="232"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283"/>
              <w:jc w:val="left"/>
              <w:rPr/>
            </w:pPr>
            <w:r>
              <w:rPr/>
              <w:t>Series A convertible preferred stock - 10,000 authorized, par value $0.0001 per share; 8,107 and 8,207 shares issued and outstanding at June 30, 2026 and December 31, 2025, respectively</w:t>
            </w:r>
          </w:p>
        </w:tc>
        <w:tc>
          <w:tcPr>
            <w:tcW w:w="170"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xml:space="preserve">- </w:t>
            </w:r>
          </w:p>
        </w:tc>
        <w:tc>
          <w:tcPr>
            <w:tcW w:w="232"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283"/>
              <w:jc w:val="left"/>
              <w:rPr/>
            </w:pPr>
            <w:r>
              <w:rPr/>
              <w:t>Series B convertible preferred stock - 4,500 authorized, par value $0.0001 per share, 3,600 and 4,500 shares issued and outstanding at June 30, 2026 and December 31, 2025, respectively</w:t>
            </w:r>
          </w:p>
        </w:tc>
        <w:tc>
          <w:tcPr>
            <w:tcW w:w="17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xml:space="preserve">- </w:t>
            </w:r>
          </w:p>
        </w:tc>
        <w:tc>
          <w:tcPr>
            <w:tcW w:w="232"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283"/>
              <w:jc w:val="left"/>
              <w:rPr/>
            </w:pPr>
            <w:r>
              <w:rPr/>
              <w:t>Additional paid-in-capital</w:t>
            </w:r>
          </w:p>
        </w:tc>
        <w:tc>
          <w:tcPr>
            <w:tcW w:w="170"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pPr>
            <w:r>
              <w:rPr/>
              <w:t>136,868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127,804</w:t>
            </w:r>
          </w:p>
        </w:tc>
        <w:tc>
          <w:tcPr>
            <w:tcW w:w="232"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283"/>
              <w:jc w:val="left"/>
              <w:rPr/>
            </w:pPr>
            <w:r>
              <w:rPr/>
              <w:t>Accumulated deficit</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069" w:type="dxa"/>
            <w:tcBorders>
              <w:bottom w:val="single" w:sz="6" w:space="0" w:color="000000"/>
            </w:tcBorders>
            <w:shd w:fill="CCEEFF" w:val="clear"/>
            <w:tcMar>
              <w:bottom w:w="28" w:type="dxa"/>
            </w:tcMar>
            <w:vAlign w:val="center"/>
          </w:tcPr>
          <w:p>
            <w:pPr>
              <w:pStyle w:val="TableContents"/>
              <w:bidi w:val="0"/>
              <w:spacing w:before="0" w:after="283"/>
              <w:jc w:val="right"/>
              <w:rPr/>
            </w:pPr>
            <w:r>
              <w:rPr/>
              <w:t>(123,527</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359" w:type="dxa"/>
            <w:tcBorders>
              <w:bottom w:val="single" w:sz="6" w:space="0" w:color="000000"/>
            </w:tcBorders>
            <w:shd w:fill="CCEEFF" w:val="clear"/>
            <w:tcMar>
              <w:bottom w:w="28" w:type="dxa"/>
            </w:tcMar>
            <w:vAlign w:val="center"/>
          </w:tcPr>
          <w:p>
            <w:pPr>
              <w:pStyle w:val="TableContents"/>
              <w:bidi w:val="0"/>
              <w:spacing w:before="0" w:after="283"/>
              <w:jc w:val="right"/>
              <w:rPr/>
            </w:pPr>
            <w:r>
              <w:rPr/>
              <w:t>(116,319</w:t>
            </w:r>
          </w:p>
        </w:tc>
        <w:tc>
          <w:tcPr>
            <w:tcW w:w="232"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283"/>
              <w:jc w:val="left"/>
              <w:rPr>
                <w:b/>
              </w:rPr>
            </w:pPr>
            <w:r>
              <w:rPr>
                <w:b/>
              </w:rPr>
              <w:t>Total stockholders' equity</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69" w:type="dxa"/>
            <w:tcBorders>
              <w:bottom w:val="single" w:sz="6" w:space="0" w:color="000000"/>
            </w:tcBorders>
            <w:tcMar>
              <w:bottom w:w="28" w:type="dxa"/>
            </w:tcMar>
            <w:vAlign w:val="center"/>
          </w:tcPr>
          <w:p>
            <w:pPr>
              <w:pStyle w:val="TableContents"/>
              <w:bidi w:val="0"/>
              <w:spacing w:before="0" w:after="283"/>
              <w:jc w:val="right"/>
              <w:rPr/>
            </w:pPr>
            <w:r>
              <w:rPr/>
              <w:t>13,346</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59" w:type="dxa"/>
            <w:tcBorders>
              <w:bottom w:val="single" w:sz="6" w:space="0" w:color="000000"/>
            </w:tcBorders>
            <w:tcMar>
              <w:bottom w:w="28" w:type="dxa"/>
            </w:tcMar>
            <w:vAlign w:val="center"/>
          </w:tcPr>
          <w:p>
            <w:pPr>
              <w:pStyle w:val="TableContents"/>
              <w:bidi w:val="0"/>
              <w:spacing w:before="0" w:after="283"/>
              <w:jc w:val="right"/>
              <w:rPr/>
            </w:pPr>
            <w:r>
              <w:rPr/>
              <w:t>11,490</w:t>
            </w:r>
          </w:p>
        </w:tc>
        <w:tc>
          <w:tcPr>
            <w:tcW w:w="232"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283"/>
              <w:jc w:val="left"/>
              <w:rPr>
                <w:b/>
              </w:rPr>
            </w:pPr>
            <w:r>
              <w:rPr>
                <w:b/>
              </w:rPr>
              <w:t>Total liabilities and stockholders' equity</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9" w:type="dxa"/>
            <w:tcBorders>
              <w:bottom w:val="double" w:sz="6" w:space="0" w:color="000000"/>
            </w:tcBorders>
            <w:shd w:fill="CCEEFF" w:val="clear"/>
            <w:tcMar>
              <w:bottom w:w="28" w:type="dxa"/>
            </w:tcMar>
            <w:vAlign w:val="center"/>
          </w:tcPr>
          <w:p>
            <w:pPr>
              <w:pStyle w:val="TableContents"/>
              <w:bidi w:val="0"/>
              <w:spacing w:before="0" w:after="283"/>
              <w:jc w:val="right"/>
              <w:rPr/>
            </w:pPr>
            <w:r>
              <w:rPr/>
              <w:t>15,339</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59" w:type="dxa"/>
            <w:tcBorders>
              <w:bottom w:val="double" w:sz="6" w:space="0" w:color="000000"/>
            </w:tcBorders>
            <w:shd w:fill="CCEEFF" w:val="clear"/>
            <w:tcMar>
              <w:bottom w:w="28" w:type="dxa"/>
            </w:tcMar>
            <w:vAlign w:val="center"/>
          </w:tcPr>
          <w:p>
            <w:pPr>
              <w:pStyle w:val="TableContents"/>
              <w:bidi w:val="0"/>
              <w:spacing w:before="0" w:after="283"/>
              <w:jc w:val="right"/>
              <w:rPr/>
            </w:pPr>
            <w:r>
              <w:rPr/>
              <w:t>15,418</w:t>
            </w:r>
          </w:p>
        </w:tc>
        <w:tc>
          <w:tcPr>
            <w:tcW w:w="23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accompanying notes are an integral part of these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Wrap Technologies, Inc.</w:t>
      </w:r>
    </w:p>
    <w:p>
      <w:pPr>
        <w:pStyle w:val="TextBody"/>
        <w:bidi w:val="0"/>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Condensed Consolidated Statements of Operations and Comprehensive Loss</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thousands, except share and per share amounts)</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(unaudited)</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91"/>
        <w:gridCol w:w="173"/>
        <w:gridCol w:w="1152"/>
        <w:gridCol w:w="188"/>
        <w:gridCol w:w="91"/>
        <w:gridCol w:w="173"/>
        <w:gridCol w:w="1152"/>
        <w:gridCol w:w="188"/>
        <w:gridCol w:w="90"/>
        <w:gridCol w:w="170"/>
        <w:gridCol w:w="1130"/>
        <w:gridCol w:w="185"/>
        <w:gridCol w:w="90"/>
        <w:gridCol w:w="170"/>
        <w:gridCol w:w="1130"/>
        <w:gridCol w:w="232"/>
      </w:tblGrid>
      <w:tr>
        <w:trPr/>
        <w:tc>
          <w:tcPr>
            <w:tcW w:w="389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 </w:t>
            </w:r>
          </w:p>
        </w:tc>
      </w:tr>
      <w:tr>
        <w:trPr/>
        <w:tc>
          <w:tcPr>
            <w:tcW w:w="38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center"/>
              <w:rPr/>
            </w:pPr>
            <w:r>
              <w:rPr/>
              <w:t> </w:t>
            </w:r>
          </w:p>
        </w:tc>
        <w:tc>
          <w:tcPr>
            <w:tcW w:w="115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center"/>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center"/>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center"/>
              <w:rPr/>
            </w:pPr>
            <w:r>
              <w:rPr/>
              <w:t> </w:t>
            </w:r>
          </w:p>
        </w:tc>
      </w:tr>
      <w:tr>
        <w:trPr/>
        <w:tc>
          <w:tcPr>
            <w:tcW w:w="3891" w:type="dxa"/>
            <w:tcBorders/>
            <w:vAlign w:val="center"/>
          </w:tcPr>
          <w:p>
            <w:pPr>
              <w:pStyle w:val="TableContents"/>
              <w:bidi w:val="0"/>
              <w:spacing w:before="0" w:after="283"/>
              <w:jc w:val="left"/>
              <w:rPr/>
            </w:pPr>
            <w:r>
              <w:rPr/>
              <w:t> </w:t>
            </w:r>
          </w:p>
        </w:tc>
        <w:tc>
          <w:tcPr>
            <w:tcW w:w="3117" w:type="dxa"/>
            <w:gridSpan w:val="7"/>
            <w:tcBorders>
              <w:bottom w:val="single" w:sz="6" w:space="0" w:color="000000"/>
            </w:tcBorders>
            <w:tcMar>
              <w:bottom w:w="28" w:type="dxa"/>
            </w:tcMar>
            <w:vAlign w:val="center"/>
          </w:tcPr>
          <w:p>
            <w:pPr>
              <w:pStyle w:val="TableContents"/>
              <w:bidi w:val="0"/>
              <w:spacing w:before="0" w:after="283"/>
              <w:jc w:val="center"/>
              <w:rPr>
                <w:b/>
              </w:rPr>
            </w:pPr>
            <w:r>
              <w:rPr>
                <w:b/>
              </w:rPr>
              <w:t>Three Months Ended June 30,</w:t>
            </w:r>
          </w:p>
        </w:tc>
        <w:tc>
          <w:tcPr>
            <w:tcW w:w="90" w:type="dxa"/>
            <w:tcBorders/>
            <w:vAlign w:val="center"/>
          </w:tcPr>
          <w:p>
            <w:pPr>
              <w:pStyle w:val="TableContents"/>
              <w:bidi w:val="0"/>
              <w:spacing w:before="0" w:after="283"/>
              <w:jc w:val="left"/>
              <w:rPr>
                <w:sz w:val="4"/>
                <w:szCs w:val="4"/>
              </w:rPr>
            </w:pPr>
            <w:r>
              <w:rPr>
                <w:sz w:val="4"/>
                <w:szCs w:val="4"/>
              </w:rPr>
            </w:r>
          </w:p>
        </w:tc>
        <w:tc>
          <w:tcPr>
            <w:tcW w:w="3107" w:type="dxa"/>
            <w:gridSpan w:val="7"/>
            <w:tcBorders>
              <w:bottom w:val="single" w:sz="6" w:space="0" w:color="000000"/>
            </w:tcBorders>
            <w:tcMar>
              <w:bottom w:w="28" w:type="dxa"/>
            </w:tcMar>
            <w:vAlign w:val="center"/>
          </w:tcPr>
          <w:p>
            <w:pPr>
              <w:pStyle w:val="TableContents"/>
              <w:bidi w:val="0"/>
              <w:spacing w:before="0" w:after="283"/>
              <w:jc w:val="center"/>
              <w:rPr>
                <w:b/>
              </w:rPr>
            </w:pPr>
            <w:r>
              <w:rPr>
                <w:b/>
              </w:rPr>
              <w:t>Six Months Ended June 30,</w:t>
            </w:r>
          </w:p>
        </w:tc>
      </w:tr>
      <w:tr>
        <w:trPr/>
        <w:tc>
          <w:tcPr>
            <w:tcW w:w="3891" w:type="dxa"/>
            <w:tcBorders/>
            <w:vAlign w:val="center"/>
          </w:tcPr>
          <w:p>
            <w:pPr>
              <w:pStyle w:val="TableContents"/>
              <w:bidi w:val="0"/>
              <w:spacing w:before="0" w:after="283"/>
              <w:jc w:val="left"/>
              <w:rPr/>
            </w:pPr>
            <w:r>
              <w:rPr/>
              <w:t> </w:t>
            </w:r>
          </w:p>
        </w:tc>
        <w:tc>
          <w:tcPr>
            <w:tcW w:w="173" w:type="dxa"/>
            <w:tcBorders>
              <w:bottom w:val="single" w:sz="6" w:space="0" w:color="000000"/>
            </w:tcBorders>
            <w:tcMar>
              <w:bottom w:w="28" w:type="dxa"/>
            </w:tcMar>
            <w:vAlign w:val="center"/>
          </w:tcPr>
          <w:p>
            <w:pPr>
              <w:pStyle w:val="TableContents"/>
              <w:bidi w:val="0"/>
              <w:spacing w:before="0" w:after="283"/>
              <w:jc w:val="left"/>
              <w:rPr/>
            </w:pPr>
            <w:r>
              <w:rPr/>
              <w:t> </w:t>
            </w:r>
          </w:p>
        </w:tc>
        <w:tc>
          <w:tcPr>
            <w:tcW w:w="1152"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188" w:type="dxa"/>
            <w:tcBorders>
              <w:bottom w:val="single" w:sz="6" w:space="0" w:color="000000"/>
            </w:tcBorders>
            <w:tcMar>
              <w:bottom w:w="28" w:type="dxa"/>
            </w:tcMar>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bottom w:val="single" w:sz="6" w:space="0" w:color="000000"/>
            </w:tcBorders>
            <w:tcMar>
              <w:bottom w:w="28" w:type="dxa"/>
            </w:tcMar>
            <w:vAlign w:val="center"/>
          </w:tcPr>
          <w:p>
            <w:pPr>
              <w:pStyle w:val="TableContents"/>
              <w:bidi w:val="0"/>
              <w:spacing w:before="0" w:after="283"/>
              <w:jc w:val="left"/>
              <w:rPr/>
            </w:pPr>
            <w:r>
              <w:rPr/>
              <w:t> </w:t>
            </w:r>
          </w:p>
        </w:tc>
        <w:tc>
          <w:tcPr>
            <w:tcW w:w="1152"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188"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30"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185"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30"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232"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3891" w:type="dxa"/>
            <w:tcBorders/>
            <w:vAlign w:val="center"/>
          </w:tcPr>
          <w:p>
            <w:pPr>
              <w:pStyle w:val="TableContents"/>
              <w:bidi w:val="0"/>
              <w:spacing w:before="0" w:after="283"/>
              <w:jc w:val="left"/>
              <w:rPr/>
            </w:pPr>
            <w:r>
              <w:rPr/>
              <w:t>Revenues:</w:t>
            </w:r>
          </w:p>
        </w:tc>
        <w:tc>
          <w:tcPr>
            <w:tcW w:w="173" w:type="dxa"/>
            <w:tcBorders/>
            <w:vAlign w:val="center"/>
          </w:tcPr>
          <w:p>
            <w:pPr>
              <w:pStyle w:val="TableContents"/>
              <w:bidi w:val="0"/>
              <w:spacing w:before="0" w:after="283"/>
              <w:jc w:val="left"/>
              <w:rPr/>
            </w:pPr>
            <w:r>
              <w:rPr/>
              <w:t> </w:t>
            </w:r>
          </w:p>
        </w:tc>
        <w:tc>
          <w:tcPr>
            <w:tcW w:w="1152"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152"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3891" w:type="dxa"/>
            <w:tcBorders/>
            <w:shd w:fill="CCEEFF" w:val="clear"/>
            <w:vAlign w:val="center"/>
          </w:tcPr>
          <w:p>
            <w:pPr>
              <w:pStyle w:val="TableContents"/>
              <w:bidi w:val="0"/>
              <w:spacing w:before="0" w:after="283"/>
              <w:jc w:val="left"/>
              <w:rPr/>
            </w:pPr>
            <w:r>
              <w:rPr/>
              <w:t>Product sales</w:t>
            </w:r>
          </w:p>
        </w:tc>
        <w:tc>
          <w:tcPr>
            <w:tcW w:w="173" w:type="dxa"/>
            <w:tcBorders/>
            <w:shd w:fill="CCEEFF" w:val="clear"/>
            <w:vAlign w:val="center"/>
          </w:tcPr>
          <w:p>
            <w:pPr>
              <w:pStyle w:val="TableContents"/>
              <w:bidi w:val="0"/>
              <w:spacing w:before="0" w:after="283"/>
              <w:jc w:val="left"/>
              <w:rPr/>
            </w:pPr>
            <w:r>
              <w:rPr/>
              <w:t>$</w:t>
            </w:r>
          </w:p>
        </w:tc>
        <w:tc>
          <w:tcPr>
            <w:tcW w:w="1152" w:type="dxa"/>
            <w:tcBorders/>
            <w:shd w:fill="CCEEFF" w:val="clear"/>
            <w:vAlign w:val="center"/>
          </w:tcPr>
          <w:p>
            <w:pPr>
              <w:pStyle w:val="TableContents"/>
              <w:bidi w:val="0"/>
              <w:spacing w:before="0" w:after="283"/>
              <w:jc w:val="right"/>
              <w:rPr/>
            </w:pPr>
            <w:r>
              <w:rPr/>
              <w:t>1,747</w:t>
            </w:r>
          </w:p>
        </w:tc>
        <w:tc>
          <w:tcPr>
            <w:tcW w:w="188"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152" w:type="dxa"/>
            <w:tcBorders/>
            <w:shd w:fill="CCEEFF" w:val="clear"/>
            <w:vAlign w:val="center"/>
          </w:tcPr>
          <w:p>
            <w:pPr>
              <w:pStyle w:val="TableContents"/>
              <w:bidi w:val="0"/>
              <w:spacing w:before="0" w:after="283"/>
              <w:jc w:val="right"/>
              <w:rPr/>
            </w:pPr>
            <w:r>
              <w:rPr/>
              <w:t>50</w:t>
            </w:r>
          </w:p>
        </w:tc>
        <w:tc>
          <w:tcPr>
            <w:tcW w:w="18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2,630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359</w:t>
            </w:r>
          </w:p>
        </w:tc>
        <w:tc>
          <w:tcPr>
            <w:tcW w:w="232" w:type="dxa"/>
            <w:tcBorders/>
            <w:shd w:fill="CCEEFF" w:val="clear"/>
            <w:vAlign w:val="center"/>
          </w:tcPr>
          <w:p>
            <w:pPr>
              <w:pStyle w:val="TableContents"/>
              <w:bidi w:val="0"/>
              <w:spacing w:before="0" w:after="283"/>
              <w:jc w:val="left"/>
              <w:rPr/>
            </w:pPr>
            <w:r>
              <w:rPr/>
              <w:t> </w:t>
            </w:r>
          </w:p>
        </w:tc>
      </w:tr>
      <w:tr>
        <w:trPr/>
        <w:tc>
          <w:tcPr>
            <w:tcW w:w="3891" w:type="dxa"/>
            <w:tcBorders/>
            <w:vAlign w:val="center"/>
          </w:tcPr>
          <w:p>
            <w:pPr>
              <w:pStyle w:val="TableContents"/>
              <w:bidi w:val="0"/>
              <w:spacing w:before="0" w:after="283"/>
              <w:jc w:val="left"/>
              <w:rPr/>
            </w:pPr>
            <w:r>
              <w:rPr/>
              <w:t>Technology enabled services</w:t>
            </w:r>
          </w:p>
        </w:tc>
        <w:tc>
          <w:tcPr>
            <w:tcW w:w="173" w:type="dxa"/>
            <w:tcBorders>
              <w:bottom w:val="single" w:sz="6" w:space="0" w:color="000000"/>
            </w:tcBorders>
            <w:tcMar>
              <w:bottom w:w="28" w:type="dxa"/>
            </w:tcMar>
            <w:vAlign w:val="center"/>
          </w:tcPr>
          <w:p>
            <w:pPr>
              <w:pStyle w:val="TableContents"/>
              <w:bidi w:val="0"/>
              <w:spacing w:before="0" w:after="283"/>
              <w:jc w:val="left"/>
              <w:rPr/>
            </w:pPr>
            <w:r>
              <w:rPr/>
              <w:t> </w:t>
            </w:r>
          </w:p>
        </w:tc>
        <w:tc>
          <w:tcPr>
            <w:tcW w:w="1152" w:type="dxa"/>
            <w:tcBorders>
              <w:bottom w:val="single" w:sz="6" w:space="0" w:color="000000"/>
            </w:tcBorders>
            <w:tcMar>
              <w:bottom w:w="28" w:type="dxa"/>
            </w:tcMar>
            <w:vAlign w:val="center"/>
          </w:tcPr>
          <w:p>
            <w:pPr>
              <w:pStyle w:val="TableContents"/>
              <w:bidi w:val="0"/>
              <w:spacing w:before="0" w:after="283"/>
              <w:jc w:val="right"/>
              <w:rPr/>
            </w:pPr>
            <w:r>
              <w:rPr/>
              <w:t>305</w:t>
            </w:r>
          </w:p>
        </w:tc>
        <w:tc>
          <w:tcPr>
            <w:tcW w:w="188" w:type="dxa"/>
            <w:tcBorders>
              <w:bottom w:val="single" w:sz="6" w:space="0" w:color="000000"/>
            </w:tcBorders>
            <w:tcMar>
              <w:bottom w:w="28" w:type="dxa"/>
            </w:tcMar>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bottom w:val="single" w:sz="6" w:space="0" w:color="000000"/>
            </w:tcBorders>
            <w:tcMar>
              <w:bottom w:w="28" w:type="dxa"/>
            </w:tcMar>
            <w:vAlign w:val="center"/>
          </w:tcPr>
          <w:p>
            <w:pPr>
              <w:pStyle w:val="TableContents"/>
              <w:bidi w:val="0"/>
              <w:spacing w:before="0" w:after="283"/>
              <w:jc w:val="left"/>
              <w:rPr/>
            </w:pPr>
            <w:r>
              <w:rPr/>
              <w:t> </w:t>
            </w:r>
          </w:p>
        </w:tc>
        <w:tc>
          <w:tcPr>
            <w:tcW w:w="1152" w:type="dxa"/>
            <w:tcBorders>
              <w:bottom w:val="single" w:sz="6" w:space="0" w:color="000000"/>
            </w:tcBorders>
            <w:tcMar>
              <w:bottom w:w="28" w:type="dxa"/>
            </w:tcMar>
            <w:vAlign w:val="center"/>
          </w:tcPr>
          <w:p>
            <w:pPr>
              <w:pStyle w:val="TableContents"/>
              <w:bidi w:val="0"/>
              <w:spacing w:before="0" w:after="283"/>
              <w:jc w:val="right"/>
              <w:rPr/>
            </w:pPr>
            <w:r>
              <w:rPr/>
              <w:t>962</w:t>
            </w:r>
          </w:p>
        </w:tc>
        <w:tc>
          <w:tcPr>
            <w:tcW w:w="188"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tcMar>
              <w:bottom w:w="28" w:type="dxa"/>
            </w:tcMar>
            <w:vAlign w:val="center"/>
          </w:tcPr>
          <w:p>
            <w:pPr>
              <w:pStyle w:val="TableContents"/>
              <w:bidi w:val="0"/>
              <w:spacing w:before="0" w:after="283"/>
              <w:jc w:val="right"/>
              <w:rPr/>
            </w:pPr>
            <w:r>
              <w:rPr/>
              <w:t>533</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tcMar>
              <w:bottom w:w="28" w:type="dxa"/>
            </w:tcMar>
            <w:vAlign w:val="center"/>
          </w:tcPr>
          <w:p>
            <w:pPr>
              <w:pStyle w:val="TableContents"/>
              <w:bidi w:val="0"/>
              <w:spacing w:before="0" w:after="283"/>
              <w:jc w:val="right"/>
              <w:rPr/>
            </w:pPr>
            <w:r>
              <w:rPr/>
              <w:t>1,419</w:t>
            </w:r>
          </w:p>
        </w:tc>
        <w:tc>
          <w:tcPr>
            <w:tcW w:w="232"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891" w:type="dxa"/>
            <w:tcBorders/>
            <w:shd w:fill="CCEEFF" w:val="clear"/>
            <w:vAlign w:val="center"/>
          </w:tcPr>
          <w:p>
            <w:pPr>
              <w:pStyle w:val="TableContents"/>
              <w:bidi w:val="0"/>
              <w:spacing w:before="0" w:after="283"/>
              <w:jc w:val="left"/>
              <w:rPr/>
            </w:pPr>
            <w:r>
              <w:rPr/>
              <w:t>Total revenues</w:t>
            </w:r>
          </w:p>
        </w:tc>
        <w:tc>
          <w:tcPr>
            <w:tcW w:w="173"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2,052</w:t>
            </w:r>
          </w:p>
        </w:tc>
        <w:tc>
          <w:tcPr>
            <w:tcW w:w="188"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1,012</w:t>
            </w:r>
          </w:p>
        </w:tc>
        <w:tc>
          <w:tcPr>
            <w:tcW w:w="18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3,163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1,778</w:t>
            </w:r>
          </w:p>
        </w:tc>
        <w:tc>
          <w:tcPr>
            <w:tcW w:w="232" w:type="dxa"/>
            <w:tcBorders/>
            <w:shd w:fill="CCEEFF" w:val="clear"/>
            <w:vAlign w:val="center"/>
          </w:tcPr>
          <w:p>
            <w:pPr>
              <w:pStyle w:val="TableContents"/>
              <w:bidi w:val="0"/>
              <w:spacing w:before="0" w:after="283"/>
              <w:jc w:val="left"/>
              <w:rPr/>
            </w:pPr>
            <w:r>
              <w:rPr/>
              <w:t> </w:t>
            </w:r>
          </w:p>
        </w:tc>
      </w:tr>
      <w:tr>
        <w:trPr/>
        <w:tc>
          <w:tcPr>
            <w:tcW w:w="3891" w:type="dxa"/>
            <w:tcBorders/>
            <w:vAlign w:val="center"/>
          </w:tcPr>
          <w:p>
            <w:pPr>
              <w:pStyle w:val="TableContents"/>
              <w:bidi w:val="0"/>
              <w:spacing w:before="0" w:after="283"/>
              <w:jc w:val="left"/>
              <w:rPr/>
            </w:pPr>
            <w:r>
              <w:rPr/>
              <w:t>Cost of revenues</w:t>
            </w:r>
          </w:p>
        </w:tc>
        <w:tc>
          <w:tcPr>
            <w:tcW w:w="173" w:type="dxa"/>
            <w:tcBorders>
              <w:bottom w:val="single" w:sz="6" w:space="0" w:color="000000"/>
            </w:tcBorders>
            <w:tcMar>
              <w:bottom w:w="28" w:type="dxa"/>
            </w:tcMar>
            <w:vAlign w:val="center"/>
          </w:tcPr>
          <w:p>
            <w:pPr>
              <w:pStyle w:val="TableContents"/>
              <w:bidi w:val="0"/>
              <w:spacing w:before="0" w:after="283"/>
              <w:jc w:val="left"/>
              <w:rPr/>
            </w:pPr>
            <w:r>
              <w:rPr/>
              <w:t> </w:t>
            </w:r>
          </w:p>
        </w:tc>
        <w:tc>
          <w:tcPr>
            <w:tcW w:w="1152" w:type="dxa"/>
            <w:tcBorders>
              <w:bottom w:val="single" w:sz="6" w:space="0" w:color="000000"/>
            </w:tcBorders>
            <w:tcMar>
              <w:bottom w:w="28" w:type="dxa"/>
            </w:tcMar>
            <w:vAlign w:val="center"/>
          </w:tcPr>
          <w:p>
            <w:pPr>
              <w:pStyle w:val="TableContents"/>
              <w:bidi w:val="0"/>
              <w:spacing w:before="0" w:after="283"/>
              <w:jc w:val="right"/>
              <w:rPr/>
            </w:pPr>
            <w:r>
              <w:rPr/>
              <w:t>507</w:t>
            </w:r>
          </w:p>
        </w:tc>
        <w:tc>
          <w:tcPr>
            <w:tcW w:w="188" w:type="dxa"/>
            <w:tcBorders>
              <w:bottom w:val="single" w:sz="6" w:space="0" w:color="000000"/>
            </w:tcBorders>
            <w:tcMar>
              <w:bottom w:w="28" w:type="dxa"/>
            </w:tcMar>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bottom w:val="single" w:sz="6" w:space="0" w:color="000000"/>
            </w:tcBorders>
            <w:tcMar>
              <w:bottom w:w="28" w:type="dxa"/>
            </w:tcMar>
            <w:vAlign w:val="center"/>
          </w:tcPr>
          <w:p>
            <w:pPr>
              <w:pStyle w:val="TableContents"/>
              <w:bidi w:val="0"/>
              <w:spacing w:before="0" w:after="283"/>
              <w:jc w:val="left"/>
              <w:rPr/>
            </w:pPr>
            <w:r>
              <w:rPr/>
              <w:t> </w:t>
            </w:r>
          </w:p>
        </w:tc>
        <w:tc>
          <w:tcPr>
            <w:tcW w:w="1152" w:type="dxa"/>
            <w:tcBorders>
              <w:bottom w:val="single" w:sz="6" w:space="0" w:color="000000"/>
            </w:tcBorders>
            <w:tcMar>
              <w:bottom w:w="28" w:type="dxa"/>
            </w:tcMar>
            <w:vAlign w:val="center"/>
          </w:tcPr>
          <w:p>
            <w:pPr>
              <w:pStyle w:val="TableContents"/>
              <w:bidi w:val="0"/>
              <w:spacing w:before="0" w:after="283"/>
              <w:jc w:val="right"/>
              <w:rPr/>
            </w:pPr>
            <w:r>
              <w:rPr/>
              <w:t>525</w:t>
            </w:r>
          </w:p>
        </w:tc>
        <w:tc>
          <w:tcPr>
            <w:tcW w:w="188"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tcMar>
              <w:bottom w:w="28" w:type="dxa"/>
            </w:tcMar>
            <w:vAlign w:val="center"/>
          </w:tcPr>
          <w:p>
            <w:pPr>
              <w:pStyle w:val="TableContents"/>
              <w:bidi w:val="0"/>
              <w:spacing w:before="0" w:after="283"/>
              <w:jc w:val="right"/>
              <w:rPr/>
            </w:pPr>
            <w:r>
              <w:rPr/>
              <w:t>927</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tcMar>
              <w:bottom w:w="28" w:type="dxa"/>
            </w:tcMar>
            <w:vAlign w:val="center"/>
          </w:tcPr>
          <w:p>
            <w:pPr>
              <w:pStyle w:val="TableContents"/>
              <w:bidi w:val="0"/>
              <w:spacing w:before="0" w:after="283"/>
              <w:jc w:val="right"/>
              <w:rPr/>
            </w:pPr>
            <w:r>
              <w:rPr/>
              <w:t>695</w:t>
            </w:r>
          </w:p>
        </w:tc>
        <w:tc>
          <w:tcPr>
            <w:tcW w:w="232"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891" w:type="dxa"/>
            <w:tcBorders/>
            <w:shd w:fill="CCEEFF" w:val="clear"/>
            <w:vAlign w:val="center"/>
          </w:tcPr>
          <w:p>
            <w:pPr>
              <w:pStyle w:val="TableContents"/>
              <w:bidi w:val="0"/>
              <w:spacing w:before="0" w:after="283"/>
              <w:jc w:val="left"/>
              <w:rPr/>
            </w:pPr>
            <w:r>
              <w:rPr/>
              <w:t>Gross profit</w:t>
            </w:r>
          </w:p>
        </w:tc>
        <w:tc>
          <w:tcPr>
            <w:tcW w:w="173"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52" w:type="dxa"/>
            <w:tcBorders>
              <w:bottom w:val="single" w:sz="6" w:space="0" w:color="000000"/>
            </w:tcBorders>
            <w:shd w:fill="CCEEFF" w:val="clear"/>
            <w:tcMar>
              <w:bottom w:w="28" w:type="dxa"/>
            </w:tcMar>
            <w:vAlign w:val="center"/>
          </w:tcPr>
          <w:p>
            <w:pPr>
              <w:pStyle w:val="TableContents"/>
              <w:bidi w:val="0"/>
              <w:spacing w:before="0" w:after="283"/>
              <w:jc w:val="right"/>
              <w:rPr/>
            </w:pPr>
            <w:r>
              <w:rPr/>
              <w:t>1,545</w:t>
            </w:r>
          </w:p>
        </w:tc>
        <w:tc>
          <w:tcPr>
            <w:tcW w:w="188"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3"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52" w:type="dxa"/>
            <w:tcBorders>
              <w:bottom w:val="single" w:sz="6" w:space="0" w:color="000000"/>
            </w:tcBorders>
            <w:shd w:fill="CCEEFF" w:val="clear"/>
            <w:tcMar>
              <w:bottom w:w="28" w:type="dxa"/>
            </w:tcMar>
            <w:vAlign w:val="center"/>
          </w:tcPr>
          <w:p>
            <w:pPr>
              <w:pStyle w:val="TableContents"/>
              <w:bidi w:val="0"/>
              <w:spacing w:before="0" w:after="283"/>
              <w:jc w:val="right"/>
              <w:rPr/>
            </w:pPr>
            <w:r>
              <w:rPr/>
              <w:t>487</w:t>
            </w:r>
          </w:p>
        </w:tc>
        <w:tc>
          <w:tcPr>
            <w:tcW w:w="188"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shd w:fill="CCEEFF" w:val="clear"/>
            <w:tcMar>
              <w:bottom w:w="28" w:type="dxa"/>
            </w:tcMar>
            <w:vAlign w:val="center"/>
          </w:tcPr>
          <w:p>
            <w:pPr>
              <w:pStyle w:val="TableContents"/>
              <w:bidi w:val="0"/>
              <w:spacing w:before="0" w:after="283"/>
              <w:jc w:val="right"/>
              <w:rPr/>
            </w:pPr>
            <w:r>
              <w:rPr/>
              <w:t>2,236</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shd w:fill="CCEEFF" w:val="clear"/>
            <w:tcMar>
              <w:bottom w:w="28" w:type="dxa"/>
            </w:tcMar>
            <w:vAlign w:val="center"/>
          </w:tcPr>
          <w:p>
            <w:pPr>
              <w:pStyle w:val="TableContents"/>
              <w:bidi w:val="0"/>
              <w:spacing w:before="0" w:after="283"/>
              <w:jc w:val="right"/>
              <w:rPr/>
            </w:pPr>
            <w:r>
              <w:rPr/>
              <w:t>1,083</w:t>
            </w:r>
          </w:p>
        </w:tc>
        <w:tc>
          <w:tcPr>
            <w:tcW w:w="232"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8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152"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152"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3891" w:type="dxa"/>
            <w:tcBorders/>
            <w:shd w:fill="CCEEFF" w:val="clear"/>
            <w:vAlign w:val="center"/>
          </w:tcPr>
          <w:p>
            <w:pPr>
              <w:pStyle w:val="TableContents"/>
              <w:bidi w:val="0"/>
              <w:spacing w:before="0" w:after="283"/>
              <w:jc w:val="left"/>
              <w:rPr/>
            </w:pPr>
            <w:r>
              <w:rPr/>
              <w:t>Operating expenses:</w:t>
            </w:r>
          </w:p>
        </w:tc>
        <w:tc>
          <w:tcPr>
            <w:tcW w:w="173"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3891" w:type="dxa"/>
            <w:tcBorders/>
            <w:vAlign w:val="center"/>
          </w:tcPr>
          <w:p>
            <w:pPr>
              <w:pStyle w:val="TableContents"/>
              <w:bidi w:val="0"/>
              <w:spacing w:before="0" w:after="283"/>
              <w:jc w:val="left"/>
              <w:rPr/>
            </w:pPr>
            <w:r>
              <w:rPr/>
              <w:t>Selling, general and administrative</w:t>
            </w:r>
          </w:p>
        </w:tc>
        <w:tc>
          <w:tcPr>
            <w:tcW w:w="173" w:type="dxa"/>
            <w:tcBorders/>
            <w:vAlign w:val="center"/>
          </w:tcPr>
          <w:p>
            <w:pPr>
              <w:pStyle w:val="TableContents"/>
              <w:bidi w:val="0"/>
              <w:spacing w:before="0" w:after="283"/>
              <w:jc w:val="left"/>
              <w:rPr/>
            </w:pPr>
            <w:r>
              <w:rPr/>
              <w:t> </w:t>
            </w:r>
          </w:p>
        </w:tc>
        <w:tc>
          <w:tcPr>
            <w:tcW w:w="1152" w:type="dxa"/>
            <w:tcBorders/>
            <w:vAlign w:val="center"/>
          </w:tcPr>
          <w:p>
            <w:pPr>
              <w:pStyle w:val="TableContents"/>
              <w:bidi w:val="0"/>
              <w:spacing w:before="0" w:after="283"/>
              <w:jc w:val="right"/>
              <w:rPr/>
            </w:pPr>
            <w:r>
              <w:rPr/>
              <w:t>3,644</w:t>
            </w:r>
          </w:p>
        </w:tc>
        <w:tc>
          <w:tcPr>
            <w:tcW w:w="188"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152" w:type="dxa"/>
            <w:tcBorders/>
            <w:vAlign w:val="center"/>
          </w:tcPr>
          <w:p>
            <w:pPr>
              <w:pStyle w:val="TableContents"/>
              <w:bidi w:val="0"/>
              <w:spacing w:before="0" w:after="283"/>
              <w:jc w:val="right"/>
              <w:rPr/>
            </w:pPr>
            <w:r>
              <w:rPr/>
              <w:t>3,181</w:t>
            </w:r>
          </w:p>
        </w:tc>
        <w:tc>
          <w:tcPr>
            <w:tcW w:w="18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8,999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7,266</w:t>
            </w:r>
          </w:p>
        </w:tc>
        <w:tc>
          <w:tcPr>
            <w:tcW w:w="232" w:type="dxa"/>
            <w:tcBorders/>
            <w:vAlign w:val="center"/>
          </w:tcPr>
          <w:p>
            <w:pPr>
              <w:pStyle w:val="TableContents"/>
              <w:bidi w:val="0"/>
              <w:spacing w:before="0" w:after="283"/>
              <w:jc w:val="left"/>
              <w:rPr/>
            </w:pPr>
            <w:r>
              <w:rPr/>
              <w:t> </w:t>
            </w:r>
          </w:p>
        </w:tc>
      </w:tr>
      <w:tr>
        <w:trPr/>
        <w:tc>
          <w:tcPr>
            <w:tcW w:w="3891" w:type="dxa"/>
            <w:tcBorders/>
            <w:shd w:fill="CCEEFF" w:val="clear"/>
            <w:vAlign w:val="center"/>
          </w:tcPr>
          <w:p>
            <w:pPr>
              <w:pStyle w:val="TableContents"/>
              <w:bidi w:val="0"/>
              <w:spacing w:before="0" w:after="283"/>
              <w:jc w:val="left"/>
              <w:rPr/>
            </w:pPr>
            <w:r>
              <w:rPr/>
              <w:t>Research and development</w:t>
            </w:r>
          </w:p>
        </w:tc>
        <w:tc>
          <w:tcPr>
            <w:tcW w:w="173"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52" w:type="dxa"/>
            <w:tcBorders>
              <w:bottom w:val="single" w:sz="6" w:space="0" w:color="000000"/>
            </w:tcBorders>
            <w:shd w:fill="CCEEFF" w:val="clear"/>
            <w:tcMar>
              <w:bottom w:w="28" w:type="dxa"/>
            </w:tcMar>
            <w:vAlign w:val="center"/>
          </w:tcPr>
          <w:p>
            <w:pPr>
              <w:pStyle w:val="TableContents"/>
              <w:bidi w:val="0"/>
              <w:spacing w:before="0" w:after="283"/>
              <w:jc w:val="right"/>
              <w:rPr/>
            </w:pPr>
            <w:r>
              <w:rPr/>
              <w:t>152</w:t>
            </w:r>
          </w:p>
        </w:tc>
        <w:tc>
          <w:tcPr>
            <w:tcW w:w="188"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3"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52" w:type="dxa"/>
            <w:tcBorders>
              <w:bottom w:val="single" w:sz="6" w:space="0" w:color="000000"/>
            </w:tcBorders>
            <w:shd w:fill="CCEEFF" w:val="clear"/>
            <w:tcMar>
              <w:bottom w:w="28" w:type="dxa"/>
            </w:tcMar>
            <w:vAlign w:val="center"/>
          </w:tcPr>
          <w:p>
            <w:pPr>
              <w:pStyle w:val="TableContents"/>
              <w:bidi w:val="0"/>
              <w:spacing w:before="0" w:after="283"/>
              <w:jc w:val="right"/>
              <w:rPr/>
            </w:pPr>
            <w:r>
              <w:rPr/>
              <w:t>162</w:t>
            </w:r>
          </w:p>
        </w:tc>
        <w:tc>
          <w:tcPr>
            <w:tcW w:w="188"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shd w:fill="CCEEFF" w:val="clear"/>
            <w:tcMar>
              <w:bottom w:w="28" w:type="dxa"/>
            </w:tcMar>
            <w:vAlign w:val="center"/>
          </w:tcPr>
          <w:p>
            <w:pPr>
              <w:pStyle w:val="TableContents"/>
              <w:bidi w:val="0"/>
              <w:spacing w:before="0" w:after="283"/>
              <w:jc w:val="right"/>
              <w:rPr/>
            </w:pPr>
            <w:r>
              <w:rPr/>
              <w:t>257</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shd w:fill="CCEEFF" w:val="clear"/>
            <w:tcMar>
              <w:bottom w:w="28" w:type="dxa"/>
            </w:tcMar>
            <w:vAlign w:val="center"/>
          </w:tcPr>
          <w:p>
            <w:pPr>
              <w:pStyle w:val="TableContents"/>
              <w:bidi w:val="0"/>
              <w:spacing w:before="0" w:after="283"/>
              <w:jc w:val="right"/>
              <w:rPr/>
            </w:pPr>
            <w:r>
              <w:rPr/>
              <w:t>594</w:t>
            </w:r>
          </w:p>
        </w:tc>
        <w:tc>
          <w:tcPr>
            <w:tcW w:w="232"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891" w:type="dxa"/>
            <w:tcBorders/>
            <w:vAlign w:val="center"/>
          </w:tcPr>
          <w:p>
            <w:pPr>
              <w:pStyle w:val="TableContents"/>
              <w:bidi w:val="0"/>
              <w:spacing w:before="0" w:after="283"/>
              <w:jc w:val="left"/>
              <w:rPr/>
            </w:pPr>
            <w:r>
              <w:rPr/>
              <w:t>Total operating expenses</w:t>
            </w:r>
          </w:p>
        </w:tc>
        <w:tc>
          <w:tcPr>
            <w:tcW w:w="173" w:type="dxa"/>
            <w:tcBorders>
              <w:bottom w:val="single" w:sz="6" w:space="0" w:color="000000"/>
            </w:tcBorders>
            <w:tcMar>
              <w:bottom w:w="28" w:type="dxa"/>
            </w:tcMar>
            <w:vAlign w:val="center"/>
          </w:tcPr>
          <w:p>
            <w:pPr>
              <w:pStyle w:val="TableContents"/>
              <w:bidi w:val="0"/>
              <w:spacing w:before="0" w:after="283"/>
              <w:jc w:val="left"/>
              <w:rPr/>
            </w:pPr>
            <w:r>
              <w:rPr/>
              <w:t> </w:t>
            </w:r>
          </w:p>
        </w:tc>
        <w:tc>
          <w:tcPr>
            <w:tcW w:w="1152" w:type="dxa"/>
            <w:tcBorders>
              <w:bottom w:val="single" w:sz="6" w:space="0" w:color="000000"/>
            </w:tcBorders>
            <w:tcMar>
              <w:bottom w:w="28" w:type="dxa"/>
            </w:tcMar>
            <w:vAlign w:val="center"/>
          </w:tcPr>
          <w:p>
            <w:pPr>
              <w:pStyle w:val="TableContents"/>
              <w:bidi w:val="0"/>
              <w:spacing w:before="0" w:after="283"/>
              <w:jc w:val="right"/>
              <w:rPr/>
            </w:pPr>
            <w:r>
              <w:rPr/>
              <w:t>3,796</w:t>
            </w:r>
          </w:p>
        </w:tc>
        <w:tc>
          <w:tcPr>
            <w:tcW w:w="188" w:type="dxa"/>
            <w:tcBorders>
              <w:bottom w:val="single" w:sz="6" w:space="0" w:color="000000"/>
            </w:tcBorders>
            <w:tcMar>
              <w:bottom w:w="28" w:type="dxa"/>
            </w:tcMar>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bottom w:val="single" w:sz="6" w:space="0" w:color="000000"/>
            </w:tcBorders>
            <w:tcMar>
              <w:bottom w:w="28" w:type="dxa"/>
            </w:tcMar>
            <w:vAlign w:val="center"/>
          </w:tcPr>
          <w:p>
            <w:pPr>
              <w:pStyle w:val="TableContents"/>
              <w:bidi w:val="0"/>
              <w:spacing w:before="0" w:after="283"/>
              <w:jc w:val="left"/>
              <w:rPr/>
            </w:pPr>
            <w:r>
              <w:rPr/>
              <w:t> </w:t>
            </w:r>
          </w:p>
        </w:tc>
        <w:tc>
          <w:tcPr>
            <w:tcW w:w="1152" w:type="dxa"/>
            <w:tcBorders>
              <w:bottom w:val="single" w:sz="6" w:space="0" w:color="000000"/>
            </w:tcBorders>
            <w:tcMar>
              <w:bottom w:w="28" w:type="dxa"/>
            </w:tcMar>
            <w:vAlign w:val="center"/>
          </w:tcPr>
          <w:p>
            <w:pPr>
              <w:pStyle w:val="TableContents"/>
              <w:bidi w:val="0"/>
              <w:spacing w:before="0" w:after="283"/>
              <w:jc w:val="right"/>
              <w:rPr/>
            </w:pPr>
            <w:r>
              <w:rPr/>
              <w:t>3,343</w:t>
            </w:r>
          </w:p>
        </w:tc>
        <w:tc>
          <w:tcPr>
            <w:tcW w:w="188"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tcMar>
              <w:bottom w:w="28" w:type="dxa"/>
            </w:tcMar>
            <w:vAlign w:val="center"/>
          </w:tcPr>
          <w:p>
            <w:pPr>
              <w:pStyle w:val="TableContents"/>
              <w:bidi w:val="0"/>
              <w:spacing w:before="0" w:after="283"/>
              <w:jc w:val="right"/>
              <w:rPr/>
            </w:pPr>
            <w:r>
              <w:rPr/>
              <w:t>9,256</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tcMar>
              <w:bottom w:w="28" w:type="dxa"/>
            </w:tcMar>
            <w:vAlign w:val="center"/>
          </w:tcPr>
          <w:p>
            <w:pPr>
              <w:pStyle w:val="TableContents"/>
              <w:bidi w:val="0"/>
              <w:spacing w:before="0" w:after="283"/>
              <w:jc w:val="right"/>
              <w:rPr/>
            </w:pPr>
            <w:r>
              <w:rPr/>
              <w:t>7,860</w:t>
            </w:r>
          </w:p>
        </w:tc>
        <w:tc>
          <w:tcPr>
            <w:tcW w:w="232"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891" w:type="dxa"/>
            <w:tcBorders/>
            <w:shd w:fill="CCEEFF" w:val="clear"/>
            <w:vAlign w:val="center"/>
          </w:tcPr>
          <w:p>
            <w:pPr>
              <w:pStyle w:val="TableContents"/>
              <w:bidi w:val="0"/>
              <w:spacing w:before="0" w:after="283"/>
              <w:jc w:val="left"/>
              <w:rPr/>
            </w:pPr>
            <w:r>
              <w:rPr/>
              <w:t>Loss from operations</w:t>
            </w:r>
          </w:p>
        </w:tc>
        <w:tc>
          <w:tcPr>
            <w:tcW w:w="173"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52" w:type="dxa"/>
            <w:tcBorders>
              <w:bottom w:val="single" w:sz="6" w:space="0" w:color="000000"/>
            </w:tcBorders>
            <w:shd w:fill="CCEEFF" w:val="clear"/>
            <w:tcMar>
              <w:bottom w:w="28" w:type="dxa"/>
            </w:tcMar>
            <w:vAlign w:val="center"/>
          </w:tcPr>
          <w:p>
            <w:pPr>
              <w:pStyle w:val="TableContents"/>
              <w:bidi w:val="0"/>
              <w:spacing w:before="0" w:after="283"/>
              <w:jc w:val="right"/>
              <w:rPr/>
            </w:pPr>
            <w:r>
              <w:rPr/>
              <w:t>(2,251</w:t>
            </w:r>
          </w:p>
        </w:tc>
        <w:tc>
          <w:tcPr>
            <w:tcW w:w="188"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3"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52" w:type="dxa"/>
            <w:tcBorders>
              <w:bottom w:val="single" w:sz="6" w:space="0" w:color="000000"/>
            </w:tcBorders>
            <w:shd w:fill="CCEEFF" w:val="clear"/>
            <w:tcMar>
              <w:bottom w:w="28" w:type="dxa"/>
            </w:tcMar>
            <w:vAlign w:val="center"/>
          </w:tcPr>
          <w:p>
            <w:pPr>
              <w:pStyle w:val="TableContents"/>
              <w:bidi w:val="0"/>
              <w:spacing w:before="0" w:after="283"/>
              <w:jc w:val="right"/>
              <w:rPr/>
            </w:pPr>
            <w:r>
              <w:rPr/>
              <w:t>(2,856</w:t>
            </w:r>
          </w:p>
        </w:tc>
        <w:tc>
          <w:tcPr>
            <w:tcW w:w="188"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shd w:fill="CCEEFF" w:val="clear"/>
            <w:tcMar>
              <w:bottom w:w="28" w:type="dxa"/>
            </w:tcMar>
            <w:vAlign w:val="center"/>
          </w:tcPr>
          <w:p>
            <w:pPr>
              <w:pStyle w:val="TableContents"/>
              <w:bidi w:val="0"/>
              <w:spacing w:before="0" w:after="283"/>
              <w:jc w:val="right"/>
              <w:rPr/>
            </w:pPr>
            <w:r>
              <w:rPr/>
              <w:t>(7,020</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shd w:fill="CCEEFF" w:val="clear"/>
            <w:tcMar>
              <w:bottom w:w="28" w:type="dxa"/>
            </w:tcMar>
            <w:vAlign w:val="center"/>
          </w:tcPr>
          <w:p>
            <w:pPr>
              <w:pStyle w:val="TableContents"/>
              <w:bidi w:val="0"/>
              <w:spacing w:before="0" w:after="283"/>
              <w:jc w:val="right"/>
              <w:rPr/>
            </w:pPr>
            <w:r>
              <w:rPr/>
              <w:t>(6,777</w:t>
            </w:r>
          </w:p>
        </w:tc>
        <w:tc>
          <w:tcPr>
            <w:tcW w:w="232"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8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152"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152"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3891" w:type="dxa"/>
            <w:tcBorders/>
            <w:shd w:fill="CCEEFF" w:val="clear"/>
            <w:vAlign w:val="center"/>
          </w:tcPr>
          <w:p>
            <w:pPr>
              <w:pStyle w:val="TableContents"/>
              <w:bidi w:val="0"/>
              <w:spacing w:before="0" w:after="283"/>
              <w:jc w:val="left"/>
              <w:rPr/>
            </w:pPr>
            <w:r>
              <w:rPr/>
              <w:t>Other income (expense):</w:t>
            </w:r>
          </w:p>
        </w:tc>
        <w:tc>
          <w:tcPr>
            <w:tcW w:w="173"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3891" w:type="dxa"/>
            <w:tcBorders/>
            <w:vAlign w:val="center"/>
          </w:tcPr>
          <w:p>
            <w:pPr>
              <w:pStyle w:val="TableContents"/>
              <w:bidi w:val="0"/>
              <w:spacing w:before="0" w:after="283"/>
              <w:jc w:val="left"/>
              <w:rPr/>
            </w:pPr>
            <w:r>
              <w:rPr/>
              <w:t>Interest income</w:t>
            </w:r>
          </w:p>
        </w:tc>
        <w:tc>
          <w:tcPr>
            <w:tcW w:w="173" w:type="dxa"/>
            <w:tcBorders/>
            <w:vAlign w:val="center"/>
          </w:tcPr>
          <w:p>
            <w:pPr>
              <w:pStyle w:val="TableContents"/>
              <w:bidi w:val="0"/>
              <w:spacing w:before="0" w:after="283"/>
              <w:jc w:val="left"/>
              <w:rPr/>
            </w:pPr>
            <w:r>
              <w:rPr/>
              <w:t> </w:t>
            </w:r>
          </w:p>
        </w:tc>
        <w:tc>
          <w:tcPr>
            <w:tcW w:w="1152" w:type="dxa"/>
            <w:tcBorders/>
            <w:vAlign w:val="center"/>
          </w:tcPr>
          <w:p>
            <w:pPr>
              <w:pStyle w:val="TableContents"/>
              <w:bidi w:val="0"/>
              <w:spacing w:before="0" w:after="283"/>
              <w:jc w:val="right"/>
              <w:rPr/>
            </w:pPr>
            <w:r>
              <w:rPr/>
              <w:t>2</w:t>
            </w:r>
          </w:p>
        </w:tc>
        <w:tc>
          <w:tcPr>
            <w:tcW w:w="188"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152" w:type="dxa"/>
            <w:tcBorders/>
            <w:vAlign w:val="center"/>
          </w:tcPr>
          <w:p>
            <w:pPr>
              <w:pStyle w:val="TableContents"/>
              <w:bidi w:val="0"/>
              <w:spacing w:before="0" w:after="283"/>
              <w:jc w:val="right"/>
              <w:rPr/>
            </w:pPr>
            <w:r>
              <w:rPr/>
              <w:t>2</w:t>
            </w:r>
          </w:p>
        </w:tc>
        <w:tc>
          <w:tcPr>
            <w:tcW w:w="18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w:t>
            </w:r>
          </w:p>
        </w:tc>
        <w:tc>
          <w:tcPr>
            <w:tcW w:w="232" w:type="dxa"/>
            <w:tcBorders/>
            <w:vAlign w:val="center"/>
          </w:tcPr>
          <w:p>
            <w:pPr>
              <w:pStyle w:val="TableContents"/>
              <w:bidi w:val="0"/>
              <w:spacing w:before="0" w:after="283"/>
              <w:jc w:val="left"/>
              <w:rPr/>
            </w:pPr>
            <w:r>
              <w:rPr/>
              <w:t> </w:t>
            </w:r>
          </w:p>
        </w:tc>
      </w:tr>
      <w:tr>
        <w:trPr/>
        <w:tc>
          <w:tcPr>
            <w:tcW w:w="3891" w:type="dxa"/>
            <w:tcBorders/>
            <w:shd w:fill="CCEEFF" w:val="clear"/>
            <w:vAlign w:val="center"/>
          </w:tcPr>
          <w:p>
            <w:pPr>
              <w:pStyle w:val="TableContents"/>
              <w:bidi w:val="0"/>
              <w:spacing w:before="0" w:after="283"/>
              <w:jc w:val="left"/>
              <w:rPr/>
            </w:pPr>
            <w:r>
              <w:rPr/>
              <w:t>Change in fair value of warrant liabilities</w:t>
            </w:r>
          </w:p>
        </w:tc>
        <w:tc>
          <w:tcPr>
            <w:tcW w:w="173"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 xml:space="preserve">- </w:t>
            </w:r>
          </w:p>
        </w:tc>
        <w:tc>
          <w:tcPr>
            <w:tcW w:w="188"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(871</w:t>
            </w:r>
          </w:p>
        </w:tc>
        <w:tc>
          <w:tcPr>
            <w:tcW w:w="18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3,158</w:t>
            </w:r>
          </w:p>
        </w:tc>
        <w:tc>
          <w:tcPr>
            <w:tcW w:w="232" w:type="dxa"/>
            <w:tcBorders/>
            <w:shd w:fill="CCEEFF" w:val="clear"/>
            <w:vAlign w:val="center"/>
          </w:tcPr>
          <w:p>
            <w:pPr>
              <w:pStyle w:val="TableContents"/>
              <w:bidi w:val="0"/>
              <w:spacing w:before="0" w:after="283"/>
              <w:jc w:val="left"/>
              <w:rPr/>
            </w:pPr>
            <w:r>
              <w:rPr/>
              <w:t> </w:t>
            </w:r>
          </w:p>
        </w:tc>
      </w:tr>
      <w:tr>
        <w:trPr/>
        <w:tc>
          <w:tcPr>
            <w:tcW w:w="3891" w:type="dxa"/>
            <w:tcBorders/>
            <w:vAlign w:val="center"/>
          </w:tcPr>
          <w:p>
            <w:pPr>
              <w:pStyle w:val="TableContents"/>
              <w:bidi w:val="0"/>
              <w:spacing w:before="0" w:after="283"/>
              <w:jc w:val="left"/>
              <w:rPr/>
            </w:pPr>
            <w:r>
              <w:rPr/>
              <w:t>Gain on lease termination</w:t>
            </w:r>
          </w:p>
        </w:tc>
        <w:tc>
          <w:tcPr>
            <w:tcW w:w="173" w:type="dxa"/>
            <w:tcBorders/>
            <w:vAlign w:val="center"/>
          </w:tcPr>
          <w:p>
            <w:pPr>
              <w:pStyle w:val="TableContents"/>
              <w:bidi w:val="0"/>
              <w:spacing w:before="0" w:after="283"/>
              <w:jc w:val="left"/>
              <w:rPr/>
            </w:pPr>
            <w:r>
              <w:rPr/>
              <w:t> </w:t>
            </w:r>
          </w:p>
        </w:tc>
        <w:tc>
          <w:tcPr>
            <w:tcW w:w="1152" w:type="dxa"/>
            <w:tcBorders/>
            <w:vAlign w:val="center"/>
          </w:tcPr>
          <w:p>
            <w:pPr>
              <w:pStyle w:val="TableContents"/>
              <w:bidi w:val="0"/>
              <w:spacing w:before="0" w:after="283"/>
              <w:jc w:val="right"/>
              <w:rPr/>
            </w:pPr>
            <w:r>
              <w:rPr/>
              <w:t xml:space="preserve">- </w:t>
            </w:r>
          </w:p>
        </w:tc>
        <w:tc>
          <w:tcPr>
            <w:tcW w:w="188"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152" w:type="dxa"/>
            <w:tcBorders/>
            <w:vAlign w:val="center"/>
          </w:tcPr>
          <w:p>
            <w:pPr>
              <w:pStyle w:val="TableContents"/>
              <w:bidi w:val="0"/>
              <w:spacing w:before="0" w:after="283"/>
              <w:jc w:val="right"/>
              <w:rPr/>
            </w:pPr>
            <w:r>
              <w:rPr/>
              <w:t xml:space="preserve">- </w:t>
            </w:r>
          </w:p>
        </w:tc>
        <w:tc>
          <w:tcPr>
            <w:tcW w:w="18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227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xml:space="preserve">- </w:t>
            </w:r>
          </w:p>
        </w:tc>
        <w:tc>
          <w:tcPr>
            <w:tcW w:w="232" w:type="dxa"/>
            <w:tcBorders/>
            <w:vAlign w:val="center"/>
          </w:tcPr>
          <w:p>
            <w:pPr>
              <w:pStyle w:val="TableContents"/>
              <w:bidi w:val="0"/>
              <w:spacing w:before="0" w:after="283"/>
              <w:jc w:val="left"/>
              <w:rPr/>
            </w:pPr>
            <w:r>
              <w:rPr/>
              <w:t> </w:t>
            </w:r>
          </w:p>
        </w:tc>
      </w:tr>
      <w:tr>
        <w:trPr/>
        <w:tc>
          <w:tcPr>
            <w:tcW w:w="3891" w:type="dxa"/>
            <w:tcBorders/>
            <w:shd w:fill="CCEEFF" w:val="clear"/>
            <w:vAlign w:val="center"/>
          </w:tcPr>
          <w:p>
            <w:pPr>
              <w:pStyle w:val="TableContents"/>
              <w:bidi w:val="0"/>
              <w:spacing w:before="0" w:after="283"/>
              <w:jc w:val="left"/>
              <w:rPr/>
            </w:pPr>
            <w:r>
              <w:rPr/>
              <w:t>Other</w:t>
            </w:r>
          </w:p>
        </w:tc>
        <w:tc>
          <w:tcPr>
            <w:tcW w:w="173"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52" w:type="dxa"/>
            <w:tcBorders>
              <w:bottom w:val="single" w:sz="6" w:space="0" w:color="000000"/>
            </w:tcBorders>
            <w:shd w:fill="CCEEFF" w:val="clear"/>
            <w:tcMar>
              <w:bottom w:w="28" w:type="dxa"/>
            </w:tcMar>
            <w:vAlign w:val="center"/>
          </w:tcPr>
          <w:p>
            <w:pPr>
              <w:pStyle w:val="TableContents"/>
              <w:bidi w:val="0"/>
              <w:spacing w:before="0" w:after="283"/>
              <w:jc w:val="right"/>
              <w:rPr/>
            </w:pPr>
            <w:r>
              <w:rPr/>
              <w:t>(8</w:t>
            </w:r>
          </w:p>
        </w:tc>
        <w:tc>
          <w:tcPr>
            <w:tcW w:w="188"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3"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52" w:type="dxa"/>
            <w:tcBorders>
              <w:bottom w:val="single" w:sz="6" w:space="0" w:color="000000"/>
            </w:tcBorders>
            <w:shd w:fill="CCEEFF" w:val="clear"/>
            <w:tcMar>
              <w:bottom w:w="28" w:type="dxa"/>
            </w:tcMar>
            <w:vAlign w:val="center"/>
          </w:tcPr>
          <w:p>
            <w:pPr>
              <w:pStyle w:val="TableContents"/>
              <w:bidi w:val="0"/>
              <w:spacing w:before="0" w:after="283"/>
              <w:jc w:val="right"/>
              <w:rPr/>
            </w:pPr>
            <w:r>
              <w:rPr/>
              <w:t>(2</w:t>
            </w:r>
          </w:p>
        </w:tc>
        <w:tc>
          <w:tcPr>
            <w:tcW w:w="188"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shd w:fill="CCEEFF" w:val="clear"/>
            <w:tcMar>
              <w:bottom w:w="28" w:type="dxa"/>
            </w:tcMar>
            <w:vAlign w:val="center"/>
          </w:tcPr>
          <w:p>
            <w:pPr>
              <w:pStyle w:val="TableContents"/>
              <w:bidi w:val="0"/>
              <w:spacing w:before="0" w:after="283"/>
              <w:jc w:val="right"/>
              <w:rPr/>
            </w:pPr>
            <w:r>
              <w:rPr/>
              <w:t>(7</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shd w:fill="CCEEFF" w:val="clear"/>
            <w:tcMar>
              <w:bottom w:w="28" w:type="dxa"/>
            </w:tcMar>
            <w:vAlign w:val="center"/>
          </w:tcPr>
          <w:p>
            <w:pPr>
              <w:pStyle w:val="TableContents"/>
              <w:bidi w:val="0"/>
              <w:spacing w:before="0" w:after="283"/>
              <w:jc w:val="right"/>
              <w:rPr/>
            </w:pPr>
            <w:r>
              <w:rPr/>
              <w:t>(2</w:t>
            </w:r>
          </w:p>
        </w:tc>
        <w:tc>
          <w:tcPr>
            <w:tcW w:w="232"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891" w:type="dxa"/>
            <w:tcBorders/>
            <w:vAlign w:val="center"/>
          </w:tcPr>
          <w:p>
            <w:pPr>
              <w:pStyle w:val="TableContents"/>
              <w:bidi w:val="0"/>
              <w:spacing w:before="0" w:after="283"/>
              <w:jc w:val="left"/>
              <w:rPr/>
            </w:pPr>
            <w:r>
              <w:rPr/>
              <w:t>Total other income (expense), net</w:t>
            </w:r>
          </w:p>
        </w:tc>
        <w:tc>
          <w:tcPr>
            <w:tcW w:w="173" w:type="dxa"/>
            <w:tcBorders>
              <w:bottom w:val="single" w:sz="6" w:space="0" w:color="000000"/>
            </w:tcBorders>
            <w:tcMar>
              <w:bottom w:w="28" w:type="dxa"/>
            </w:tcMar>
            <w:vAlign w:val="center"/>
          </w:tcPr>
          <w:p>
            <w:pPr>
              <w:pStyle w:val="TableContents"/>
              <w:bidi w:val="0"/>
              <w:spacing w:before="0" w:after="283"/>
              <w:jc w:val="left"/>
              <w:rPr/>
            </w:pPr>
            <w:r>
              <w:rPr/>
              <w:t> </w:t>
            </w:r>
          </w:p>
        </w:tc>
        <w:tc>
          <w:tcPr>
            <w:tcW w:w="1152" w:type="dxa"/>
            <w:tcBorders>
              <w:bottom w:val="single" w:sz="6" w:space="0" w:color="000000"/>
            </w:tcBorders>
            <w:tcMar>
              <w:bottom w:w="28" w:type="dxa"/>
            </w:tcMar>
            <w:vAlign w:val="center"/>
          </w:tcPr>
          <w:p>
            <w:pPr>
              <w:pStyle w:val="TableContents"/>
              <w:bidi w:val="0"/>
              <w:spacing w:before="0" w:after="283"/>
              <w:jc w:val="right"/>
              <w:rPr/>
            </w:pPr>
            <w:r>
              <w:rPr/>
              <w:t>(6</w:t>
            </w:r>
          </w:p>
        </w:tc>
        <w:tc>
          <w:tcPr>
            <w:tcW w:w="188" w:type="dxa"/>
            <w:tcBorders>
              <w:bottom w:val="single" w:sz="6" w:space="0" w:color="000000"/>
            </w:tcBorders>
            <w:tcMar>
              <w:bottom w:w="28" w:type="dxa"/>
            </w:tcMar>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bottom w:val="single" w:sz="6" w:space="0" w:color="000000"/>
            </w:tcBorders>
            <w:tcMar>
              <w:bottom w:w="28" w:type="dxa"/>
            </w:tcMar>
            <w:vAlign w:val="center"/>
          </w:tcPr>
          <w:p>
            <w:pPr>
              <w:pStyle w:val="TableContents"/>
              <w:bidi w:val="0"/>
              <w:spacing w:before="0" w:after="283"/>
              <w:jc w:val="left"/>
              <w:rPr/>
            </w:pPr>
            <w:r>
              <w:rPr/>
              <w:t> </w:t>
            </w:r>
          </w:p>
        </w:tc>
        <w:tc>
          <w:tcPr>
            <w:tcW w:w="1152" w:type="dxa"/>
            <w:tcBorders>
              <w:bottom w:val="single" w:sz="6" w:space="0" w:color="000000"/>
            </w:tcBorders>
            <w:tcMar>
              <w:bottom w:w="28" w:type="dxa"/>
            </w:tcMar>
            <w:vAlign w:val="center"/>
          </w:tcPr>
          <w:p>
            <w:pPr>
              <w:pStyle w:val="TableContents"/>
              <w:bidi w:val="0"/>
              <w:spacing w:before="0" w:after="283"/>
              <w:jc w:val="right"/>
              <w:rPr/>
            </w:pPr>
            <w:r>
              <w:rPr/>
              <w:t>(871</w:t>
            </w:r>
          </w:p>
        </w:tc>
        <w:tc>
          <w:tcPr>
            <w:tcW w:w="188"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tcMar>
              <w:bottom w:w="28" w:type="dxa"/>
            </w:tcMar>
            <w:vAlign w:val="center"/>
          </w:tcPr>
          <w:p>
            <w:pPr>
              <w:pStyle w:val="TableContents"/>
              <w:bidi w:val="0"/>
              <w:spacing w:before="0" w:after="283"/>
              <w:jc w:val="right"/>
              <w:rPr/>
            </w:pPr>
            <w:r>
              <w:rPr/>
              <w:t>223</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tcMar>
              <w:bottom w:w="28" w:type="dxa"/>
            </w:tcMar>
            <w:vAlign w:val="center"/>
          </w:tcPr>
          <w:p>
            <w:pPr>
              <w:pStyle w:val="TableContents"/>
              <w:bidi w:val="0"/>
              <w:spacing w:before="0" w:after="283"/>
              <w:jc w:val="right"/>
              <w:rPr/>
            </w:pPr>
            <w:r>
              <w:rPr/>
              <w:t>3,159</w:t>
            </w:r>
          </w:p>
        </w:tc>
        <w:tc>
          <w:tcPr>
            <w:tcW w:w="232"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891" w:type="dxa"/>
            <w:tcBorders/>
            <w:shd w:fill="CCEEFF" w:val="clear"/>
            <w:vAlign w:val="center"/>
          </w:tcPr>
          <w:p>
            <w:pPr>
              <w:pStyle w:val="TableContents"/>
              <w:bidi w:val="0"/>
              <w:spacing w:before="0" w:after="283"/>
              <w:jc w:val="left"/>
              <w:rPr/>
            </w:pPr>
            <w:r>
              <w:rPr/>
              <w:t>Net loss</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2" w:type="dxa"/>
            <w:tcBorders>
              <w:bottom w:val="double" w:sz="6" w:space="0" w:color="000000"/>
            </w:tcBorders>
            <w:shd w:fill="CCEEFF" w:val="clear"/>
            <w:tcMar>
              <w:bottom w:w="28" w:type="dxa"/>
            </w:tcMar>
            <w:vAlign w:val="center"/>
          </w:tcPr>
          <w:p>
            <w:pPr>
              <w:pStyle w:val="TableContents"/>
              <w:bidi w:val="0"/>
              <w:spacing w:before="0" w:after="283"/>
              <w:jc w:val="right"/>
              <w:rPr/>
            </w:pPr>
            <w:r>
              <w:rPr/>
              <w:t>(2,257</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2" w:type="dxa"/>
            <w:tcBorders>
              <w:bottom w:val="double" w:sz="6" w:space="0" w:color="000000"/>
            </w:tcBorders>
            <w:shd w:fill="CCEEFF" w:val="clear"/>
            <w:tcMar>
              <w:bottom w:w="28" w:type="dxa"/>
            </w:tcMar>
            <w:vAlign w:val="center"/>
          </w:tcPr>
          <w:p>
            <w:pPr>
              <w:pStyle w:val="TableContents"/>
              <w:bidi w:val="0"/>
              <w:spacing w:before="0" w:after="283"/>
              <w:jc w:val="right"/>
              <w:rPr/>
            </w:pPr>
            <w:r>
              <w:rPr/>
              <w:t>(3,727</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(6,797</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(3,618</w:t>
            </w:r>
          </w:p>
        </w:tc>
        <w:tc>
          <w:tcPr>
            <w:tcW w:w="23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8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152"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152"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3891" w:type="dxa"/>
            <w:tcBorders/>
            <w:shd w:fill="CCEEFF" w:val="clear"/>
            <w:vAlign w:val="center"/>
          </w:tcPr>
          <w:p>
            <w:pPr>
              <w:pStyle w:val="TableContents"/>
              <w:bidi w:val="0"/>
              <w:spacing w:before="0" w:after="283"/>
              <w:jc w:val="left"/>
              <w:rPr/>
            </w:pPr>
            <w:r>
              <w:rPr/>
              <w:t>Less: Convertible preferred stock dividends</w:t>
            </w:r>
          </w:p>
        </w:tc>
        <w:tc>
          <w:tcPr>
            <w:tcW w:w="173"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52" w:type="dxa"/>
            <w:tcBorders>
              <w:bottom w:val="single" w:sz="6" w:space="0" w:color="000000"/>
            </w:tcBorders>
            <w:shd w:fill="CCEEFF" w:val="clear"/>
            <w:tcMar>
              <w:bottom w:w="28" w:type="dxa"/>
            </w:tcMar>
            <w:vAlign w:val="center"/>
          </w:tcPr>
          <w:p>
            <w:pPr>
              <w:pStyle w:val="TableContents"/>
              <w:bidi w:val="0"/>
              <w:spacing w:before="0" w:after="283"/>
              <w:jc w:val="right"/>
              <w:rPr/>
            </w:pPr>
            <w:r>
              <w:rPr/>
              <w:t>(162</w:t>
            </w:r>
          </w:p>
        </w:tc>
        <w:tc>
          <w:tcPr>
            <w:tcW w:w="188"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3"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52" w:type="dxa"/>
            <w:tcBorders>
              <w:bottom w:val="single" w:sz="6" w:space="0" w:color="000000"/>
            </w:tcBorders>
            <w:shd w:fill="CCEEFF" w:val="clear"/>
            <w:tcMar>
              <w:bottom w:w="28" w:type="dxa"/>
            </w:tcMar>
            <w:vAlign w:val="center"/>
          </w:tcPr>
          <w:p>
            <w:pPr>
              <w:pStyle w:val="TableContents"/>
              <w:bidi w:val="0"/>
              <w:spacing w:before="0" w:after="283"/>
              <w:jc w:val="right"/>
              <w:rPr/>
            </w:pPr>
            <w:r>
              <w:rPr/>
              <w:t>(164</w:t>
            </w:r>
          </w:p>
        </w:tc>
        <w:tc>
          <w:tcPr>
            <w:tcW w:w="188"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shd w:fill="CCEEFF" w:val="clear"/>
            <w:tcMar>
              <w:bottom w:w="28" w:type="dxa"/>
            </w:tcMar>
            <w:vAlign w:val="center"/>
          </w:tcPr>
          <w:p>
            <w:pPr>
              <w:pStyle w:val="TableContents"/>
              <w:bidi w:val="0"/>
              <w:spacing w:before="0" w:after="283"/>
              <w:jc w:val="right"/>
              <w:rPr/>
            </w:pPr>
            <w:r>
              <w:rPr/>
              <w:t>(411</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shd w:fill="CCEEFF" w:val="clear"/>
            <w:tcMar>
              <w:bottom w:w="28" w:type="dxa"/>
            </w:tcMar>
            <w:vAlign w:val="center"/>
          </w:tcPr>
          <w:p>
            <w:pPr>
              <w:pStyle w:val="TableContents"/>
              <w:bidi w:val="0"/>
              <w:spacing w:before="0" w:after="283"/>
              <w:jc w:val="right"/>
              <w:rPr/>
            </w:pPr>
            <w:r>
              <w:rPr/>
              <w:t>(328</w:t>
            </w:r>
          </w:p>
        </w:tc>
        <w:tc>
          <w:tcPr>
            <w:tcW w:w="232"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891" w:type="dxa"/>
            <w:tcBorders/>
            <w:vAlign w:val="center"/>
          </w:tcPr>
          <w:p>
            <w:pPr>
              <w:pStyle w:val="TableContents"/>
              <w:bidi w:val="0"/>
              <w:spacing w:before="0" w:after="283"/>
              <w:jc w:val="left"/>
              <w:rPr/>
            </w:pPr>
            <w:r>
              <w:rPr/>
              <w:t>Net loss attributable to common stockholders</w:t>
            </w:r>
          </w:p>
        </w:tc>
        <w:tc>
          <w:tcPr>
            <w:tcW w:w="173" w:type="dxa"/>
            <w:tcBorders>
              <w:bottom w:val="double" w:sz="6" w:space="0" w:color="000000"/>
            </w:tcBorders>
            <w:tcMar>
              <w:bottom w:w="28" w:type="dxa"/>
            </w:tcMar>
            <w:vAlign w:val="center"/>
          </w:tcPr>
          <w:p>
            <w:pPr>
              <w:pStyle w:val="TableContents"/>
              <w:bidi w:val="0"/>
              <w:spacing w:before="0" w:after="283"/>
              <w:jc w:val="left"/>
              <w:rPr/>
            </w:pPr>
            <w:r>
              <w:rPr/>
              <w:t>$</w:t>
            </w:r>
          </w:p>
        </w:tc>
        <w:tc>
          <w:tcPr>
            <w:tcW w:w="1152" w:type="dxa"/>
            <w:tcBorders>
              <w:bottom w:val="double" w:sz="6" w:space="0" w:color="000000"/>
            </w:tcBorders>
            <w:tcMar>
              <w:bottom w:w="28" w:type="dxa"/>
            </w:tcMar>
            <w:vAlign w:val="center"/>
          </w:tcPr>
          <w:p>
            <w:pPr>
              <w:pStyle w:val="TableContents"/>
              <w:bidi w:val="0"/>
              <w:spacing w:before="0" w:after="283"/>
              <w:jc w:val="right"/>
              <w:rPr/>
            </w:pPr>
            <w:r>
              <w:rPr/>
              <w:t>(2,419</w:t>
            </w:r>
          </w:p>
        </w:tc>
        <w:tc>
          <w:tcPr>
            <w:tcW w:w="188" w:type="dxa"/>
            <w:tcBorders>
              <w:bottom w:val="double" w:sz="6" w:space="0" w:color="000000"/>
            </w:tcBorders>
            <w:tcMar>
              <w:bottom w:w="28" w:type="dxa"/>
            </w:tcMar>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bottom w:val="double" w:sz="6" w:space="0" w:color="000000"/>
            </w:tcBorders>
            <w:tcMar>
              <w:bottom w:w="28" w:type="dxa"/>
            </w:tcMar>
            <w:vAlign w:val="center"/>
          </w:tcPr>
          <w:p>
            <w:pPr>
              <w:pStyle w:val="TableContents"/>
              <w:bidi w:val="0"/>
              <w:spacing w:before="0" w:after="283"/>
              <w:jc w:val="left"/>
              <w:rPr/>
            </w:pPr>
            <w:r>
              <w:rPr/>
              <w:t>$</w:t>
            </w:r>
          </w:p>
        </w:tc>
        <w:tc>
          <w:tcPr>
            <w:tcW w:w="1152" w:type="dxa"/>
            <w:tcBorders>
              <w:bottom w:val="double" w:sz="6" w:space="0" w:color="000000"/>
            </w:tcBorders>
            <w:tcMar>
              <w:bottom w:w="28" w:type="dxa"/>
            </w:tcMar>
            <w:vAlign w:val="center"/>
          </w:tcPr>
          <w:p>
            <w:pPr>
              <w:pStyle w:val="TableContents"/>
              <w:bidi w:val="0"/>
              <w:spacing w:before="0" w:after="283"/>
              <w:jc w:val="right"/>
              <w:rPr/>
            </w:pPr>
            <w:r>
              <w:rPr/>
              <w:t>(3,891</w:t>
            </w:r>
          </w:p>
        </w:tc>
        <w:tc>
          <w:tcPr>
            <w:tcW w:w="188"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tcMar>
              <w:bottom w:w="28" w:type="dxa"/>
            </w:tcMar>
            <w:vAlign w:val="center"/>
          </w:tcPr>
          <w:p>
            <w:pPr>
              <w:pStyle w:val="TableContents"/>
              <w:bidi w:val="0"/>
              <w:spacing w:before="0" w:after="283"/>
              <w:jc w:val="right"/>
              <w:rPr/>
            </w:pPr>
            <w:r>
              <w:rPr/>
              <w:t>(7,208</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tcMar>
              <w:bottom w:w="28" w:type="dxa"/>
            </w:tcMar>
            <w:vAlign w:val="center"/>
          </w:tcPr>
          <w:p>
            <w:pPr>
              <w:pStyle w:val="TableContents"/>
              <w:bidi w:val="0"/>
              <w:spacing w:before="0" w:after="283"/>
              <w:jc w:val="right"/>
              <w:rPr/>
            </w:pPr>
            <w:r>
              <w:rPr/>
              <w:t>(3,946</w:t>
            </w:r>
          </w:p>
        </w:tc>
        <w:tc>
          <w:tcPr>
            <w:tcW w:w="232"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389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3891" w:type="dxa"/>
            <w:tcBorders/>
            <w:vAlign w:val="center"/>
          </w:tcPr>
          <w:p>
            <w:pPr>
              <w:pStyle w:val="TableContents"/>
              <w:bidi w:val="0"/>
              <w:spacing w:before="0" w:after="283"/>
              <w:jc w:val="left"/>
              <w:rPr/>
            </w:pPr>
            <w:r>
              <w:rPr/>
              <w:t>Net loss per basic and diluted share</w:t>
            </w:r>
          </w:p>
        </w:tc>
        <w:tc>
          <w:tcPr>
            <w:tcW w:w="173" w:type="dxa"/>
            <w:tcBorders/>
            <w:vAlign w:val="center"/>
          </w:tcPr>
          <w:p>
            <w:pPr>
              <w:pStyle w:val="TableContents"/>
              <w:bidi w:val="0"/>
              <w:spacing w:before="0" w:after="283"/>
              <w:jc w:val="left"/>
              <w:rPr/>
            </w:pPr>
            <w:r>
              <w:rPr/>
              <w:t>$</w:t>
            </w:r>
          </w:p>
        </w:tc>
        <w:tc>
          <w:tcPr>
            <w:tcW w:w="1152" w:type="dxa"/>
            <w:tcBorders/>
            <w:vAlign w:val="center"/>
          </w:tcPr>
          <w:p>
            <w:pPr>
              <w:pStyle w:val="TableContents"/>
              <w:bidi w:val="0"/>
              <w:spacing w:before="0" w:after="283"/>
              <w:jc w:val="right"/>
              <w:rPr/>
            </w:pPr>
            <w:r>
              <w:rPr/>
              <w:t>(0.04</w:t>
            </w:r>
          </w:p>
        </w:tc>
        <w:tc>
          <w:tcPr>
            <w:tcW w:w="188"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w:t>
            </w:r>
          </w:p>
        </w:tc>
        <w:tc>
          <w:tcPr>
            <w:tcW w:w="1152" w:type="dxa"/>
            <w:tcBorders/>
            <w:vAlign w:val="center"/>
          </w:tcPr>
          <w:p>
            <w:pPr>
              <w:pStyle w:val="TableContents"/>
              <w:bidi w:val="0"/>
              <w:spacing w:before="0" w:after="283"/>
              <w:jc w:val="right"/>
              <w:rPr/>
            </w:pPr>
            <w:r>
              <w:rPr/>
              <w:t>(0.07</w:t>
            </w:r>
          </w:p>
        </w:tc>
        <w:tc>
          <w:tcPr>
            <w:tcW w:w="18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(0.13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(0.07</w:t>
            </w:r>
          </w:p>
        </w:tc>
        <w:tc>
          <w:tcPr>
            <w:tcW w:w="232" w:type="dxa"/>
            <w:tcBorders/>
            <w:vAlign w:val="center"/>
          </w:tcPr>
          <w:p>
            <w:pPr>
              <w:pStyle w:val="TableContents"/>
              <w:bidi w:val="0"/>
              <w:spacing w:before="0" w:after="283"/>
              <w:jc w:val="left"/>
              <w:rPr/>
            </w:pPr>
            <w:r>
              <w:rPr/>
              <w:t>) </w:t>
            </w:r>
          </w:p>
        </w:tc>
      </w:tr>
      <w:tr>
        <w:trPr/>
        <w:tc>
          <w:tcPr>
            <w:tcW w:w="3891" w:type="dxa"/>
            <w:tcBorders/>
            <w:shd w:fill="CCEEFF" w:val="clear"/>
            <w:vAlign w:val="center"/>
          </w:tcPr>
          <w:p>
            <w:pPr>
              <w:pStyle w:val="TableContents"/>
              <w:bidi w:val="0"/>
              <w:spacing w:before="0" w:after="283"/>
              <w:jc w:val="left"/>
              <w:rPr/>
            </w:pPr>
            <w:r>
              <w:rPr/>
              <w:t>Weighted average common shares — basic and diluted</w:t>
            </w:r>
          </w:p>
        </w:tc>
        <w:tc>
          <w:tcPr>
            <w:tcW w:w="173"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55,731,095</w:t>
            </w:r>
          </w:p>
        </w:tc>
        <w:tc>
          <w:tcPr>
            <w:tcW w:w="188"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50,609,509</w:t>
            </w:r>
          </w:p>
        </w:tc>
        <w:tc>
          <w:tcPr>
            <w:tcW w:w="18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54,871,126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49,439,838</w:t>
            </w:r>
          </w:p>
        </w:tc>
        <w:tc>
          <w:tcPr>
            <w:tcW w:w="232" w:type="dxa"/>
            <w:tcBorders/>
            <w:shd w:fill="CCEEFF" w:val="clear"/>
            <w:vAlign w:val="center"/>
          </w:tcPr>
          <w:p>
            <w:pPr>
              <w:pStyle w:val="TableContents"/>
              <w:bidi w:val="0"/>
              <w:spacing w:before="0" w:after="283"/>
              <w:jc w:val="left"/>
              <w:rPr/>
            </w:pPr>
            <w:r>
              <w:rPr/>
              <w:t> </w:t>
            </w:r>
          </w:p>
        </w:tc>
      </w:tr>
      <w:tr>
        <w:trPr/>
        <w:tc>
          <w:tcPr>
            <w:tcW w:w="38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152"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152"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3891" w:type="dxa"/>
            <w:tcBorders/>
            <w:shd w:fill="CCEEFF" w:val="clear"/>
            <w:vAlign w:val="center"/>
          </w:tcPr>
          <w:p>
            <w:pPr>
              <w:pStyle w:val="TableContents"/>
              <w:bidi w:val="0"/>
              <w:spacing w:before="0" w:after="283"/>
              <w:jc w:val="left"/>
              <w:rPr/>
            </w:pPr>
            <w:r>
              <w:rPr/>
              <w:t>Comprehensive loss:</w:t>
            </w:r>
          </w:p>
        </w:tc>
        <w:tc>
          <w:tcPr>
            <w:tcW w:w="173"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3891" w:type="dxa"/>
            <w:tcBorders/>
            <w:vAlign w:val="center"/>
          </w:tcPr>
          <w:p>
            <w:pPr>
              <w:pStyle w:val="TableContents"/>
              <w:bidi w:val="0"/>
              <w:spacing w:before="0" w:after="283"/>
              <w:jc w:val="left"/>
              <w:rPr/>
            </w:pPr>
            <w:r>
              <w:rPr/>
              <w:t>Net loss</w:t>
            </w:r>
          </w:p>
        </w:tc>
        <w:tc>
          <w:tcPr>
            <w:tcW w:w="173" w:type="dxa"/>
            <w:tcBorders/>
            <w:vAlign w:val="center"/>
          </w:tcPr>
          <w:p>
            <w:pPr>
              <w:pStyle w:val="TableContents"/>
              <w:bidi w:val="0"/>
              <w:spacing w:before="0" w:after="283"/>
              <w:jc w:val="left"/>
              <w:rPr/>
            </w:pPr>
            <w:r>
              <w:rPr/>
              <w:t> </w:t>
            </w:r>
          </w:p>
        </w:tc>
        <w:tc>
          <w:tcPr>
            <w:tcW w:w="1152" w:type="dxa"/>
            <w:tcBorders/>
            <w:vAlign w:val="center"/>
          </w:tcPr>
          <w:p>
            <w:pPr>
              <w:pStyle w:val="TableContents"/>
              <w:bidi w:val="0"/>
              <w:spacing w:before="0" w:after="283"/>
              <w:jc w:val="right"/>
              <w:rPr/>
            </w:pPr>
            <w:r>
              <w:rPr/>
              <w:t>(2,257</w:t>
            </w:r>
          </w:p>
        </w:tc>
        <w:tc>
          <w:tcPr>
            <w:tcW w:w="188"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152" w:type="dxa"/>
            <w:tcBorders/>
            <w:vAlign w:val="center"/>
          </w:tcPr>
          <w:p>
            <w:pPr>
              <w:pStyle w:val="TableContents"/>
              <w:bidi w:val="0"/>
              <w:spacing w:before="0" w:after="283"/>
              <w:jc w:val="right"/>
              <w:rPr/>
            </w:pPr>
            <w:r>
              <w:rPr/>
              <w:t>(3,727</w:t>
            </w:r>
          </w:p>
        </w:tc>
        <w:tc>
          <w:tcPr>
            <w:tcW w:w="18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(6,797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(3,618</w:t>
            </w:r>
          </w:p>
        </w:tc>
        <w:tc>
          <w:tcPr>
            <w:tcW w:w="232" w:type="dxa"/>
            <w:tcBorders/>
            <w:vAlign w:val="center"/>
          </w:tcPr>
          <w:p>
            <w:pPr>
              <w:pStyle w:val="TableContents"/>
              <w:bidi w:val="0"/>
              <w:spacing w:before="0" w:after="283"/>
              <w:jc w:val="left"/>
              <w:rPr/>
            </w:pPr>
            <w:r>
              <w:rPr/>
              <w:t>) </w:t>
            </w:r>
          </w:p>
        </w:tc>
      </w:tr>
      <w:tr>
        <w:trPr/>
        <w:tc>
          <w:tcPr>
            <w:tcW w:w="3891" w:type="dxa"/>
            <w:tcBorders/>
            <w:shd w:fill="CCEEFF" w:val="clear"/>
            <w:vAlign w:val="center"/>
          </w:tcPr>
          <w:p>
            <w:pPr>
              <w:pStyle w:val="TableContents"/>
              <w:bidi w:val="0"/>
              <w:spacing w:before="0" w:after="283"/>
              <w:jc w:val="left"/>
              <w:rPr/>
            </w:pPr>
            <w:r>
              <w:rPr/>
              <w:t>Comprehensive loss:</w:t>
            </w:r>
          </w:p>
        </w:tc>
        <w:tc>
          <w:tcPr>
            <w:tcW w:w="173"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(2,257</w:t>
            </w:r>
          </w:p>
        </w:tc>
        <w:tc>
          <w:tcPr>
            <w:tcW w:w="188"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(3,727</w:t>
            </w:r>
          </w:p>
        </w:tc>
        <w:tc>
          <w:tcPr>
            <w:tcW w:w="18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(6,797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(3,618</w:t>
            </w:r>
          </w:p>
        </w:tc>
        <w:tc>
          <w:tcPr>
            <w:tcW w:w="232"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accompanying notes are an integral part of these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Wrap Technologies, Inc.</w:t>
      </w:r>
    </w:p>
    <w:p>
      <w:pPr>
        <w:pStyle w:val="TextBody"/>
        <w:bidi w:val="0"/>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Condensed Consolidated Statements of Stockholders’ Equity</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thousands, except share amounts)</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15811" w:type="dxa"/>
        <w:jc w:val="left"/>
        <w:tblInd w:w="0" w:type="dxa"/>
        <w:tblLayout w:type="fixed"/>
        <w:tblCellMar>
          <w:top w:w="28" w:type="dxa"/>
          <w:left w:w="28" w:type="dxa"/>
          <w:bottom w:w="28" w:type="dxa"/>
          <w:right w:w="28" w:type="dxa"/>
        </w:tblCellMar>
      </w:tblPr>
      <w:tblGrid>
        <w:gridCol w:w="1426"/>
        <w:gridCol w:w="146"/>
        <w:gridCol w:w="1186"/>
        <w:gridCol w:w="146"/>
        <w:gridCol w:w="146"/>
        <w:gridCol w:w="226"/>
        <w:gridCol w:w="946"/>
        <w:gridCol w:w="146"/>
        <w:gridCol w:w="146"/>
        <w:gridCol w:w="146"/>
        <w:gridCol w:w="796"/>
        <w:gridCol w:w="241"/>
        <w:gridCol w:w="146"/>
        <w:gridCol w:w="226"/>
        <w:gridCol w:w="946"/>
        <w:gridCol w:w="146"/>
        <w:gridCol w:w="146"/>
        <w:gridCol w:w="146"/>
        <w:gridCol w:w="796"/>
        <w:gridCol w:w="241"/>
        <w:gridCol w:w="146"/>
        <w:gridCol w:w="226"/>
        <w:gridCol w:w="946"/>
        <w:gridCol w:w="146"/>
        <w:gridCol w:w="146"/>
        <w:gridCol w:w="226"/>
        <w:gridCol w:w="1186"/>
        <w:gridCol w:w="146"/>
        <w:gridCol w:w="146"/>
        <w:gridCol w:w="226"/>
        <w:gridCol w:w="1456"/>
        <w:gridCol w:w="241"/>
        <w:gridCol w:w="146"/>
        <w:gridCol w:w="226"/>
        <w:gridCol w:w="1426"/>
        <w:gridCol w:w="286"/>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426" w:type="dxa"/>
            <w:tcBorders/>
            <w:vAlign w:val="center"/>
          </w:tcPr>
          <w:p>
            <w:pPr>
              <w:pStyle w:val="TableContents"/>
              <w:bidi w:val="0"/>
              <w:spacing w:before="0" w:after="283"/>
              <w:jc w:val="left"/>
              <w:rPr/>
            </w:pPr>
            <w:r>
              <w:rPr/>
              <w:t> </w:t>
            </w:r>
          </w:p>
        </w:tc>
        <w:tc>
          <w:tcPr>
            <w:tcW w:w="2942" w:type="dxa"/>
            <w:gridSpan w:val="7"/>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Common Stock</w:t>
            </w:r>
          </w:p>
        </w:tc>
        <w:tc>
          <w:tcPr>
            <w:tcW w:w="146" w:type="dxa"/>
            <w:tcBorders/>
            <w:vAlign w:val="center"/>
          </w:tcPr>
          <w:p>
            <w:pPr>
              <w:pStyle w:val="TableContents"/>
              <w:bidi w:val="0"/>
              <w:spacing w:before="0" w:after="283"/>
              <w:jc w:val="left"/>
              <w:rPr/>
            </w:pPr>
            <w:r>
              <w:rPr/>
              <w:t> </w:t>
            </w:r>
          </w:p>
        </w:tc>
        <w:tc>
          <w:tcPr>
            <w:tcW w:w="5440" w:type="dxa"/>
            <w:gridSpan w:val="15"/>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Preferred Stock</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b/>
              </w:rPr>
            </w:pPr>
            <w:r>
              <w:rPr>
                <w:b/>
              </w:rPr>
              <w:t>Additional</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26" w:type="dxa"/>
            <w:tcBorders/>
            <w:vAlign w:val="center"/>
          </w:tcPr>
          <w:p>
            <w:pPr>
              <w:pStyle w:val="TableContents"/>
              <w:bidi w:val="0"/>
              <w:spacing w:before="0" w:after="283"/>
              <w:jc w:val="center"/>
              <w:rPr>
                <w:b/>
              </w:rPr>
            </w:pPr>
            <w:r>
              <w:rPr>
                <w:b/>
              </w:rPr>
              <w:t>Total</w:t>
            </w:r>
          </w:p>
        </w:tc>
        <w:tc>
          <w:tcPr>
            <w:tcW w:w="286" w:type="dxa"/>
            <w:tcBorders/>
            <w:vAlign w:val="center"/>
          </w:tcPr>
          <w:p>
            <w:pPr>
              <w:pStyle w:val="TableContents"/>
              <w:bidi w:val="0"/>
              <w:spacing w:before="0" w:after="283"/>
              <w:jc w:val="left"/>
              <w:rPr/>
            </w:pPr>
            <w:r>
              <w:rPr/>
              <w:t> </w:t>
            </w:r>
          </w:p>
        </w:tc>
      </w:tr>
      <w:tr>
        <w:trPr/>
        <w:tc>
          <w:tcPr>
            <w:tcW w:w="14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47" w:type="dxa"/>
            <w:gridSpan w:val="7"/>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Series A Convertible</w:t>
            </w:r>
          </w:p>
        </w:tc>
        <w:tc>
          <w:tcPr>
            <w:tcW w:w="146" w:type="dxa"/>
            <w:tcBorders/>
            <w:vAlign w:val="center"/>
          </w:tcPr>
          <w:p>
            <w:pPr>
              <w:pStyle w:val="TableContents"/>
              <w:bidi w:val="0"/>
              <w:spacing w:before="0" w:after="283"/>
              <w:jc w:val="left"/>
              <w:rPr/>
            </w:pPr>
            <w:r>
              <w:rPr/>
              <w:t> </w:t>
            </w:r>
          </w:p>
        </w:tc>
        <w:tc>
          <w:tcPr>
            <w:tcW w:w="2647" w:type="dxa"/>
            <w:gridSpan w:val="7"/>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Series B Convertible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b/>
              </w:rPr>
            </w:pPr>
            <w:r>
              <w:rPr>
                <w:b/>
              </w:rPr>
              <w:t>Paid-in</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center"/>
              <w:rPr>
                <w:b/>
              </w:rPr>
            </w:pPr>
            <w:r>
              <w:rPr>
                <w:b/>
              </w:rPr>
              <w:t>Accumulated</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26" w:type="dxa"/>
            <w:tcBorders/>
            <w:vAlign w:val="center"/>
          </w:tcPr>
          <w:p>
            <w:pPr>
              <w:pStyle w:val="TableContents"/>
              <w:bidi w:val="0"/>
              <w:spacing w:before="0" w:after="283"/>
              <w:jc w:val="center"/>
              <w:rPr>
                <w:b/>
              </w:rPr>
            </w:pPr>
            <w:r>
              <w:rPr>
                <w:b/>
              </w:rPr>
              <w:t>Stockholders'</w:t>
            </w:r>
          </w:p>
        </w:tc>
        <w:tc>
          <w:tcPr>
            <w:tcW w:w="286" w:type="dxa"/>
            <w:tcBorders/>
            <w:vAlign w:val="center"/>
          </w:tcPr>
          <w:p>
            <w:pPr>
              <w:pStyle w:val="TableContents"/>
              <w:bidi w:val="0"/>
              <w:spacing w:before="0" w:after="283"/>
              <w:jc w:val="left"/>
              <w:rPr/>
            </w:pPr>
            <w:r>
              <w:rPr/>
              <w:t> </w:t>
            </w:r>
          </w:p>
        </w:tc>
      </w:tr>
      <w:tr>
        <w:trPr/>
        <w:tc>
          <w:tcPr>
            <w:tcW w:w="1426" w:type="dxa"/>
            <w:tcBorders/>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Shares</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Amount</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Shares</w:t>
            </w:r>
          </w:p>
        </w:tc>
        <w:tc>
          <w:tcPr>
            <w:tcW w:w="24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Amount</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Shares</w:t>
            </w:r>
          </w:p>
        </w:tc>
        <w:tc>
          <w:tcPr>
            <w:tcW w:w="24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Amount</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Capital</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Deficit</w:t>
            </w:r>
          </w:p>
        </w:tc>
        <w:tc>
          <w:tcPr>
            <w:tcW w:w="24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Equity</w:t>
            </w:r>
          </w:p>
        </w:tc>
        <w:tc>
          <w:tcPr>
            <w:tcW w:w="28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4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26"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r>
      <w:tr>
        <w:trPr/>
        <w:tc>
          <w:tcPr>
            <w:tcW w:w="1426" w:type="dxa"/>
            <w:tcBorders/>
            <w:shd w:fill="CCEEFF" w:val="clear"/>
            <w:vAlign w:val="center"/>
          </w:tcPr>
          <w:p>
            <w:pPr>
              <w:pStyle w:val="TableContents"/>
              <w:bidi w:val="0"/>
              <w:spacing w:before="0" w:after="283"/>
              <w:jc w:val="left"/>
              <w:rPr/>
            </w:pPr>
            <w:r>
              <w:rPr/>
              <w:t>Balance at December 31, 2025</w:t>
            </w:r>
          </w:p>
        </w:tc>
        <w:tc>
          <w:tcPr>
            <w:tcW w:w="146"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51,733,217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946" w:type="dxa"/>
            <w:tcBorders/>
            <w:shd w:fill="CCEEFF" w:val="clear"/>
            <w:vAlign w:val="center"/>
          </w:tcPr>
          <w:p>
            <w:pPr>
              <w:pStyle w:val="TableContents"/>
              <w:bidi w:val="0"/>
              <w:spacing w:before="0" w:after="283"/>
              <w:jc w:val="right"/>
              <w:rPr/>
            </w:pPr>
            <w:r>
              <w:rPr/>
              <w:t>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8,207</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946" w:type="dxa"/>
            <w:tcBorders/>
            <w:shd w:fill="CCEEFF" w:val="clear"/>
            <w:vAlign w:val="center"/>
          </w:tcPr>
          <w:p>
            <w:pPr>
              <w:pStyle w:val="TableContents"/>
              <w:bidi w:val="0"/>
              <w:spacing w:before="0" w:after="283"/>
              <w:jc w:val="right"/>
              <w:rPr/>
            </w:pPr>
            <w:r>
              <w:rPr/>
              <w:t xml:space="preserve">-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4,500</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946" w:type="dxa"/>
            <w:tcBorders/>
            <w:shd w:fill="CCEEFF" w:val="clear"/>
            <w:vAlign w:val="center"/>
          </w:tcPr>
          <w:p>
            <w:pPr>
              <w:pStyle w:val="TableContents"/>
              <w:bidi w:val="0"/>
              <w:spacing w:before="0" w:after="283"/>
              <w:jc w:val="right"/>
              <w:rPr/>
            </w:pPr>
            <w:r>
              <w:rPr/>
              <w:t xml:space="preserve">-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1186" w:type="dxa"/>
            <w:tcBorders/>
            <w:shd w:fill="CCEEFF" w:val="clear"/>
            <w:vAlign w:val="center"/>
          </w:tcPr>
          <w:p>
            <w:pPr>
              <w:pStyle w:val="TableContents"/>
              <w:bidi w:val="0"/>
              <w:spacing w:before="0" w:after="283"/>
              <w:jc w:val="right"/>
              <w:rPr/>
            </w:pPr>
            <w:r>
              <w:rPr/>
              <w:t>127,804</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1456" w:type="dxa"/>
            <w:tcBorders/>
            <w:shd w:fill="CCEEFF" w:val="clear"/>
            <w:vAlign w:val="center"/>
          </w:tcPr>
          <w:p>
            <w:pPr>
              <w:pStyle w:val="TableContents"/>
              <w:bidi w:val="0"/>
              <w:spacing w:before="0" w:after="283"/>
              <w:jc w:val="right"/>
              <w:rPr/>
            </w:pPr>
            <w:r>
              <w:rPr/>
              <w:t>(116,319</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1426" w:type="dxa"/>
            <w:tcBorders/>
            <w:shd w:fill="CCEEFF" w:val="clear"/>
            <w:vAlign w:val="center"/>
          </w:tcPr>
          <w:p>
            <w:pPr>
              <w:pStyle w:val="TableContents"/>
              <w:bidi w:val="0"/>
              <w:spacing w:before="0" w:after="283"/>
              <w:jc w:val="right"/>
              <w:rPr/>
            </w:pPr>
            <w:r>
              <w:rPr/>
              <w:t>11,490</w:t>
            </w:r>
          </w:p>
        </w:tc>
        <w:tc>
          <w:tcPr>
            <w:tcW w:w="286" w:type="dxa"/>
            <w:tcBorders/>
            <w:shd w:fill="CCEEFF" w:val="clear"/>
            <w:vAlign w:val="center"/>
          </w:tcPr>
          <w:p>
            <w:pPr>
              <w:pStyle w:val="TableContents"/>
              <w:bidi w:val="0"/>
              <w:spacing w:before="0" w:after="283"/>
              <w:jc w:val="left"/>
              <w:rPr/>
            </w:pPr>
            <w:r>
              <w:rPr/>
              <w:t> </w:t>
            </w:r>
          </w:p>
        </w:tc>
      </w:tr>
      <w:tr>
        <w:trPr/>
        <w:tc>
          <w:tcPr>
            <w:tcW w:w="1426" w:type="dxa"/>
            <w:tcBorders/>
            <w:vAlign w:val="center"/>
          </w:tcPr>
          <w:p>
            <w:pPr>
              <w:pStyle w:val="TableContents"/>
              <w:bidi w:val="0"/>
              <w:spacing w:before="0" w:after="283"/>
              <w:jc w:val="left"/>
              <w:rPr/>
            </w:pPr>
            <w:r>
              <w:rPr/>
              <w:t>Share-based compensation expense</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 xml:space="preserve">-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 xml:space="preserve">-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xml:space="preserve">-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 xml:space="preserve">-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xml:space="preserve">-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 xml:space="preserve">-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2,384</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right"/>
              <w:rPr/>
            </w:pPr>
            <w:r>
              <w:rPr/>
              <w:t xml:space="preserve">-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26" w:type="dxa"/>
            <w:tcBorders/>
            <w:vAlign w:val="center"/>
          </w:tcPr>
          <w:p>
            <w:pPr>
              <w:pStyle w:val="TableContents"/>
              <w:bidi w:val="0"/>
              <w:spacing w:before="0" w:after="283"/>
              <w:jc w:val="right"/>
              <w:rPr/>
            </w:pPr>
            <w:r>
              <w:rPr/>
              <w:t>2,384</w:t>
            </w:r>
          </w:p>
        </w:tc>
        <w:tc>
          <w:tcPr>
            <w:tcW w:w="286" w:type="dxa"/>
            <w:tcBorders/>
            <w:vAlign w:val="center"/>
          </w:tcPr>
          <w:p>
            <w:pPr>
              <w:pStyle w:val="TableContents"/>
              <w:bidi w:val="0"/>
              <w:spacing w:before="0" w:after="283"/>
              <w:jc w:val="left"/>
              <w:rPr/>
            </w:pPr>
            <w:r>
              <w:rPr/>
              <w:t> </w:t>
            </w:r>
          </w:p>
        </w:tc>
      </w:tr>
      <w:tr>
        <w:trPr/>
        <w:tc>
          <w:tcPr>
            <w:tcW w:w="1426" w:type="dxa"/>
            <w:tcBorders/>
            <w:shd w:fill="CCEEFF" w:val="clear"/>
            <w:vAlign w:val="center"/>
          </w:tcPr>
          <w:p>
            <w:pPr>
              <w:pStyle w:val="TableContents"/>
              <w:bidi w:val="0"/>
              <w:spacing w:before="0" w:after="283"/>
              <w:jc w:val="left"/>
              <w:rPr/>
            </w:pPr>
            <w:r>
              <w:rPr/>
              <w:t>Dividends on convertible preferred stock</w:t>
            </w:r>
          </w:p>
        </w:tc>
        <w:tc>
          <w:tcPr>
            <w:tcW w:w="146"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462,656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xml:space="preserve">-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 xml:space="preserve">- </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xml:space="preserve">-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 xml:space="preserve">- </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xml:space="preserve">-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249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(249</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426" w:type="dxa"/>
            <w:tcBorders/>
            <w:shd w:fill="CCEEFF" w:val="clear"/>
            <w:vAlign w:val="center"/>
          </w:tcPr>
          <w:p>
            <w:pPr>
              <w:pStyle w:val="TableContents"/>
              <w:bidi w:val="0"/>
              <w:spacing w:before="0" w:after="283"/>
              <w:jc w:val="right"/>
              <w:rPr/>
            </w:pPr>
            <w:r>
              <w:rPr/>
              <w:t xml:space="preserve">- </w:t>
            </w:r>
          </w:p>
        </w:tc>
        <w:tc>
          <w:tcPr>
            <w:tcW w:w="286" w:type="dxa"/>
            <w:tcBorders/>
            <w:shd w:fill="CCEEFF" w:val="clear"/>
            <w:vAlign w:val="center"/>
          </w:tcPr>
          <w:p>
            <w:pPr>
              <w:pStyle w:val="TableContents"/>
              <w:bidi w:val="0"/>
              <w:spacing w:before="0" w:after="283"/>
              <w:jc w:val="left"/>
              <w:rPr/>
            </w:pPr>
            <w:r>
              <w:rPr/>
              <w:t> </w:t>
            </w:r>
          </w:p>
        </w:tc>
      </w:tr>
      <w:tr>
        <w:trPr/>
        <w:tc>
          <w:tcPr>
            <w:tcW w:w="1426" w:type="dxa"/>
            <w:tcBorders/>
            <w:vAlign w:val="center"/>
          </w:tcPr>
          <w:p>
            <w:pPr>
              <w:pStyle w:val="TableContents"/>
              <w:bidi w:val="0"/>
              <w:spacing w:before="0" w:after="283"/>
              <w:jc w:val="left"/>
              <w:rPr/>
            </w:pPr>
            <w:r>
              <w:rPr/>
              <w:t>Common Stock issued upon vesting of restricted stock units</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72,888</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 xml:space="preserve">-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xml:space="preserve">-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 xml:space="preserve">-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xml:space="preserve">-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 xml:space="preserve">-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 xml:space="preserve">-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right"/>
              <w:rPr/>
            </w:pPr>
            <w:r>
              <w:rPr/>
              <w:t xml:space="preserve">-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26" w:type="dxa"/>
            <w:tcBorders/>
            <w:vAlign w:val="center"/>
          </w:tcPr>
          <w:p>
            <w:pPr>
              <w:pStyle w:val="TableContents"/>
              <w:bidi w:val="0"/>
              <w:spacing w:before="0" w:after="283"/>
              <w:jc w:val="right"/>
              <w:rPr/>
            </w:pPr>
            <w:r>
              <w:rPr/>
              <w:t xml:space="preserve">- </w:t>
            </w:r>
          </w:p>
        </w:tc>
        <w:tc>
          <w:tcPr>
            <w:tcW w:w="286" w:type="dxa"/>
            <w:tcBorders/>
            <w:vAlign w:val="center"/>
          </w:tcPr>
          <w:p>
            <w:pPr>
              <w:pStyle w:val="TableContents"/>
              <w:bidi w:val="0"/>
              <w:spacing w:before="0" w:after="283"/>
              <w:jc w:val="left"/>
              <w:rPr/>
            </w:pPr>
            <w:r>
              <w:rPr/>
              <w:t> </w:t>
            </w:r>
          </w:p>
        </w:tc>
      </w:tr>
      <w:tr>
        <w:trPr/>
        <w:tc>
          <w:tcPr>
            <w:tcW w:w="1426" w:type="dxa"/>
            <w:tcBorders/>
            <w:shd w:fill="CCEEFF" w:val="clear"/>
            <w:vAlign w:val="center"/>
          </w:tcPr>
          <w:p>
            <w:pPr>
              <w:pStyle w:val="TableContents"/>
              <w:bidi w:val="0"/>
              <w:spacing w:before="0" w:after="283"/>
              <w:jc w:val="left"/>
              <w:rPr/>
            </w:pPr>
            <w:r>
              <w:rPr/>
              <w:t>Common Stock issued upon conversion of preferred stock</w:t>
            </w:r>
          </w:p>
        </w:tc>
        <w:tc>
          <w:tcPr>
            <w:tcW w:w="146"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668,965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xml:space="preserve">-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(100</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xml:space="preserve">-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(900</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xml:space="preserve">-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 xml:space="preserve">-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 xml:space="preserve">- </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426" w:type="dxa"/>
            <w:tcBorders/>
            <w:shd w:fill="CCEEFF" w:val="clear"/>
            <w:vAlign w:val="center"/>
          </w:tcPr>
          <w:p>
            <w:pPr>
              <w:pStyle w:val="TableContents"/>
              <w:bidi w:val="0"/>
              <w:spacing w:before="0" w:after="283"/>
              <w:jc w:val="right"/>
              <w:rPr/>
            </w:pPr>
            <w:r>
              <w:rPr/>
              <w:t xml:space="preserve">- </w:t>
            </w:r>
          </w:p>
        </w:tc>
        <w:tc>
          <w:tcPr>
            <w:tcW w:w="286" w:type="dxa"/>
            <w:tcBorders/>
            <w:shd w:fill="CCEEFF" w:val="clear"/>
            <w:vAlign w:val="center"/>
          </w:tcPr>
          <w:p>
            <w:pPr>
              <w:pStyle w:val="TableContents"/>
              <w:bidi w:val="0"/>
              <w:spacing w:before="0" w:after="283"/>
              <w:jc w:val="left"/>
              <w:rPr/>
            </w:pPr>
            <w:r>
              <w:rPr/>
              <w:t> </w:t>
            </w:r>
          </w:p>
        </w:tc>
      </w:tr>
      <w:tr>
        <w:trPr/>
        <w:tc>
          <w:tcPr>
            <w:tcW w:w="1426" w:type="dxa"/>
            <w:tcBorders/>
            <w:vAlign w:val="center"/>
          </w:tcPr>
          <w:p>
            <w:pPr>
              <w:pStyle w:val="TableContents"/>
              <w:bidi w:val="0"/>
              <w:spacing w:before="0" w:after="283"/>
              <w:jc w:val="left"/>
              <w:rPr/>
            </w:pPr>
            <w:r>
              <w:rPr/>
              <w:t>Common Stock and pre-funded warrants issued with Private Placement</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2,500,000</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 xml:space="preserve">-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xml:space="preserve">-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 xml:space="preserve">-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xml:space="preserve">-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 xml:space="preserve">-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5,000</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right"/>
              <w:rPr/>
            </w:pPr>
            <w:r>
              <w:rPr/>
              <w:t xml:space="preserve">-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26" w:type="dxa"/>
            <w:tcBorders/>
            <w:vAlign w:val="center"/>
          </w:tcPr>
          <w:p>
            <w:pPr>
              <w:pStyle w:val="TableContents"/>
              <w:bidi w:val="0"/>
              <w:spacing w:before="0" w:after="283"/>
              <w:jc w:val="right"/>
              <w:rPr/>
            </w:pPr>
            <w:r>
              <w:rPr/>
              <w:t>5,000</w:t>
            </w:r>
          </w:p>
        </w:tc>
        <w:tc>
          <w:tcPr>
            <w:tcW w:w="286" w:type="dxa"/>
            <w:tcBorders/>
            <w:vAlign w:val="center"/>
          </w:tcPr>
          <w:p>
            <w:pPr>
              <w:pStyle w:val="TableContents"/>
              <w:bidi w:val="0"/>
              <w:spacing w:before="0" w:after="283"/>
              <w:jc w:val="left"/>
              <w:rPr/>
            </w:pPr>
            <w:r>
              <w:rPr/>
              <w:t> </w:t>
            </w:r>
          </w:p>
        </w:tc>
      </w:tr>
      <w:tr>
        <w:trPr/>
        <w:tc>
          <w:tcPr>
            <w:tcW w:w="1426" w:type="dxa"/>
            <w:tcBorders/>
            <w:shd w:fill="CCEEFF" w:val="clear"/>
            <w:vAlign w:val="center"/>
          </w:tcPr>
          <w:p>
            <w:pPr>
              <w:pStyle w:val="TableContents"/>
              <w:bidi w:val="0"/>
              <w:spacing w:before="0" w:after="283"/>
              <w:jc w:val="left"/>
              <w:rPr/>
            </w:pPr>
            <w:r>
              <w:rPr/>
              <w:t>Common Stock issued upon warrant exercise</w:t>
            </w:r>
          </w:p>
        </w:tc>
        <w:tc>
          <w:tcPr>
            <w:tcW w:w="146"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68,966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xml:space="preserve">-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 xml:space="preserve">- </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xml:space="preserve">-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 xml:space="preserve">- </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xml:space="preserve">-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100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 xml:space="preserve">- </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426" w:type="dxa"/>
            <w:tcBorders/>
            <w:shd w:fill="CCEEFF" w:val="clear"/>
            <w:vAlign w:val="center"/>
          </w:tcPr>
          <w:p>
            <w:pPr>
              <w:pStyle w:val="TableContents"/>
              <w:bidi w:val="0"/>
              <w:spacing w:before="0" w:after="283"/>
              <w:jc w:val="right"/>
              <w:rPr/>
            </w:pPr>
            <w:r>
              <w:rPr/>
              <w:t>100</w:t>
            </w:r>
          </w:p>
        </w:tc>
        <w:tc>
          <w:tcPr>
            <w:tcW w:w="286" w:type="dxa"/>
            <w:tcBorders/>
            <w:shd w:fill="CCEEFF" w:val="clear"/>
            <w:vAlign w:val="center"/>
          </w:tcPr>
          <w:p>
            <w:pPr>
              <w:pStyle w:val="TableContents"/>
              <w:bidi w:val="0"/>
              <w:spacing w:before="0" w:after="283"/>
              <w:jc w:val="left"/>
              <w:rPr/>
            </w:pPr>
            <w:r>
              <w:rPr/>
              <w:t> </w:t>
            </w:r>
          </w:p>
        </w:tc>
      </w:tr>
      <w:tr>
        <w:trPr/>
        <w:tc>
          <w:tcPr>
            <w:tcW w:w="1426" w:type="dxa"/>
            <w:tcBorders/>
            <w:vAlign w:val="center"/>
          </w:tcPr>
          <w:p>
            <w:pPr>
              <w:pStyle w:val="TableContents"/>
              <w:bidi w:val="0"/>
              <w:spacing w:before="0" w:after="283"/>
              <w:jc w:val="left"/>
              <w:rPr/>
            </w:pPr>
            <w:r>
              <w:rPr/>
              <w:t>Net loss</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xml:space="preserve">-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xml:space="preserve">-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xml:space="preserve">- </w:t>
            </w:r>
          </w:p>
        </w:tc>
        <w:tc>
          <w:tcPr>
            <w:tcW w:w="24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xml:space="preserve">-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xml:space="preserve">- </w:t>
            </w:r>
          </w:p>
        </w:tc>
        <w:tc>
          <w:tcPr>
            <w:tcW w:w="24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xml:space="preserve">-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xml:space="preserve">-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(4,540</w:t>
            </w:r>
          </w:p>
        </w:tc>
        <w:tc>
          <w:tcPr>
            <w:tcW w:w="24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(4,540</w:t>
            </w:r>
          </w:p>
        </w:tc>
        <w:tc>
          <w:tcPr>
            <w:tcW w:w="28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426" w:type="dxa"/>
            <w:tcBorders/>
            <w:shd w:fill="CCEEFF" w:val="clear"/>
            <w:vAlign w:val="center"/>
          </w:tcPr>
          <w:p>
            <w:pPr>
              <w:pStyle w:val="TableContents"/>
              <w:bidi w:val="0"/>
              <w:spacing w:before="0" w:after="283"/>
              <w:jc w:val="left"/>
              <w:rPr/>
            </w:pPr>
            <w:r>
              <w:rPr/>
              <w:t>Balance at March 31, 2026</w:t>
            </w:r>
          </w:p>
        </w:tc>
        <w:tc>
          <w:tcPr>
            <w:tcW w:w="146"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55,506,692</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946" w:type="dxa"/>
            <w:tcBorders/>
            <w:shd w:fill="CCEEFF" w:val="clear"/>
            <w:vAlign w:val="center"/>
          </w:tcPr>
          <w:p>
            <w:pPr>
              <w:pStyle w:val="TableContents"/>
              <w:bidi w:val="0"/>
              <w:spacing w:before="0" w:after="283"/>
              <w:jc w:val="right"/>
              <w:rPr/>
            </w:pPr>
            <w:r>
              <w:rPr/>
              <w:t>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8,107</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946" w:type="dxa"/>
            <w:tcBorders/>
            <w:shd w:fill="CCEEFF" w:val="clear"/>
            <w:vAlign w:val="center"/>
          </w:tcPr>
          <w:p>
            <w:pPr>
              <w:pStyle w:val="TableContents"/>
              <w:bidi w:val="0"/>
              <w:spacing w:before="0" w:after="283"/>
              <w:jc w:val="right"/>
              <w:rPr/>
            </w:pPr>
            <w:r>
              <w:rPr/>
              <w:t xml:space="preserve">-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3,600</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946" w:type="dxa"/>
            <w:tcBorders/>
            <w:shd w:fill="CCEEFF" w:val="clear"/>
            <w:vAlign w:val="center"/>
          </w:tcPr>
          <w:p>
            <w:pPr>
              <w:pStyle w:val="TableContents"/>
              <w:bidi w:val="0"/>
              <w:spacing w:before="0" w:after="283"/>
              <w:jc w:val="right"/>
              <w:rPr/>
            </w:pPr>
            <w:r>
              <w:rPr/>
              <w:t xml:space="preserve">-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1186" w:type="dxa"/>
            <w:tcBorders/>
            <w:shd w:fill="CCEEFF" w:val="clear"/>
            <w:vAlign w:val="center"/>
          </w:tcPr>
          <w:p>
            <w:pPr>
              <w:pStyle w:val="TableContents"/>
              <w:bidi w:val="0"/>
              <w:spacing w:before="0" w:after="283"/>
              <w:jc w:val="right"/>
              <w:rPr/>
            </w:pPr>
            <w:r>
              <w:rPr/>
              <w:t>135,537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1456" w:type="dxa"/>
            <w:tcBorders/>
            <w:shd w:fill="CCEEFF" w:val="clear"/>
            <w:vAlign w:val="center"/>
          </w:tcPr>
          <w:p>
            <w:pPr>
              <w:pStyle w:val="TableContents"/>
              <w:bidi w:val="0"/>
              <w:spacing w:before="0" w:after="283"/>
              <w:jc w:val="right"/>
              <w:rPr/>
            </w:pPr>
            <w:r>
              <w:rPr/>
              <w:t>(121,108</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1426" w:type="dxa"/>
            <w:tcBorders/>
            <w:shd w:fill="CCEEFF" w:val="clear"/>
            <w:vAlign w:val="center"/>
          </w:tcPr>
          <w:p>
            <w:pPr>
              <w:pStyle w:val="TableContents"/>
              <w:bidi w:val="0"/>
              <w:spacing w:before="0" w:after="283"/>
              <w:jc w:val="right"/>
              <w:rPr/>
            </w:pPr>
            <w:r>
              <w:rPr/>
              <w:t>14,434</w:t>
            </w:r>
          </w:p>
        </w:tc>
        <w:tc>
          <w:tcPr>
            <w:tcW w:w="286" w:type="dxa"/>
            <w:tcBorders/>
            <w:shd w:fill="CCEEFF" w:val="clear"/>
            <w:vAlign w:val="center"/>
          </w:tcPr>
          <w:p>
            <w:pPr>
              <w:pStyle w:val="TableContents"/>
              <w:bidi w:val="0"/>
              <w:spacing w:before="0" w:after="283"/>
              <w:jc w:val="left"/>
              <w:rPr/>
            </w:pPr>
            <w:r>
              <w:rPr/>
              <w:t> </w:t>
            </w:r>
          </w:p>
        </w:tc>
      </w:tr>
      <w:tr>
        <w:trPr/>
        <w:tc>
          <w:tcPr>
            <w:tcW w:w="1426" w:type="dxa"/>
            <w:tcBorders/>
            <w:vAlign w:val="center"/>
          </w:tcPr>
          <w:p>
            <w:pPr>
              <w:pStyle w:val="TableContents"/>
              <w:bidi w:val="0"/>
              <w:spacing w:before="0" w:after="283"/>
              <w:jc w:val="left"/>
              <w:rPr/>
            </w:pPr>
            <w:r>
              <w:rPr/>
              <w:t>Share-based compensation expense</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 xml:space="preserve">-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 xml:space="preserve">-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xml:space="preserve">-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 xml:space="preserve">-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xml:space="preserve">-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 xml:space="preserve">-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1,019</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right"/>
              <w:rPr/>
            </w:pPr>
            <w:r>
              <w:rPr/>
              <w:t xml:space="preserve">-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26" w:type="dxa"/>
            <w:tcBorders/>
            <w:vAlign w:val="center"/>
          </w:tcPr>
          <w:p>
            <w:pPr>
              <w:pStyle w:val="TableContents"/>
              <w:bidi w:val="0"/>
              <w:spacing w:before="0" w:after="283"/>
              <w:jc w:val="right"/>
              <w:rPr/>
            </w:pPr>
            <w:r>
              <w:rPr/>
              <w:t>1,019</w:t>
            </w:r>
          </w:p>
        </w:tc>
        <w:tc>
          <w:tcPr>
            <w:tcW w:w="286" w:type="dxa"/>
            <w:tcBorders/>
            <w:vAlign w:val="center"/>
          </w:tcPr>
          <w:p>
            <w:pPr>
              <w:pStyle w:val="TableContents"/>
              <w:bidi w:val="0"/>
              <w:spacing w:before="0" w:after="283"/>
              <w:jc w:val="left"/>
              <w:rPr/>
            </w:pPr>
            <w:r>
              <w:rPr/>
              <w:t> </w:t>
            </w:r>
          </w:p>
        </w:tc>
      </w:tr>
      <w:tr>
        <w:trPr/>
        <w:tc>
          <w:tcPr>
            <w:tcW w:w="1426" w:type="dxa"/>
            <w:tcBorders/>
            <w:shd w:fill="CCEEFF" w:val="clear"/>
            <w:vAlign w:val="center"/>
          </w:tcPr>
          <w:p>
            <w:pPr>
              <w:pStyle w:val="TableContents"/>
              <w:bidi w:val="0"/>
              <w:spacing w:before="0" w:after="283"/>
              <w:jc w:val="left"/>
              <w:rPr/>
            </w:pPr>
            <w:r>
              <w:rPr/>
              <w:t>Common stock issued for professional services</w:t>
            </w:r>
          </w:p>
        </w:tc>
        <w:tc>
          <w:tcPr>
            <w:tcW w:w="146"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96,775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xml:space="preserve">-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 xml:space="preserve">- </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xml:space="preserve">-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 xml:space="preserve">- </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xml:space="preserve">-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150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 xml:space="preserve">- </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426" w:type="dxa"/>
            <w:tcBorders/>
            <w:shd w:fill="CCEEFF" w:val="clear"/>
            <w:vAlign w:val="center"/>
          </w:tcPr>
          <w:p>
            <w:pPr>
              <w:pStyle w:val="TableContents"/>
              <w:bidi w:val="0"/>
              <w:spacing w:before="0" w:after="283"/>
              <w:jc w:val="right"/>
              <w:rPr/>
            </w:pPr>
            <w:r>
              <w:rPr/>
              <w:t>150</w:t>
            </w:r>
          </w:p>
        </w:tc>
        <w:tc>
          <w:tcPr>
            <w:tcW w:w="286" w:type="dxa"/>
            <w:tcBorders/>
            <w:shd w:fill="CCEEFF" w:val="clear"/>
            <w:vAlign w:val="center"/>
          </w:tcPr>
          <w:p>
            <w:pPr>
              <w:pStyle w:val="TableContents"/>
              <w:bidi w:val="0"/>
              <w:spacing w:before="0" w:after="283"/>
              <w:jc w:val="left"/>
              <w:rPr/>
            </w:pPr>
            <w:r>
              <w:rPr/>
              <w:t> </w:t>
            </w:r>
          </w:p>
        </w:tc>
      </w:tr>
      <w:tr>
        <w:trPr/>
        <w:tc>
          <w:tcPr>
            <w:tcW w:w="1426" w:type="dxa"/>
            <w:tcBorders/>
            <w:vAlign w:val="center"/>
          </w:tcPr>
          <w:p>
            <w:pPr>
              <w:pStyle w:val="TableContents"/>
              <w:bidi w:val="0"/>
              <w:spacing w:before="0" w:after="283"/>
              <w:jc w:val="left"/>
              <w:rPr/>
            </w:pPr>
            <w:r>
              <w:rPr/>
              <w:t>Dividends on convertible preferred stock</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162,836</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 xml:space="preserve">-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xml:space="preserve">-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 xml:space="preserve">-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xml:space="preserve">-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 xml:space="preserve">-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162</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right"/>
              <w:rPr/>
            </w:pPr>
            <w:r>
              <w:rPr/>
              <w:t>(162</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26" w:type="dxa"/>
            <w:tcBorders/>
            <w:vAlign w:val="center"/>
          </w:tcPr>
          <w:p>
            <w:pPr>
              <w:pStyle w:val="TableContents"/>
              <w:bidi w:val="0"/>
              <w:spacing w:before="0" w:after="283"/>
              <w:jc w:val="right"/>
              <w:rPr/>
            </w:pPr>
            <w:r>
              <w:rPr/>
              <w:t xml:space="preserve">- </w:t>
            </w:r>
          </w:p>
        </w:tc>
        <w:tc>
          <w:tcPr>
            <w:tcW w:w="286" w:type="dxa"/>
            <w:tcBorders/>
            <w:vAlign w:val="center"/>
          </w:tcPr>
          <w:p>
            <w:pPr>
              <w:pStyle w:val="TableContents"/>
              <w:bidi w:val="0"/>
              <w:spacing w:before="0" w:after="283"/>
              <w:jc w:val="left"/>
              <w:rPr/>
            </w:pPr>
            <w:r>
              <w:rPr/>
              <w:t> </w:t>
            </w:r>
          </w:p>
        </w:tc>
      </w:tr>
      <w:tr>
        <w:trPr/>
        <w:tc>
          <w:tcPr>
            <w:tcW w:w="1426" w:type="dxa"/>
            <w:tcBorders/>
            <w:shd w:fill="CCEEFF" w:val="clear"/>
            <w:vAlign w:val="center"/>
          </w:tcPr>
          <w:p>
            <w:pPr>
              <w:pStyle w:val="TableContents"/>
              <w:bidi w:val="0"/>
              <w:spacing w:before="0" w:after="283"/>
              <w:jc w:val="left"/>
              <w:rPr/>
            </w:pPr>
            <w:r>
              <w:rPr/>
              <w:t>Common Stock issued upon vesting of restricted stock units</w:t>
            </w:r>
          </w:p>
        </w:tc>
        <w:tc>
          <w:tcPr>
            <w:tcW w:w="146"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91,630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xml:space="preserve">-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 xml:space="preserve">- </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xml:space="preserve">-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 xml:space="preserve">- </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xml:space="preserve">-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 xml:space="preserve">-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 xml:space="preserve">- </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426" w:type="dxa"/>
            <w:tcBorders/>
            <w:shd w:fill="CCEEFF" w:val="clear"/>
            <w:vAlign w:val="center"/>
          </w:tcPr>
          <w:p>
            <w:pPr>
              <w:pStyle w:val="TableContents"/>
              <w:bidi w:val="0"/>
              <w:spacing w:before="0" w:after="283"/>
              <w:jc w:val="right"/>
              <w:rPr/>
            </w:pPr>
            <w:r>
              <w:rPr/>
              <w:t xml:space="preserve">- </w:t>
            </w:r>
          </w:p>
        </w:tc>
        <w:tc>
          <w:tcPr>
            <w:tcW w:w="286" w:type="dxa"/>
            <w:tcBorders/>
            <w:shd w:fill="CCEEFF" w:val="clear"/>
            <w:vAlign w:val="center"/>
          </w:tcPr>
          <w:p>
            <w:pPr>
              <w:pStyle w:val="TableContents"/>
              <w:bidi w:val="0"/>
              <w:spacing w:before="0" w:after="283"/>
              <w:jc w:val="left"/>
              <w:rPr/>
            </w:pPr>
            <w:r>
              <w:rPr/>
              <w:t> </w:t>
            </w:r>
          </w:p>
        </w:tc>
      </w:tr>
      <w:tr>
        <w:trPr/>
        <w:tc>
          <w:tcPr>
            <w:tcW w:w="1426" w:type="dxa"/>
            <w:tcBorders/>
            <w:vAlign w:val="center"/>
          </w:tcPr>
          <w:p>
            <w:pPr>
              <w:pStyle w:val="TableContents"/>
              <w:bidi w:val="0"/>
              <w:spacing w:before="0" w:after="283"/>
              <w:jc w:val="left"/>
              <w:rPr/>
            </w:pPr>
            <w:r>
              <w:rPr/>
              <w:t>Net loss</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xml:space="preserve">-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xml:space="preserve">-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xml:space="preserve">- </w:t>
            </w:r>
          </w:p>
        </w:tc>
        <w:tc>
          <w:tcPr>
            <w:tcW w:w="24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xml:space="preserve">-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xml:space="preserve">- </w:t>
            </w:r>
          </w:p>
        </w:tc>
        <w:tc>
          <w:tcPr>
            <w:tcW w:w="24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xml:space="preserve">-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xml:space="preserve">-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(2,257</w:t>
            </w:r>
          </w:p>
        </w:tc>
        <w:tc>
          <w:tcPr>
            <w:tcW w:w="24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(2,257</w:t>
            </w:r>
          </w:p>
        </w:tc>
        <w:tc>
          <w:tcPr>
            <w:tcW w:w="28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426" w:type="dxa"/>
            <w:tcBorders/>
            <w:shd w:fill="CCEEFF" w:val="clear"/>
            <w:vAlign w:val="center"/>
          </w:tcPr>
          <w:p>
            <w:pPr>
              <w:pStyle w:val="TableContents"/>
              <w:bidi w:val="0"/>
              <w:spacing w:before="0" w:after="283"/>
              <w:jc w:val="left"/>
              <w:rPr/>
            </w:pPr>
            <w:r>
              <w:rPr/>
              <w:t>Balance at June 30, 2026</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55,857,933</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9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5</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8,107</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9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 xml:space="preserve">-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3,600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9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 xml:space="preserve">-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11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136,868</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145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(123,527</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14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13,346</w:t>
            </w:r>
          </w:p>
        </w:tc>
        <w:tc>
          <w:tcPr>
            <w:tcW w:w="2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 w:hAnsi="Times New Roman"/>
          <w:b w:val="false"/>
          <w:i w:val="false"/>
          <w:caps w:val="false"/>
          <w:smallCaps w:val="false"/>
          <w:spacing w:val="0"/>
          <w:sz w:val="20"/>
        </w:rPr>
      </w:pPr>
      <w:r>
        <w:rPr>
          <w:rFonts w:ascii="Times New Roman" w:hAnsi="Times New Roman"/>
          <w:b w:val="false"/>
          <w:i w:val="false"/>
          <w:caps w:val="false"/>
          <w:smallCaps w:val="false"/>
          <w:spacing w:val="0"/>
          <w:sz w:val="20"/>
        </w:rPr>
        <w:t>The accompanying notes are an integral part of these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Wrap Technologies, Inc.</w:t>
      </w:r>
    </w:p>
    <w:p>
      <w:pPr>
        <w:pStyle w:val="TextBody"/>
        <w:bidi w:val="0"/>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Condensed Consolidated Statements of Stockholders’ Equity</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thousands, except share amounts)</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tbl>
      <w:tblPr>
        <w:tblW w:w="15653" w:type="dxa"/>
        <w:jc w:val="left"/>
        <w:tblInd w:w="0" w:type="dxa"/>
        <w:tblLayout w:type="fixed"/>
        <w:tblCellMar>
          <w:top w:w="28" w:type="dxa"/>
          <w:left w:w="28" w:type="dxa"/>
          <w:bottom w:w="28" w:type="dxa"/>
          <w:right w:w="28" w:type="dxa"/>
        </w:tblCellMar>
      </w:tblPr>
      <w:tblGrid>
        <w:gridCol w:w="1606"/>
        <w:gridCol w:w="146"/>
        <w:gridCol w:w="1186"/>
        <w:gridCol w:w="146"/>
        <w:gridCol w:w="109"/>
        <w:gridCol w:w="226"/>
        <w:gridCol w:w="946"/>
        <w:gridCol w:w="146"/>
        <w:gridCol w:w="146"/>
        <w:gridCol w:w="146"/>
        <w:gridCol w:w="796"/>
        <w:gridCol w:w="146"/>
        <w:gridCol w:w="109"/>
        <w:gridCol w:w="226"/>
        <w:gridCol w:w="946"/>
        <w:gridCol w:w="146"/>
        <w:gridCol w:w="109"/>
        <w:gridCol w:w="146"/>
        <w:gridCol w:w="796"/>
        <w:gridCol w:w="146"/>
        <w:gridCol w:w="109"/>
        <w:gridCol w:w="226"/>
        <w:gridCol w:w="946"/>
        <w:gridCol w:w="146"/>
        <w:gridCol w:w="146"/>
        <w:gridCol w:w="226"/>
        <w:gridCol w:w="1186"/>
        <w:gridCol w:w="146"/>
        <w:gridCol w:w="146"/>
        <w:gridCol w:w="226"/>
        <w:gridCol w:w="1456"/>
        <w:gridCol w:w="241"/>
        <w:gridCol w:w="146"/>
        <w:gridCol w:w="226"/>
        <w:gridCol w:w="1426"/>
        <w:gridCol w:w="286"/>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CCEEFF" w:val="clear"/>
            <w:vAlign w:val="center"/>
          </w:tcPr>
          <w:p>
            <w:pPr>
              <w:pStyle w:val="TableContents"/>
              <w:bidi w:val="0"/>
              <w:spacing w:before="0" w:after="283"/>
              <w:jc w:val="left"/>
              <w:rPr>
                <w:sz w:val="4"/>
                <w:szCs w:val="4"/>
              </w:rPr>
            </w:pPr>
            <w:r>
              <w:rPr>
                <w:sz w:val="4"/>
                <w:szCs w:val="4"/>
              </w:rPr>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before="0" w:after="283"/>
              <w:jc w:val="left"/>
              <w:rPr>
                <w:sz w:val="4"/>
                <w:szCs w:val="4"/>
              </w:rPr>
            </w:pPr>
            <w:r>
              <w:rPr>
                <w:sz w:val="4"/>
                <w:szCs w:val="4"/>
              </w:rPr>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before="0" w:after="283"/>
              <w:jc w:val="left"/>
              <w:rPr>
                <w:sz w:val="4"/>
                <w:szCs w:val="4"/>
              </w:rPr>
            </w:pPr>
            <w:r>
              <w:rPr>
                <w:sz w:val="4"/>
                <w:szCs w:val="4"/>
              </w:rPr>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before="0" w:after="283"/>
              <w:jc w:val="left"/>
              <w:rPr>
                <w:sz w:val="4"/>
                <w:szCs w:val="4"/>
              </w:rPr>
            </w:pPr>
            <w:r>
              <w:rPr>
                <w:sz w:val="4"/>
                <w:szCs w:val="4"/>
              </w:rPr>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before="0" w:after="283"/>
              <w:jc w:val="left"/>
              <w:rPr>
                <w:sz w:val="4"/>
                <w:szCs w:val="4"/>
              </w:rPr>
            </w:pPr>
            <w:r>
              <w:rPr>
                <w:sz w:val="4"/>
                <w:szCs w:val="4"/>
              </w:rPr>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before="0" w:after="283"/>
              <w:jc w:val="left"/>
              <w:rPr>
                <w:sz w:val="4"/>
                <w:szCs w:val="4"/>
              </w:rPr>
            </w:pPr>
            <w:r>
              <w:rPr>
                <w:sz w:val="4"/>
                <w:szCs w:val="4"/>
              </w:rPr>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before="0" w:after="283"/>
              <w:jc w:val="left"/>
              <w:rPr>
                <w:sz w:val="4"/>
                <w:szCs w:val="4"/>
              </w:rPr>
            </w:pPr>
            <w:r>
              <w:rPr>
                <w:sz w:val="4"/>
                <w:szCs w:val="4"/>
              </w:rPr>
            </w:r>
          </w:p>
        </w:tc>
        <w:tc>
          <w:tcPr>
            <w:tcW w:w="241" w:type="dxa"/>
            <w:tcBorders/>
            <w:shd w:fill="CCEEFF" w:val="clear"/>
            <w:vAlign w:val="center"/>
          </w:tcPr>
          <w:p>
            <w:pPr>
              <w:pStyle w:val="TableContents"/>
              <w:bidi w:val="0"/>
              <w:spacing w:before="0" w:after="283"/>
              <w:jc w:val="left"/>
              <w:rPr>
                <w:sz w:val="4"/>
                <w:szCs w:val="4"/>
              </w:rPr>
            </w:pPr>
            <w:r>
              <w:rPr>
                <w:sz w:val="4"/>
                <w:szCs w:val="4"/>
              </w:rPr>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426" w:type="dxa"/>
            <w:tcBorders/>
            <w:shd w:fill="CCEEFF" w:val="clear"/>
            <w:vAlign w:val="center"/>
          </w:tcPr>
          <w:p>
            <w:pPr>
              <w:pStyle w:val="TableContents"/>
              <w:bidi w:val="0"/>
              <w:spacing w:before="0" w:after="283"/>
              <w:jc w:val="left"/>
              <w:rPr>
                <w:sz w:val="4"/>
                <w:szCs w:val="4"/>
              </w:rPr>
            </w:pPr>
            <w:r>
              <w:rPr>
                <w:sz w:val="4"/>
                <w:szCs w:val="4"/>
              </w:rPr>
            </w:r>
          </w:p>
        </w:tc>
        <w:tc>
          <w:tcPr>
            <w:tcW w:w="286" w:type="dxa"/>
            <w:tcBorders/>
            <w:shd w:fill="CCEEFF" w:val="clear"/>
            <w:vAlign w:val="center"/>
          </w:tcPr>
          <w:p>
            <w:pPr>
              <w:pStyle w:val="TableContents"/>
              <w:bidi w:val="0"/>
              <w:spacing w:before="0" w:after="283"/>
              <w:jc w:val="left"/>
              <w:rPr>
                <w:sz w:val="4"/>
                <w:szCs w:val="4"/>
              </w:rPr>
            </w:pPr>
            <w:r>
              <w:rPr>
                <w:sz w:val="4"/>
                <w:szCs w:val="4"/>
              </w:rPr>
            </w:r>
          </w:p>
        </w:tc>
      </w:tr>
      <w:tr>
        <w:trPr/>
        <w:tc>
          <w:tcPr>
            <w:tcW w:w="1606" w:type="dxa"/>
            <w:tcBorders/>
            <w:vAlign w:val="center"/>
          </w:tcPr>
          <w:p>
            <w:pPr>
              <w:pStyle w:val="TableContents"/>
              <w:bidi w:val="0"/>
              <w:spacing w:before="0" w:after="283"/>
              <w:jc w:val="left"/>
              <w:rPr>
                <w:sz w:val="4"/>
                <w:szCs w:val="4"/>
              </w:rPr>
            </w:pPr>
            <w:r>
              <w:rPr>
                <w:sz w:val="4"/>
                <w:szCs w:val="4"/>
              </w:rPr>
            </w:r>
          </w:p>
        </w:tc>
        <w:tc>
          <w:tcPr>
            <w:tcW w:w="2905" w:type="dxa"/>
            <w:gridSpan w:val="7"/>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Common Stock</w:t>
            </w:r>
          </w:p>
        </w:tc>
        <w:tc>
          <w:tcPr>
            <w:tcW w:w="146" w:type="dxa"/>
            <w:tcBorders/>
            <w:vAlign w:val="center"/>
          </w:tcPr>
          <w:p>
            <w:pPr>
              <w:pStyle w:val="TableContents"/>
              <w:bidi w:val="0"/>
              <w:spacing w:before="0" w:after="283"/>
              <w:jc w:val="left"/>
              <w:rPr/>
            </w:pPr>
            <w:r>
              <w:rPr/>
              <w:t> </w:t>
            </w:r>
          </w:p>
        </w:tc>
        <w:tc>
          <w:tcPr>
            <w:tcW w:w="5139" w:type="dxa"/>
            <w:gridSpan w:val="15"/>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Preferred Stock</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b/>
              </w:rPr>
            </w:pPr>
            <w:r>
              <w:rPr>
                <w:b/>
              </w:rPr>
              <w:t>Additional</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26" w:type="dxa"/>
            <w:tcBorders/>
            <w:vAlign w:val="center"/>
          </w:tcPr>
          <w:p>
            <w:pPr>
              <w:pStyle w:val="TableContents"/>
              <w:bidi w:val="0"/>
              <w:spacing w:before="0" w:after="283"/>
              <w:jc w:val="center"/>
              <w:rPr>
                <w:b/>
              </w:rPr>
            </w:pPr>
            <w:r>
              <w:rPr>
                <w:b/>
              </w:rPr>
              <w:t>Total</w:t>
            </w:r>
          </w:p>
        </w:tc>
        <w:tc>
          <w:tcPr>
            <w:tcW w:w="286" w:type="dxa"/>
            <w:tcBorders/>
            <w:vAlign w:val="center"/>
          </w:tcPr>
          <w:p>
            <w:pPr>
              <w:pStyle w:val="TableContents"/>
              <w:bidi w:val="0"/>
              <w:spacing w:before="0" w:after="283"/>
              <w:jc w:val="left"/>
              <w:rPr/>
            </w:pPr>
            <w:r>
              <w:rPr/>
              <w:t> </w:t>
            </w:r>
          </w:p>
        </w:tc>
      </w:tr>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15" w:type="dxa"/>
            <w:gridSpan w:val="7"/>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Series A Convertible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7"/>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Series B Convertible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b/>
              </w:rPr>
            </w:pPr>
            <w:r>
              <w:rPr>
                <w:b/>
              </w:rPr>
              <w:t>Paid-in</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center"/>
              <w:rPr>
                <w:b/>
              </w:rPr>
            </w:pPr>
            <w:r>
              <w:rPr>
                <w:b/>
              </w:rPr>
              <w:t>Accumulated</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26" w:type="dxa"/>
            <w:tcBorders/>
            <w:vAlign w:val="center"/>
          </w:tcPr>
          <w:p>
            <w:pPr>
              <w:pStyle w:val="TableContents"/>
              <w:bidi w:val="0"/>
              <w:spacing w:before="0" w:after="283"/>
              <w:jc w:val="center"/>
              <w:rPr>
                <w:b/>
              </w:rPr>
            </w:pPr>
            <w:r>
              <w:rPr>
                <w:b/>
              </w:rPr>
              <w:t>Stockholders'</w:t>
            </w:r>
          </w:p>
        </w:tc>
        <w:tc>
          <w:tcPr>
            <w:tcW w:w="286" w:type="dxa"/>
            <w:tcBorders/>
            <w:vAlign w:val="center"/>
          </w:tcPr>
          <w:p>
            <w:pPr>
              <w:pStyle w:val="TableContents"/>
              <w:bidi w:val="0"/>
              <w:spacing w:before="0" w:after="283"/>
              <w:jc w:val="left"/>
              <w:rPr/>
            </w:pPr>
            <w:r>
              <w:rPr/>
              <w:t> </w:t>
            </w:r>
          </w:p>
        </w:tc>
      </w:tr>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Shares</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Amount</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Shares</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Amount</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Shares</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Amount</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Capital</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Deficit</w:t>
            </w:r>
          </w:p>
        </w:tc>
        <w:tc>
          <w:tcPr>
            <w:tcW w:w="24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Equity</w:t>
            </w:r>
          </w:p>
        </w:tc>
        <w:tc>
          <w:tcPr>
            <w:tcW w:w="28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 </w:t>
            </w:r>
          </w:p>
        </w:tc>
      </w:tr>
      <w:tr>
        <w:trPr/>
        <w:tc>
          <w:tcPr>
            <w:tcW w:w="1606" w:type="dxa"/>
            <w:tcBorders/>
            <w:shd w:fill="CCEEFF" w:val="clear"/>
            <w:vAlign w:val="center"/>
          </w:tcPr>
          <w:p>
            <w:pPr>
              <w:pStyle w:val="TableContents"/>
              <w:bidi w:val="0"/>
              <w:spacing w:before="0" w:after="283"/>
              <w:jc w:val="left"/>
              <w:rPr/>
            </w:pPr>
            <w:r>
              <w:rPr/>
              <w:t>Balance at December 31, 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CEEFF" w:val="clear"/>
            <w:tcMar>
              <w:top w:w="0" w:type="dxa"/>
              <w:left w:w="0" w:type="dxa"/>
              <w:bottom w:w="0" w:type="dxa"/>
              <w:right w:w="0" w:type="dxa"/>
            </w:tcMar>
            <w:vAlign w:val="center"/>
          </w:tcPr>
          <w:p>
            <w:pPr>
              <w:pStyle w:val="TableContents"/>
              <w:bidi w:val="0"/>
              <w:spacing w:before="0" w:after="283"/>
              <w:jc w:val="right"/>
              <w:rPr/>
            </w:pPr>
            <w:r>
              <w:rPr/>
              <w:t>47,101,631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w:t>
            </w:r>
          </w:p>
        </w:tc>
        <w:tc>
          <w:tcPr>
            <w:tcW w:w="946" w:type="dxa"/>
            <w:tcBorders/>
            <w:shd w:fill="CCEEFF" w:val="clear"/>
            <w:tcMar>
              <w:top w:w="0" w:type="dxa"/>
              <w:left w:w="0" w:type="dxa"/>
              <w:bottom w:w="0" w:type="dxa"/>
              <w:right w:w="0" w:type="dxa"/>
            </w:tcMar>
            <w:vAlign w:val="center"/>
          </w:tcPr>
          <w:p>
            <w:pPr>
              <w:pStyle w:val="TableContents"/>
              <w:bidi w:val="0"/>
              <w:spacing w:before="0" w:after="283"/>
              <w:jc w:val="right"/>
              <w:rPr/>
            </w:pPr>
            <w:r>
              <w:rPr/>
              <w:t>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pPr>
            <w:r>
              <w:rPr/>
              <w:t>8,207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EFF" w:val="clear"/>
            <w:tcMar>
              <w:top w:w="0" w:type="dxa"/>
              <w:left w:w="0" w:type="dxa"/>
              <w:bottom w:w="0" w:type="dxa"/>
              <w:right w:w="0" w:type="dxa"/>
            </w:tcMar>
            <w:vAlign w:val="center"/>
          </w:tcPr>
          <w:p>
            <w:pPr>
              <w:pStyle w:val="TableContents"/>
              <w:bidi w:val="0"/>
              <w:spacing w:before="0" w:after="283"/>
              <w:jc w:val="right"/>
              <w:rPr>
                <w:b/>
              </w:rPr>
            </w:pPr>
            <w:r>
              <w:rPr>
                <w:b/>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b/>
              </w:rPr>
            </w:pPr>
            <w:r>
              <w:rPr>
                <w:b/>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EFF" w:val="clear"/>
            <w:tcMar>
              <w:top w:w="0" w:type="dxa"/>
              <w:left w:w="0" w:type="dxa"/>
              <w:bottom w:w="0" w:type="dxa"/>
              <w:right w:w="0" w:type="dxa"/>
            </w:tcMar>
            <w:vAlign w:val="center"/>
          </w:tcPr>
          <w:p>
            <w:pPr>
              <w:pStyle w:val="TableContents"/>
              <w:bidi w:val="0"/>
              <w:spacing w:before="0" w:after="283"/>
              <w:jc w:val="right"/>
              <w:rPr>
                <w:b/>
              </w:rPr>
            </w:pPr>
            <w:r>
              <w:rPr>
                <w:b/>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1186" w:type="dxa"/>
            <w:tcBorders/>
            <w:shd w:fill="CCEEFF" w:val="clear"/>
            <w:vAlign w:val="center"/>
          </w:tcPr>
          <w:p>
            <w:pPr>
              <w:pStyle w:val="TableContents"/>
              <w:bidi w:val="0"/>
              <w:spacing w:before="0" w:after="283"/>
              <w:jc w:val="right"/>
              <w:rPr/>
            </w:pPr>
            <w:r>
              <w:rPr/>
              <w:t>105,326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1456" w:type="dxa"/>
            <w:tcBorders/>
            <w:shd w:fill="CCEEFF" w:val="clear"/>
            <w:vAlign w:val="center"/>
          </w:tcPr>
          <w:p>
            <w:pPr>
              <w:pStyle w:val="TableContents"/>
              <w:bidi w:val="0"/>
              <w:spacing w:before="0" w:after="283"/>
              <w:jc w:val="right"/>
              <w:rPr/>
            </w:pPr>
            <w:r>
              <w:rPr/>
              <w:t>(105,081</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1426" w:type="dxa"/>
            <w:tcBorders/>
            <w:shd w:fill="CCEEFF" w:val="clear"/>
            <w:vAlign w:val="center"/>
          </w:tcPr>
          <w:p>
            <w:pPr>
              <w:pStyle w:val="TableContents"/>
              <w:bidi w:val="0"/>
              <w:spacing w:before="0" w:after="283"/>
              <w:jc w:val="right"/>
              <w:rPr/>
            </w:pPr>
            <w:r>
              <w:rPr/>
              <w:t>250</w:t>
            </w:r>
          </w:p>
        </w:tc>
        <w:tc>
          <w:tcPr>
            <w:tcW w:w="286" w:type="dxa"/>
            <w:tcBorders/>
            <w:shd w:fill="CCEEFF" w:val="clear"/>
            <w:vAlign w:val="center"/>
          </w:tcPr>
          <w:p>
            <w:pPr>
              <w:pStyle w:val="TableContents"/>
              <w:bidi w:val="0"/>
              <w:spacing w:before="0" w:after="283"/>
              <w:jc w:val="left"/>
              <w:rPr/>
            </w:pPr>
            <w:r>
              <w:rPr/>
              <w:t> </w:t>
            </w:r>
          </w:p>
        </w:tc>
      </w:tr>
      <w:tr>
        <w:trPr/>
        <w:tc>
          <w:tcPr>
            <w:tcW w:w="1606" w:type="dxa"/>
            <w:tcBorders/>
            <w:vAlign w:val="center"/>
          </w:tcPr>
          <w:p>
            <w:pPr>
              <w:pStyle w:val="TableContents"/>
              <w:bidi w:val="0"/>
              <w:spacing w:before="0" w:after="283"/>
              <w:jc w:val="left"/>
              <w:rPr/>
            </w:pPr>
            <w:r>
              <w:rPr/>
              <w:t>Share-based compensation expense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right"/>
              <w:rPr/>
            </w:pP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right"/>
              <w:rPr/>
            </w:pP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right"/>
              <w:rPr>
                <w:b/>
              </w:rPr>
            </w:pPr>
            <w:r>
              <w:rPr>
                <w:b/>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b/>
              </w:rPr>
            </w:pPr>
            <w:r>
              <w:rPr>
                <w:b/>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right"/>
              <w:rPr>
                <w:b/>
              </w:rPr>
            </w:pPr>
            <w:r>
              <w:rPr>
                <w:b/>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1,665</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right"/>
              <w:rPr/>
            </w:pPr>
            <w:r>
              <w:rPr/>
              <w:t xml:space="preserve">-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26" w:type="dxa"/>
            <w:tcBorders/>
            <w:vAlign w:val="center"/>
          </w:tcPr>
          <w:p>
            <w:pPr>
              <w:pStyle w:val="TableContents"/>
              <w:bidi w:val="0"/>
              <w:spacing w:before="0" w:after="283"/>
              <w:jc w:val="right"/>
              <w:rPr/>
            </w:pPr>
            <w:r>
              <w:rPr/>
              <w:t>1,665</w:t>
            </w:r>
          </w:p>
        </w:tc>
        <w:tc>
          <w:tcPr>
            <w:tcW w:w="286" w:type="dxa"/>
            <w:tcBorders/>
            <w:vAlign w:val="center"/>
          </w:tcPr>
          <w:p>
            <w:pPr>
              <w:pStyle w:val="TableContents"/>
              <w:bidi w:val="0"/>
              <w:spacing w:before="0" w:after="283"/>
              <w:jc w:val="left"/>
              <w:rPr/>
            </w:pPr>
            <w:r>
              <w:rPr/>
              <w:t> </w:t>
            </w:r>
          </w:p>
        </w:tc>
      </w:tr>
      <w:tr>
        <w:trPr/>
        <w:tc>
          <w:tcPr>
            <w:tcW w:w="1606" w:type="dxa"/>
            <w:tcBorders/>
            <w:shd w:fill="CCEEFF" w:val="clear"/>
            <w:vAlign w:val="center"/>
          </w:tcPr>
          <w:p>
            <w:pPr>
              <w:pStyle w:val="TableContents"/>
              <w:bidi w:val="0"/>
              <w:spacing w:before="0" w:after="283"/>
              <w:jc w:val="left"/>
              <w:rPr/>
            </w:pPr>
            <w:r>
              <w:rPr/>
              <w:t>Dividends on convertible preferred stock</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CEEFF" w:val="clear"/>
            <w:tcMar>
              <w:top w:w="0" w:type="dxa"/>
              <w:left w:w="0" w:type="dxa"/>
              <w:bottom w:w="0" w:type="dxa"/>
              <w:right w:w="0" w:type="dxa"/>
            </w:tcMar>
            <w:vAlign w:val="center"/>
          </w:tcPr>
          <w:p>
            <w:pPr>
              <w:pStyle w:val="TableContents"/>
              <w:bidi w:val="0"/>
              <w:spacing w:before="0" w:after="283"/>
              <w:jc w:val="right"/>
              <w:rPr/>
            </w:pPr>
            <w:r>
              <w:rPr/>
              <w:t>113,205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EFF" w:val="clear"/>
            <w:tcMar>
              <w:top w:w="0" w:type="dxa"/>
              <w:left w:w="0" w:type="dxa"/>
              <w:bottom w:w="0" w:type="dxa"/>
              <w:right w:w="0" w:type="dxa"/>
            </w:tcMar>
            <w:vAlign w:val="center"/>
          </w:tcPr>
          <w:p>
            <w:pPr>
              <w:pStyle w:val="TableContents"/>
              <w:bidi w:val="0"/>
              <w:spacing w:before="0" w:after="283"/>
              <w:jc w:val="right"/>
              <w:rPr/>
            </w:pPr>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pPr>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EFF" w:val="clear"/>
            <w:tcMar>
              <w:top w:w="0" w:type="dxa"/>
              <w:left w:w="0" w:type="dxa"/>
              <w:bottom w:w="0" w:type="dxa"/>
              <w:right w:w="0" w:type="dxa"/>
            </w:tcMar>
            <w:vAlign w:val="center"/>
          </w:tcPr>
          <w:p>
            <w:pPr>
              <w:pStyle w:val="TableContents"/>
              <w:bidi w:val="0"/>
              <w:spacing w:before="0" w:after="283"/>
              <w:jc w:val="right"/>
              <w:rPr>
                <w:b/>
              </w:rPr>
            </w:pPr>
            <w:r>
              <w:rPr>
                <w:b/>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b/>
              </w:rPr>
            </w:pPr>
            <w:r>
              <w:rPr>
                <w:b/>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EFF" w:val="clear"/>
            <w:tcMar>
              <w:top w:w="0" w:type="dxa"/>
              <w:left w:w="0" w:type="dxa"/>
              <w:bottom w:w="0" w:type="dxa"/>
              <w:right w:w="0" w:type="dxa"/>
            </w:tcMar>
            <w:vAlign w:val="center"/>
          </w:tcPr>
          <w:p>
            <w:pPr>
              <w:pStyle w:val="TableContents"/>
              <w:bidi w:val="0"/>
              <w:spacing w:before="0" w:after="283"/>
              <w:jc w:val="right"/>
              <w:rPr>
                <w:b/>
              </w:rPr>
            </w:pPr>
            <w:r>
              <w:rPr>
                <w:b/>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164</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(164</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426" w:type="dxa"/>
            <w:tcBorders/>
            <w:shd w:fill="CCEEFF" w:val="clear"/>
            <w:vAlign w:val="center"/>
          </w:tcPr>
          <w:p>
            <w:pPr>
              <w:pStyle w:val="TableContents"/>
              <w:bidi w:val="0"/>
              <w:spacing w:before="0" w:after="283"/>
              <w:jc w:val="right"/>
              <w:rPr/>
            </w:pPr>
            <w:r>
              <w:rPr/>
              <w:t xml:space="preserve">- </w:t>
            </w:r>
          </w:p>
        </w:tc>
        <w:tc>
          <w:tcPr>
            <w:tcW w:w="286" w:type="dxa"/>
            <w:tcBorders/>
            <w:shd w:fill="CCEEFF" w:val="clear"/>
            <w:vAlign w:val="center"/>
          </w:tcPr>
          <w:p>
            <w:pPr>
              <w:pStyle w:val="TableContents"/>
              <w:bidi w:val="0"/>
              <w:spacing w:before="0" w:after="283"/>
              <w:jc w:val="left"/>
              <w:rPr/>
            </w:pPr>
            <w:r>
              <w:rPr/>
              <w:t> </w:t>
            </w:r>
          </w:p>
        </w:tc>
      </w:tr>
      <w:tr>
        <w:trPr/>
        <w:tc>
          <w:tcPr>
            <w:tcW w:w="1606" w:type="dxa"/>
            <w:tcBorders/>
            <w:vAlign w:val="center"/>
          </w:tcPr>
          <w:p>
            <w:pPr>
              <w:pStyle w:val="TableContents"/>
              <w:bidi w:val="0"/>
              <w:spacing w:before="0" w:after="283"/>
              <w:jc w:val="left"/>
              <w:rPr/>
            </w:pPr>
            <w:r>
              <w:rPr/>
              <w:t>Common Stock issued upon vesting of restricted stock units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right"/>
              <w:rPr/>
            </w:pPr>
            <w:r>
              <w:rPr/>
              <w:t>63,199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right"/>
              <w:rPr/>
            </w:pP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right"/>
              <w:rPr>
                <w:b/>
              </w:rPr>
            </w:pPr>
            <w:r>
              <w:rPr>
                <w:b/>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b/>
              </w:rPr>
            </w:pPr>
            <w:r>
              <w:rPr>
                <w:b/>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right"/>
              <w:rPr>
                <w:b/>
              </w:rPr>
            </w:pPr>
            <w:r>
              <w:rPr>
                <w:b/>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 xml:space="preserve">-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right"/>
              <w:rPr/>
            </w:pPr>
            <w:r>
              <w:rPr/>
              <w:t xml:space="preserve">-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26" w:type="dxa"/>
            <w:tcBorders/>
            <w:vAlign w:val="center"/>
          </w:tcPr>
          <w:p>
            <w:pPr>
              <w:pStyle w:val="TableContents"/>
              <w:bidi w:val="0"/>
              <w:spacing w:before="0" w:after="283"/>
              <w:jc w:val="right"/>
              <w:rPr/>
            </w:pPr>
            <w:r>
              <w:rPr/>
              <w:t xml:space="preserve">- </w:t>
            </w:r>
          </w:p>
        </w:tc>
        <w:tc>
          <w:tcPr>
            <w:tcW w:w="286" w:type="dxa"/>
            <w:tcBorders/>
            <w:vAlign w:val="center"/>
          </w:tcPr>
          <w:p>
            <w:pPr>
              <w:pStyle w:val="TableContents"/>
              <w:bidi w:val="0"/>
              <w:spacing w:before="0" w:after="283"/>
              <w:jc w:val="left"/>
              <w:rPr/>
            </w:pPr>
            <w:r>
              <w:rPr/>
              <w:t> </w:t>
            </w:r>
          </w:p>
        </w:tc>
      </w:tr>
      <w:tr>
        <w:trPr/>
        <w:tc>
          <w:tcPr>
            <w:tcW w:w="1606" w:type="dxa"/>
            <w:tcBorders/>
            <w:shd w:fill="CCEEFF" w:val="clear"/>
            <w:vAlign w:val="center"/>
          </w:tcPr>
          <w:p>
            <w:pPr>
              <w:pStyle w:val="TableContents"/>
              <w:bidi w:val="0"/>
              <w:spacing w:before="0" w:after="283"/>
              <w:jc w:val="left"/>
              <w:rPr/>
            </w:pPr>
            <w:r>
              <w:rPr/>
              <w:t>Common Stock issued — Private Placement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CEEFF" w:val="clear"/>
            <w:tcMar>
              <w:top w:w="0" w:type="dxa"/>
              <w:left w:w="0" w:type="dxa"/>
              <w:bottom w:w="0" w:type="dxa"/>
              <w:right w:w="0" w:type="dxa"/>
            </w:tcMar>
            <w:vAlign w:val="center"/>
          </w:tcPr>
          <w:p>
            <w:pPr>
              <w:pStyle w:val="TableContents"/>
              <w:bidi w:val="0"/>
              <w:spacing w:before="0" w:after="283"/>
              <w:jc w:val="right"/>
              <w:rPr/>
            </w:pPr>
            <w:r>
              <w:rPr/>
              <w:t>3,216,666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EFF" w:val="clear"/>
            <w:tcMar>
              <w:top w:w="0" w:type="dxa"/>
              <w:left w:w="0" w:type="dxa"/>
              <w:bottom w:w="0" w:type="dxa"/>
              <w:right w:w="0" w:type="dxa"/>
            </w:tcMar>
            <w:vAlign w:val="center"/>
          </w:tcPr>
          <w:p>
            <w:pPr>
              <w:pStyle w:val="TableContents"/>
              <w:bidi w:val="0"/>
              <w:spacing w:before="0" w:after="283"/>
              <w:jc w:val="right"/>
              <w:rPr/>
            </w:pPr>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pPr>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EFF" w:val="clear"/>
            <w:tcMar>
              <w:top w:w="0" w:type="dxa"/>
              <w:left w:w="0" w:type="dxa"/>
              <w:bottom w:w="0" w:type="dxa"/>
              <w:right w:w="0" w:type="dxa"/>
            </w:tcMar>
            <w:vAlign w:val="center"/>
          </w:tcPr>
          <w:p>
            <w:pPr>
              <w:pStyle w:val="TableContents"/>
              <w:bidi w:val="0"/>
              <w:spacing w:before="0" w:after="283"/>
              <w:jc w:val="right"/>
              <w:rPr>
                <w:b/>
              </w:rPr>
            </w:pPr>
            <w:r>
              <w:rPr>
                <w:b/>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b/>
              </w:rPr>
            </w:pPr>
            <w:r>
              <w:rPr>
                <w:b/>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EFF" w:val="clear"/>
            <w:tcMar>
              <w:top w:w="0" w:type="dxa"/>
              <w:left w:w="0" w:type="dxa"/>
              <w:bottom w:w="0" w:type="dxa"/>
              <w:right w:w="0" w:type="dxa"/>
            </w:tcMar>
            <w:vAlign w:val="center"/>
          </w:tcPr>
          <w:p>
            <w:pPr>
              <w:pStyle w:val="TableContents"/>
              <w:bidi w:val="0"/>
              <w:spacing w:before="0" w:after="283"/>
              <w:jc w:val="right"/>
              <w:rPr>
                <w:b/>
              </w:rPr>
            </w:pPr>
            <w:r>
              <w:rPr>
                <w:b/>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543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 xml:space="preserve">- </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426" w:type="dxa"/>
            <w:tcBorders/>
            <w:shd w:fill="CCEEFF" w:val="clear"/>
            <w:vAlign w:val="center"/>
          </w:tcPr>
          <w:p>
            <w:pPr>
              <w:pStyle w:val="TableContents"/>
              <w:bidi w:val="0"/>
              <w:spacing w:before="0" w:after="283"/>
              <w:jc w:val="right"/>
              <w:rPr/>
            </w:pPr>
            <w:r>
              <w:rPr/>
              <w:t>543</w:t>
            </w:r>
          </w:p>
        </w:tc>
        <w:tc>
          <w:tcPr>
            <w:tcW w:w="286" w:type="dxa"/>
            <w:tcBorders/>
            <w:shd w:fill="CCEEFF" w:val="clear"/>
            <w:vAlign w:val="center"/>
          </w:tcPr>
          <w:p>
            <w:pPr>
              <w:pStyle w:val="TableContents"/>
              <w:bidi w:val="0"/>
              <w:spacing w:before="0" w:after="283"/>
              <w:jc w:val="left"/>
              <w:rPr/>
            </w:pPr>
            <w:r>
              <w:rPr/>
              <w:t> </w:t>
            </w:r>
          </w:p>
        </w:tc>
      </w:tr>
      <w:tr>
        <w:trPr/>
        <w:tc>
          <w:tcPr>
            <w:tcW w:w="1606" w:type="dxa"/>
            <w:tcBorders/>
            <w:vAlign w:val="center"/>
          </w:tcPr>
          <w:p>
            <w:pPr>
              <w:pStyle w:val="TableContents"/>
              <w:bidi w:val="0"/>
              <w:spacing w:before="0" w:after="283"/>
              <w:jc w:val="left"/>
              <w:rPr/>
            </w:pPr>
            <w:r>
              <w:rPr/>
              <w:t>Net income for the period</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xml:space="preserve">-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xml:space="preserve">-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xml:space="preserve">-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6" w:space="0" w:color="000000"/>
            </w:tcBorders>
            <w:tcMar>
              <w:top w:w="0" w:type="dxa"/>
              <w:left w:w="0" w:type="dxa"/>
              <w:right w:w="0" w:type="dxa"/>
            </w:tcMar>
            <w:vAlign w:val="center"/>
          </w:tcPr>
          <w:p>
            <w:pPr>
              <w:pStyle w:val="TableContents"/>
              <w:bidi w:val="0"/>
              <w:spacing w:before="0" w:after="283"/>
              <w:jc w:val="right"/>
              <w:rPr>
                <w:b/>
              </w:rPr>
            </w:pPr>
            <w:r>
              <w:rPr>
                <w:b/>
              </w:rPr>
              <w:t xml:space="preserve">-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6" w:space="0" w:color="000000"/>
            </w:tcBorders>
            <w:tcMar>
              <w:top w:w="0" w:type="dxa"/>
              <w:left w:w="0" w:type="dxa"/>
              <w:right w:w="0" w:type="dxa"/>
            </w:tcMar>
            <w:vAlign w:val="center"/>
          </w:tcPr>
          <w:p>
            <w:pPr>
              <w:pStyle w:val="TableContents"/>
              <w:bidi w:val="0"/>
              <w:spacing w:before="0" w:after="283"/>
              <w:jc w:val="right"/>
              <w:rPr>
                <w:b/>
              </w:rPr>
            </w:pPr>
            <w:r>
              <w:rPr>
                <w:b/>
              </w:rPr>
              <w:t xml:space="preserve">-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6" w:space="0" w:color="000000"/>
            </w:tcBorders>
            <w:tcMar>
              <w:top w:w="0" w:type="dxa"/>
              <w:left w:w="0" w:type="dxa"/>
              <w:right w:w="0" w:type="dxa"/>
            </w:tcMar>
            <w:vAlign w:val="center"/>
          </w:tcPr>
          <w:p>
            <w:pPr>
              <w:pStyle w:val="TableContents"/>
              <w:bidi w:val="0"/>
              <w:spacing w:before="0" w:after="283"/>
              <w:jc w:val="right"/>
              <w:rPr>
                <w:b/>
              </w:rPr>
            </w:pPr>
            <w:r>
              <w:rPr>
                <w:b/>
              </w:rPr>
              <w:t xml:space="preserve">-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xml:space="preserve">-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109</w:t>
            </w:r>
          </w:p>
        </w:tc>
        <w:tc>
          <w:tcPr>
            <w:tcW w:w="24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109</w:t>
            </w:r>
          </w:p>
        </w:tc>
        <w:tc>
          <w:tcPr>
            <w:tcW w:w="28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06" w:type="dxa"/>
            <w:tcBorders/>
            <w:shd w:fill="CCEEFF" w:val="clear"/>
            <w:vAlign w:val="center"/>
          </w:tcPr>
          <w:p>
            <w:pPr>
              <w:pStyle w:val="TableContents"/>
              <w:bidi w:val="0"/>
              <w:spacing w:before="0" w:after="283"/>
              <w:jc w:val="left"/>
              <w:rPr/>
            </w:pPr>
            <w:r>
              <w:rPr/>
              <w:t>Balance at March 31,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CEEFF" w:val="clear"/>
            <w:tcMar>
              <w:top w:w="0" w:type="dxa"/>
              <w:left w:w="0" w:type="dxa"/>
              <w:bottom w:w="0" w:type="dxa"/>
              <w:right w:w="0" w:type="dxa"/>
            </w:tcMar>
            <w:vAlign w:val="center"/>
          </w:tcPr>
          <w:p>
            <w:pPr>
              <w:pStyle w:val="TableContents"/>
              <w:bidi w:val="0"/>
              <w:spacing w:before="0" w:after="283"/>
              <w:jc w:val="right"/>
              <w:rPr/>
            </w:pPr>
            <w:r>
              <w:rPr/>
              <w:t>50,494,701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w:t>
            </w:r>
          </w:p>
        </w:tc>
        <w:tc>
          <w:tcPr>
            <w:tcW w:w="946" w:type="dxa"/>
            <w:tcBorders/>
            <w:shd w:fill="CCEEFF" w:val="clear"/>
            <w:tcMar>
              <w:top w:w="0" w:type="dxa"/>
              <w:left w:w="0" w:type="dxa"/>
              <w:bottom w:w="0" w:type="dxa"/>
              <w:right w:w="0" w:type="dxa"/>
            </w:tcMar>
            <w:vAlign w:val="center"/>
          </w:tcPr>
          <w:p>
            <w:pPr>
              <w:pStyle w:val="TableContents"/>
              <w:bidi w:val="0"/>
              <w:spacing w:before="0" w:after="283"/>
              <w:jc w:val="right"/>
              <w:rPr/>
            </w:pPr>
            <w:r>
              <w:rPr/>
              <w:t>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pPr>
            <w:r>
              <w:rPr/>
              <w:t>8,207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b/>
              </w:rPr>
            </w:pPr>
            <w:r>
              <w:rPr>
                <w:b/>
              </w:rPr>
              <w:t>$</w:t>
            </w:r>
          </w:p>
        </w:tc>
        <w:tc>
          <w:tcPr>
            <w:tcW w:w="946" w:type="dxa"/>
            <w:tcBorders/>
            <w:shd w:fill="CCEEFF" w:val="clear"/>
            <w:tcMar>
              <w:top w:w="0" w:type="dxa"/>
              <w:left w:w="0" w:type="dxa"/>
              <w:bottom w:w="0" w:type="dxa"/>
              <w:right w:w="0" w:type="dxa"/>
            </w:tcMar>
            <w:vAlign w:val="center"/>
          </w:tcPr>
          <w:p>
            <w:pPr>
              <w:pStyle w:val="TableContents"/>
              <w:bidi w:val="0"/>
              <w:spacing w:before="0" w:after="283"/>
              <w:jc w:val="right"/>
              <w:rPr>
                <w:b/>
              </w:rPr>
            </w:pPr>
            <w:r>
              <w:rPr>
                <w:b/>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b/>
              </w:rPr>
            </w:pPr>
            <w:r>
              <w:rPr>
                <w:b/>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b/>
              </w:rPr>
            </w:pPr>
            <w:r>
              <w:rPr>
                <w:b/>
              </w:rPr>
              <w:t>$</w:t>
            </w:r>
          </w:p>
        </w:tc>
        <w:tc>
          <w:tcPr>
            <w:tcW w:w="946" w:type="dxa"/>
            <w:tcBorders/>
            <w:shd w:fill="CCEEFF" w:val="clear"/>
            <w:tcMar>
              <w:top w:w="0" w:type="dxa"/>
              <w:left w:w="0" w:type="dxa"/>
              <w:bottom w:w="0" w:type="dxa"/>
              <w:right w:w="0" w:type="dxa"/>
            </w:tcMar>
            <w:vAlign w:val="center"/>
          </w:tcPr>
          <w:p>
            <w:pPr>
              <w:pStyle w:val="TableContents"/>
              <w:bidi w:val="0"/>
              <w:spacing w:before="0" w:after="283"/>
              <w:jc w:val="right"/>
              <w:rPr>
                <w:b/>
              </w:rPr>
            </w:pPr>
            <w:r>
              <w:rPr>
                <w:b/>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1186" w:type="dxa"/>
            <w:tcBorders/>
            <w:shd w:fill="CCEEFF" w:val="clear"/>
            <w:vAlign w:val="center"/>
          </w:tcPr>
          <w:p>
            <w:pPr>
              <w:pStyle w:val="TableContents"/>
              <w:bidi w:val="0"/>
              <w:spacing w:before="0" w:after="283"/>
              <w:jc w:val="right"/>
              <w:rPr/>
            </w:pPr>
            <w:r>
              <w:rPr/>
              <w:t>107,698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1456" w:type="dxa"/>
            <w:tcBorders/>
            <w:shd w:fill="CCEEFF" w:val="clear"/>
            <w:vAlign w:val="center"/>
          </w:tcPr>
          <w:p>
            <w:pPr>
              <w:pStyle w:val="TableContents"/>
              <w:bidi w:val="0"/>
              <w:spacing w:before="0" w:after="283"/>
              <w:jc w:val="right"/>
              <w:rPr/>
            </w:pPr>
            <w:r>
              <w:rPr/>
              <w:t>(105,136</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1426" w:type="dxa"/>
            <w:tcBorders/>
            <w:shd w:fill="CCEEFF" w:val="clear"/>
            <w:vAlign w:val="center"/>
          </w:tcPr>
          <w:p>
            <w:pPr>
              <w:pStyle w:val="TableContents"/>
              <w:bidi w:val="0"/>
              <w:spacing w:before="0" w:after="283"/>
              <w:jc w:val="right"/>
              <w:rPr/>
            </w:pPr>
            <w:r>
              <w:rPr/>
              <w:t>2,567</w:t>
            </w:r>
          </w:p>
        </w:tc>
        <w:tc>
          <w:tcPr>
            <w:tcW w:w="286" w:type="dxa"/>
            <w:tcBorders/>
            <w:shd w:fill="CCEEFF" w:val="clear"/>
            <w:vAlign w:val="center"/>
          </w:tcPr>
          <w:p>
            <w:pPr>
              <w:pStyle w:val="TableContents"/>
              <w:bidi w:val="0"/>
              <w:spacing w:before="0" w:after="283"/>
              <w:jc w:val="left"/>
              <w:rPr/>
            </w:pPr>
            <w:r>
              <w:rPr/>
              <w:t> </w:t>
            </w:r>
          </w:p>
        </w:tc>
      </w:tr>
      <w:tr>
        <w:trPr/>
        <w:tc>
          <w:tcPr>
            <w:tcW w:w="1606" w:type="dxa"/>
            <w:tcBorders/>
            <w:vAlign w:val="center"/>
          </w:tcPr>
          <w:p>
            <w:pPr>
              <w:pStyle w:val="TableContents"/>
              <w:bidi w:val="0"/>
              <w:spacing w:before="0" w:after="283"/>
              <w:jc w:val="left"/>
              <w:rPr/>
            </w:pPr>
            <w:r>
              <w:rPr/>
              <w:t>Share-based compensation expense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right"/>
              <w:rPr/>
            </w:pP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right"/>
              <w:rPr/>
            </w:pP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right"/>
              <w:rPr>
                <w:b/>
              </w:rPr>
            </w:pPr>
            <w:r>
              <w:rPr>
                <w:b/>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b/>
              </w:rPr>
            </w:pPr>
            <w:r>
              <w:rPr>
                <w:b/>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right"/>
              <w:rPr>
                <w:b/>
              </w:rPr>
            </w:pPr>
            <w:r>
              <w:rPr>
                <w:b/>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770</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right"/>
              <w:rPr/>
            </w:pPr>
            <w:r>
              <w:rPr/>
              <w:t xml:space="preserve">-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26" w:type="dxa"/>
            <w:tcBorders/>
            <w:vAlign w:val="center"/>
          </w:tcPr>
          <w:p>
            <w:pPr>
              <w:pStyle w:val="TableContents"/>
              <w:bidi w:val="0"/>
              <w:spacing w:before="0" w:after="283"/>
              <w:jc w:val="right"/>
              <w:rPr/>
            </w:pPr>
            <w:r>
              <w:rPr/>
              <w:t>770</w:t>
            </w:r>
          </w:p>
        </w:tc>
        <w:tc>
          <w:tcPr>
            <w:tcW w:w="286" w:type="dxa"/>
            <w:tcBorders/>
            <w:vAlign w:val="center"/>
          </w:tcPr>
          <w:p>
            <w:pPr>
              <w:pStyle w:val="TableContents"/>
              <w:bidi w:val="0"/>
              <w:spacing w:before="0" w:after="283"/>
              <w:jc w:val="left"/>
              <w:rPr/>
            </w:pPr>
            <w:r>
              <w:rPr/>
              <w:t> </w:t>
            </w:r>
          </w:p>
        </w:tc>
      </w:tr>
      <w:tr>
        <w:trPr/>
        <w:tc>
          <w:tcPr>
            <w:tcW w:w="1606" w:type="dxa"/>
            <w:tcBorders/>
            <w:shd w:fill="CCEEFF" w:val="clear"/>
            <w:vAlign w:val="center"/>
          </w:tcPr>
          <w:p>
            <w:pPr>
              <w:pStyle w:val="TableContents"/>
              <w:bidi w:val="0"/>
              <w:spacing w:before="0" w:after="283"/>
              <w:jc w:val="left"/>
              <w:rPr/>
            </w:pPr>
            <w:r>
              <w:rPr/>
              <w:t>Dividends on convertible preferred stock</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CEEFF" w:val="clear"/>
            <w:tcMar>
              <w:top w:w="0" w:type="dxa"/>
              <w:left w:w="0" w:type="dxa"/>
              <w:bottom w:w="0" w:type="dxa"/>
              <w:right w:w="0" w:type="dxa"/>
            </w:tcMar>
            <w:vAlign w:val="center"/>
          </w:tcPr>
          <w:p>
            <w:pPr>
              <w:pStyle w:val="TableContents"/>
              <w:bidi w:val="0"/>
              <w:spacing w:before="0" w:after="283"/>
              <w:jc w:val="right"/>
              <w:rPr/>
            </w:pPr>
            <w:r>
              <w:rPr/>
              <w:t>139,431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EFF" w:val="clear"/>
            <w:tcMar>
              <w:top w:w="0" w:type="dxa"/>
              <w:left w:w="0" w:type="dxa"/>
              <w:bottom w:w="0" w:type="dxa"/>
              <w:right w:w="0" w:type="dxa"/>
            </w:tcMar>
            <w:vAlign w:val="center"/>
          </w:tcPr>
          <w:p>
            <w:pPr>
              <w:pStyle w:val="TableContents"/>
              <w:bidi w:val="0"/>
              <w:spacing w:before="0" w:after="283"/>
              <w:jc w:val="right"/>
              <w:rPr/>
            </w:pPr>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pPr>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EFF" w:val="clear"/>
            <w:tcMar>
              <w:top w:w="0" w:type="dxa"/>
              <w:left w:w="0" w:type="dxa"/>
              <w:bottom w:w="0" w:type="dxa"/>
              <w:right w:w="0" w:type="dxa"/>
            </w:tcMar>
            <w:vAlign w:val="center"/>
          </w:tcPr>
          <w:p>
            <w:pPr>
              <w:pStyle w:val="TableContents"/>
              <w:bidi w:val="0"/>
              <w:spacing w:before="0" w:after="283"/>
              <w:jc w:val="right"/>
              <w:rPr>
                <w:b/>
              </w:rPr>
            </w:pPr>
            <w:r>
              <w:rPr>
                <w:b/>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b/>
              </w:rPr>
            </w:pPr>
            <w:r>
              <w:rPr>
                <w:b/>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EFF" w:val="clear"/>
            <w:tcMar>
              <w:top w:w="0" w:type="dxa"/>
              <w:left w:w="0" w:type="dxa"/>
              <w:bottom w:w="0" w:type="dxa"/>
              <w:right w:w="0" w:type="dxa"/>
            </w:tcMar>
            <w:vAlign w:val="center"/>
          </w:tcPr>
          <w:p>
            <w:pPr>
              <w:pStyle w:val="TableContents"/>
              <w:bidi w:val="0"/>
              <w:spacing w:before="0" w:after="283"/>
              <w:jc w:val="right"/>
              <w:rPr>
                <w:b/>
              </w:rPr>
            </w:pPr>
            <w:r>
              <w:rPr>
                <w:b/>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164</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(164</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426" w:type="dxa"/>
            <w:tcBorders/>
            <w:shd w:fill="CCEEFF" w:val="clear"/>
            <w:vAlign w:val="center"/>
          </w:tcPr>
          <w:p>
            <w:pPr>
              <w:pStyle w:val="TableContents"/>
              <w:bidi w:val="0"/>
              <w:spacing w:before="0" w:after="283"/>
              <w:jc w:val="right"/>
              <w:rPr/>
            </w:pPr>
            <w:r>
              <w:rPr/>
              <w:t xml:space="preserve">- </w:t>
            </w:r>
          </w:p>
        </w:tc>
        <w:tc>
          <w:tcPr>
            <w:tcW w:w="286" w:type="dxa"/>
            <w:tcBorders/>
            <w:shd w:fill="CCEEFF" w:val="clear"/>
            <w:vAlign w:val="center"/>
          </w:tcPr>
          <w:p>
            <w:pPr>
              <w:pStyle w:val="TableContents"/>
              <w:bidi w:val="0"/>
              <w:spacing w:before="0" w:after="283"/>
              <w:jc w:val="left"/>
              <w:rPr/>
            </w:pPr>
            <w:r>
              <w:rPr/>
              <w:t> </w:t>
            </w:r>
          </w:p>
        </w:tc>
      </w:tr>
      <w:tr>
        <w:trPr/>
        <w:tc>
          <w:tcPr>
            <w:tcW w:w="1606" w:type="dxa"/>
            <w:tcBorders/>
            <w:vAlign w:val="center"/>
          </w:tcPr>
          <w:p>
            <w:pPr>
              <w:pStyle w:val="TableContents"/>
              <w:bidi w:val="0"/>
              <w:spacing w:before="0" w:after="283"/>
              <w:jc w:val="left"/>
              <w:rPr/>
            </w:pPr>
            <w:r>
              <w:rPr/>
              <w:t>Common Stock issued upon vesting of restricted stock units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right"/>
              <w:rPr/>
            </w:pPr>
            <w:r>
              <w:rPr/>
              <w:t>94,403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right"/>
              <w:rPr/>
            </w:pP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right"/>
              <w:rPr>
                <w:b/>
              </w:rPr>
            </w:pPr>
            <w:r>
              <w:rPr>
                <w:b/>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b/>
              </w:rPr>
            </w:pPr>
            <w:r>
              <w:rPr>
                <w:b/>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right"/>
              <w:rPr>
                <w:b/>
              </w:rPr>
            </w:pPr>
            <w:r>
              <w:rPr>
                <w:b/>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 xml:space="preserve">-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right"/>
              <w:rPr/>
            </w:pPr>
            <w:r>
              <w:rPr/>
              <w:t xml:space="preserve">-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26" w:type="dxa"/>
            <w:tcBorders/>
            <w:vAlign w:val="center"/>
          </w:tcPr>
          <w:p>
            <w:pPr>
              <w:pStyle w:val="TableContents"/>
              <w:bidi w:val="0"/>
              <w:spacing w:before="0" w:after="283"/>
              <w:jc w:val="right"/>
              <w:rPr/>
            </w:pPr>
            <w:r>
              <w:rPr/>
              <w:t xml:space="preserve">- </w:t>
            </w:r>
          </w:p>
        </w:tc>
        <w:tc>
          <w:tcPr>
            <w:tcW w:w="286" w:type="dxa"/>
            <w:tcBorders/>
            <w:vAlign w:val="center"/>
          </w:tcPr>
          <w:p>
            <w:pPr>
              <w:pStyle w:val="TableContents"/>
              <w:bidi w:val="0"/>
              <w:spacing w:before="0" w:after="283"/>
              <w:jc w:val="left"/>
              <w:rPr/>
            </w:pPr>
            <w:r>
              <w:rPr/>
              <w:t> </w:t>
            </w:r>
          </w:p>
        </w:tc>
      </w:tr>
      <w:tr>
        <w:trPr/>
        <w:tc>
          <w:tcPr>
            <w:tcW w:w="1606" w:type="dxa"/>
            <w:tcBorders/>
            <w:shd w:fill="CCEEFF" w:val="clear"/>
            <w:vAlign w:val="center"/>
          </w:tcPr>
          <w:p>
            <w:pPr>
              <w:pStyle w:val="TableContents"/>
              <w:bidi w:val="0"/>
              <w:spacing w:before="0" w:after="283"/>
              <w:jc w:val="left"/>
              <w:rPr/>
            </w:pPr>
            <w:r>
              <w:rPr/>
              <w:t>Reclassification of warrant liability due to warrant amendment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CEEFF" w:val="clear"/>
            <w:tcMar>
              <w:top w:w="0" w:type="dxa"/>
              <w:left w:w="0" w:type="dxa"/>
              <w:bottom w:w="0" w:type="dxa"/>
              <w:right w:w="0" w:type="dxa"/>
            </w:tcMar>
            <w:vAlign w:val="center"/>
          </w:tcPr>
          <w:p>
            <w:pPr>
              <w:pStyle w:val="TableContents"/>
              <w:bidi w:val="0"/>
              <w:spacing w:before="0" w:after="283"/>
              <w:jc w:val="right"/>
              <w:rPr/>
            </w:pPr>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EFF" w:val="clear"/>
            <w:tcMar>
              <w:top w:w="0" w:type="dxa"/>
              <w:left w:w="0" w:type="dxa"/>
              <w:bottom w:w="0" w:type="dxa"/>
              <w:right w:w="0" w:type="dxa"/>
            </w:tcMar>
            <w:vAlign w:val="center"/>
          </w:tcPr>
          <w:p>
            <w:pPr>
              <w:pStyle w:val="TableContents"/>
              <w:bidi w:val="0"/>
              <w:spacing w:before="0" w:after="283"/>
              <w:jc w:val="right"/>
              <w:rPr/>
            </w:pPr>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pPr>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EFF" w:val="clear"/>
            <w:tcMar>
              <w:top w:w="0" w:type="dxa"/>
              <w:left w:w="0" w:type="dxa"/>
              <w:bottom w:w="0" w:type="dxa"/>
              <w:right w:w="0" w:type="dxa"/>
            </w:tcMar>
            <w:vAlign w:val="center"/>
          </w:tcPr>
          <w:p>
            <w:pPr>
              <w:pStyle w:val="TableContents"/>
              <w:bidi w:val="0"/>
              <w:spacing w:before="0" w:after="283"/>
              <w:jc w:val="right"/>
              <w:rPr>
                <w:b/>
              </w:rPr>
            </w:pPr>
            <w:r>
              <w:rPr>
                <w:b/>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b/>
              </w:rPr>
            </w:pPr>
            <w:r>
              <w:rPr>
                <w:b/>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EFF" w:val="clear"/>
            <w:tcMar>
              <w:top w:w="0" w:type="dxa"/>
              <w:left w:w="0" w:type="dxa"/>
              <w:bottom w:w="0" w:type="dxa"/>
              <w:right w:w="0" w:type="dxa"/>
            </w:tcMar>
            <w:vAlign w:val="center"/>
          </w:tcPr>
          <w:p>
            <w:pPr>
              <w:pStyle w:val="TableContents"/>
              <w:bidi w:val="0"/>
              <w:spacing w:before="0" w:after="283"/>
              <w:jc w:val="right"/>
              <w:rPr>
                <w:b/>
              </w:rPr>
            </w:pPr>
            <w:r>
              <w:rPr>
                <w:b/>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12,151</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 xml:space="preserve">- </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426" w:type="dxa"/>
            <w:tcBorders/>
            <w:shd w:fill="CCEEFF" w:val="clear"/>
            <w:vAlign w:val="center"/>
          </w:tcPr>
          <w:p>
            <w:pPr>
              <w:pStyle w:val="TableContents"/>
              <w:bidi w:val="0"/>
              <w:spacing w:before="0" w:after="283"/>
              <w:jc w:val="right"/>
              <w:rPr/>
            </w:pPr>
            <w:r>
              <w:rPr/>
              <w:t>12,151</w:t>
            </w:r>
          </w:p>
        </w:tc>
        <w:tc>
          <w:tcPr>
            <w:tcW w:w="286" w:type="dxa"/>
            <w:tcBorders/>
            <w:shd w:fill="CCEEFF" w:val="clear"/>
            <w:vAlign w:val="center"/>
          </w:tcPr>
          <w:p>
            <w:pPr>
              <w:pStyle w:val="TableContents"/>
              <w:bidi w:val="0"/>
              <w:spacing w:before="0" w:after="283"/>
              <w:jc w:val="left"/>
              <w:rPr/>
            </w:pPr>
            <w:r>
              <w:rPr/>
              <w:t> </w:t>
            </w:r>
          </w:p>
        </w:tc>
      </w:tr>
      <w:tr>
        <w:trPr/>
        <w:tc>
          <w:tcPr>
            <w:tcW w:w="1606" w:type="dxa"/>
            <w:tcBorders/>
            <w:vAlign w:val="center"/>
          </w:tcPr>
          <w:p>
            <w:pPr>
              <w:pStyle w:val="TableContents"/>
              <w:bidi w:val="0"/>
              <w:spacing w:before="0" w:after="283"/>
              <w:jc w:val="left"/>
              <w:rPr/>
            </w:pPr>
            <w:r>
              <w:rPr/>
              <w:t>Net loss</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xml:space="preserve">-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xml:space="preserve">-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xml:space="preserve">-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6" w:space="0" w:color="000000"/>
            </w:tcBorders>
            <w:tcMar>
              <w:top w:w="0" w:type="dxa"/>
              <w:left w:w="0" w:type="dxa"/>
              <w:right w:w="0" w:type="dxa"/>
            </w:tcMar>
            <w:vAlign w:val="center"/>
          </w:tcPr>
          <w:p>
            <w:pPr>
              <w:pStyle w:val="TableContents"/>
              <w:bidi w:val="0"/>
              <w:spacing w:before="0" w:after="283"/>
              <w:jc w:val="right"/>
              <w:rPr>
                <w:b/>
              </w:rPr>
            </w:pPr>
            <w:r>
              <w:rPr>
                <w:b/>
              </w:rPr>
              <w:t xml:space="preserve">-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6" w:space="0" w:color="000000"/>
            </w:tcBorders>
            <w:tcMar>
              <w:top w:w="0" w:type="dxa"/>
              <w:left w:w="0" w:type="dxa"/>
              <w:right w:w="0" w:type="dxa"/>
            </w:tcMar>
            <w:vAlign w:val="center"/>
          </w:tcPr>
          <w:p>
            <w:pPr>
              <w:pStyle w:val="TableContents"/>
              <w:bidi w:val="0"/>
              <w:spacing w:before="0" w:after="283"/>
              <w:jc w:val="right"/>
              <w:rPr>
                <w:b/>
              </w:rPr>
            </w:pPr>
            <w:r>
              <w:rPr>
                <w:b/>
              </w:rPr>
              <w:t xml:space="preserve">-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6" w:space="0" w:color="000000"/>
            </w:tcBorders>
            <w:tcMar>
              <w:top w:w="0" w:type="dxa"/>
              <w:left w:w="0" w:type="dxa"/>
              <w:right w:w="0" w:type="dxa"/>
            </w:tcMar>
            <w:vAlign w:val="center"/>
          </w:tcPr>
          <w:p>
            <w:pPr>
              <w:pStyle w:val="TableContents"/>
              <w:bidi w:val="0"/>
              <w:spacing w:before="0" w:after="283"/>
              <w:jc w:val="right"/>
              <w:rPr>
                <w:b/>
              </w:rPr>
            </w:pPr>
            <w:r>
              <w:rPr>
                <w:b/>
              </w:rPr>
              <w:t xml:space="preserve">-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xml:space="preserve">-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(3,727</w:t>
            </w:r>
          </w:p>
        </w:tc>
        <w:tc>
          <w:tcPr>
            <w:tcW w:w="24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(3,727</w:t>
            </w:r>
          </w:p>
        </w:tc>
        <w:tc>
          <w:tcPr>
            <w:tcW w:w="28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06" w:type="dxa"/>
            <w:tcBorders/>
            <w:shd w:fill="CCEEFF" w:val="clear"/>
            <w:vAlign w:val="center"/>
          </w:tcPr>
          <w:p>
            <w:pPr>
              <w:pStyle w:val="TableContents"/>
              <w:bidi w:val="0"/>
              <w:spacing w:before="0" w:after="283"/>
              <w:jc w:val="left"/>
              <w:rPr/>
            </w:pPr>
            <w:r>
              <w:rPr/>
              <w:t>Balance at June 30, 2025</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50,728,535</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9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5</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8,207</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b/>
              </w:rPr>
            </w:pPr>
            <w:r>
              <w:rPr>
                <w:b/>
              </w:rPr>
              <w:t>$</w:t>
            </w:r>
          </w:p>
        </w:tc>
        <w:tc>
          <w:tcPr>
            <w:tcW w:w="9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b/>
              </w:rPr>
            </w:pPr>
            <w:r>
              <w:rPr>
                <w:b/>
              </w:rPr>
              <w:t xml:space="preserve">-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b/>
              </w:rPr>
            </w:pPr>
            <w:r>
              <w:rPr>
                <w:b/>
              </w:rPr>
              <w:t xml:space="preserve">-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b/>
              </w:rPr>
            </w:pPr>
            <w:r>
              <w:rPr>
                <w:b/>
              </w:rPr>
              <w:t>$</w:t>
            </w:r>
          </w:p>
        </w:tc>
        <w:tc>
          <w:tcPr>
            <w:tcW w:w="9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b/>
              </w:rPr>
            </w:pPr>
            <w:r>
              <w:rPr>
                <w:b/>
              </w:rPr>
              <w:t xml:space="preserve">-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11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120,783</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145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(109,027</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14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11,761</w:t>
            </w:r>
          </w:p>
        </w:tc>
        <w:tc>
          <w:tcPr>
            <w:tcW w:w="2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accompanying notes are an integral part of these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Wrap Technologies, Inc.</w:t>
      </w:r>
    </w:p>
    <w:p>
      <w:pPr>
        <w:pStyle w:val="TextBody"/>
        <w:bidi w:val="0"/>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Condensed Consolidated Statements of Cash Flows</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thousands)</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tbl>
      <w:tblPr>
        <w:tblW w:w="9967" w:type="dxa"/>
        <w:jc w:val="left"/>
        <w:tblInd w:w="0" w:type="dxa"/>
        <w:tblLayout w:type="fixed"/>
        <w:tblCellMar>
          <w:top w:w="0" w:type="dxa"/>
          <w:left w:w="0" w:type="dxa"/>
          <w:bottom w:w="0" w:type="dxa"/>
          <w:right w:w="0" w:type="dxa"/>
        </w:tblCellMar>
      </w:tblPr>
      <w:tblGrid>
        <w:gridCol w:w="7070"/>
        <w:gridCol w:w="222"/>
        <w:gridCol w:w="868"/>
        <w:gridCol w:w="241"/>
        <w:gridCol w:w="117"/>
        <w:gridCol w:w="222"/>
        <w:gridCol w:w="927"/>
        <w:gridCol w:w="300"/>
      </w:tblGrid>
      <w:tr>
        <w:trPr/>
        <w:tc>
          <w:tcPr>
            <w:tcW w:w="707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7070" w:type="dxa"/>
            <w:tcBorders/>
            <w:vAlign w:val="center"/>
          </w:tcPr>
          <w:p>
            <w:pPr>
              <w:pStyle w:val="TableContents"/>
              <w:bidi w:val="0"/>
              <w:spacing w:before="0" w:after="283"/>
              <w:jc w:val="left"/>
              <w:rPr/>
            </w:pPr>
            <w:r>
              <w:rPr/>
              <w:t> </w:t>
            </w:r>
          </w:p>
        </w:tc>
        <w:tc>
          <w:tcPr>
            <w:tcW w:w="2897" w:type="dxa"/>
            <w:gridSpan w:val="7"/>
            <w:tcBorders/>
            <w:vAlign w:val="center"/>
          </w:tcPr>
          <w:p>
            <w:pPr>
              <w:pStyle w:val="TableContents"/>
              <w:bidi w:val="0"/>
              <w:spacing w:before="0" w:after="283"/>
              <w:jc w:val="center"/>
              <w:rPr>
                <w:b/>
              </w:rPr>
            </w:pPr>
            <w:r>
              <w:rPr>
                <w:b/>
              </w:rPr>
              <w:t>Six Months Ended June 30,</w:t>
            </w:r>
          </w:p>
        </w:tc>
      </w:tr>
      <w:tr>
        <w:trPr/>
        <w:tc>
          <w:tcPr>
            <w:tcW w:w="7070" w:type="dxa"/>
            <w:tcBorders/>
            <w:vAlign w:val="center"/>
          </w:tcPr>
          <w:p>
            <w:pPr>
              <w:pStyle w:val="TableContents"/>
              <w:bidi w:val="0"/>
              <w:spacing w:before="0" w:after="283"/>
              <w:jc w:val="left"/>
              <w:rPr/>
            </w:pPr>
            <w:r>
              <w:rPr/>
              <w:t> </w:t>
            </w:r>
          </w:p>
        </w:tc>
        <w:tc>
          <w:tcPr>
            <w:tcW w:w="222" w:type="dxa"/>
            <w:tcBorders>
              <w:bottom w:val="single" w:sz="6" w:space="0" w:color="000000"/>
            </w:tcBorders>
            <w:tcMar>
              <w:bottom w:w="28" w:type="dxa"/>
            </w:tcMar>
            <w:vAlign w:val="center"/>
          </w:tcPr>
          <w:p>
            <w:pPr>
              <w:pStyle w:val="TableContents"/>
              <w:bidi w:val="0"/>
              <w:spacing w:before="0" w:after="283"/>
              <w:jc w:val="left"/>
              <w:rPr/>
            </w:pPr>
            <w:r>
              <w:rPr/>
              <w:t> </w:t>
            </w:r>
          </w:p>
        </w:tc>
        <w:tc>
          <w:tcPr>
            <w:tcW w:w="868"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241" w:type="dxa"/>
            <w:tcBorders>
              <w:bottom w:val="single" w:sz="6" w:space="0" w:color="000000"/>
            </w:tcBorders>
            <w:tcMar>
              <w:bottom w:w="28" w:type="dxa"/>
            </w:tcMar>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bottom w:val="single" w:sz="6" w:space="0" w:color="000000"/>
            </w:tcBorders>
            <w:tcMar>
              <w:bottom w:w="28" w:type="dxa"/>
            </w:tcMar>
            <w:vAlign w:val="center"/>
          </w:tcPr>
          <w:p>
            <w:pPr>
              <w:pStyle w:val="TableContents"/>
              <w:bidi w:val="0"/>
              <w:spacing w:before="0" w:after="283"/>
              <w:jc w:val="left"/>
              <w:rPr/>
            </w:pPr>
            <w:r>
              <w:rPr/>
              <w:t> </w:t>
            </w:r>
          </w:p>
        </w:tc>
        <w:tc>
          <w:tcPr>
            <w:tcW w:w="927"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30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283"/>
              <w:jc w:val="left"/>
              <w:rPr/>
            </w:pPr>
            <w:r>
              <w:rPr/>
              <w:t>Cash Flows From Operating Activities:</w:t>
            </w:r>
          </w:p>
        </w:tc>
        <w:tc>
          <w:tcPr>
            <w:tcW w:w="222"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283"/>
              <w:jc w:val="left"/>
              <w:rPr/>
            </w:pPr>
            <w:r>
              <w:rPr/>
              <w:t>Net loss</w:t>
            </w:r>
          </w:p>
        </w:tc>
        <w:tc>
          <w:tcPr>
            <w:tcW w:w="222" w:type="dxa"/>
            <w:tcBorders/>
            <w:shd w:fill="CCEEFF" w:val="clear"/>
            <w:vAlign w:val="center"/>
          </w:tcPr>
          <w:p>
            <w:pPr>
              <w:pStyle w:val="TableContents"/>
              <w:bidi w:val="0"/>
              <w:spacing w:before="0" w:after="283"/>
              <w:jc w:val="left"/>
              <w:rPr/>
            </w:pPr>
            <w:r>
              <w:rPr/>
              <w:t>$</w:t>
            </w:r>
          </w:p>
        </w:tc>
        <w:tc>
          <w:tcPr>
            <w:tcW w:w="868" w:type="dxa"/>
            <w:tcBorders/>
            <w:shd w:fill="CCEEFF" w:val="clear"/>
            <w:vAlign w:val="center"/>
          </w:tcPr>
          <w:p>
            <w:pPr>
              <w:pStyle w:val="TableContents"/>
              <w:bidi w:val="0"/>
              <w:spacing w:before="0" w:after="283"/>
              <w:jc w:val="right"/>
              <w:rPr/>
            </w:pPr>
            <w:r>
              <w:rPr/>
              <w:t>(6,797</w:t>
            </w:r>
          </w:p>
        </w:tc>
        <w:tc>
          <w:tcPr>
            <w:tcW w:w="241"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927" w:type="dxa"/>
            <w:tcBorders/>
            <w:shd w:fill="CCEEFF" w:val="clear"/>
            <w:vAlign w:val="center"/>
          </w:tcPr>
          <w:p>
            <w:pPr>
              <w:pStyle w:val="TableContents"/>
              <w:bidi w:val="0"/>
              <w:spacing w:before="0" w:after="283"/>
              <w:jc w:val="right"/>
              <w:rPr/>
            </w:pPr>
            <w:r>
              <w:rPr/>
              <w:t>(3,618</w:t>
            </w:r>
          </w:p>
        </w:tc>
        <w:tc>
          <w:tcPr>
            <w:tcW w:w="300" w:type="dxa"/>
            <w:tcBorders/>
            <w:shd w:fill="CCEEFF" w:val="clear"/>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283"/>
              <w:jc w:val="left"/>
              <w:rPr/>
            </w:pPr>
            <w:r>
              <w:rPr/>
              <w:t>Adjustments to reconcile net loss to net cash used in operating activities:</w:t>
            </w:r>
          </w:p>
        </w:tc>
        <w:tc>
          <w:tcPr>
            <w:tcW w:w="222"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283"/>
              <w:jc w:val="left"/>
              <w:rPr/>
            </w:pPr>
            <w:r>
              <w:rPr/>
              <w:t>Depreciation and amortization</w:t>
            </w:r>
          </w:p>
        </w:tc>
        <w:tc>
          <w:tcPr>
            <w:tcW w:w="222"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111</w:t>
            </w:r>
          </w:p>
        </w:tc>
        <w:tc>
          <w:tcPr>
            <w:tcW w:w="241"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304</w:t>
            </w:r>
          </w:p>
        </w:tc>
        <w:tc>
          <w:tcPr>
            <w:tcW w:w="300" w:type="dxa"/>
            <w:tcBorders/>
            <w:shd w:fill="CCEEFF" w:val="clear"/>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283"/>
              <w:jc w:val="left"/>
              <w:rPr/>
            </w:pPr>
            <w:r>
              <w:rPr/>
              <w:t>Share-based compensation</w:t>
            </w:r>
          </w:p>
        </w:tc>
        <w:tc>
          <w:tcPr>
            <w:tcW w:w="222"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jc w:val="right"/>
              <w:rPr/>
            </w:pPr>
            <w:r>
              <w:rPr/>
              <w:t>3,403</w:t>
            </w:r>
          </w:p>
        </w:tc>
        <w:tc>
          <w:tcPr>
            <w:tcW w:w="241"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2,435</w:t>
            </w:r>
          </w:p>
        </w:tc>
        <w:tc>
          <w:tcPr>
            <w:tcW w:w="300" w:type="dxa"/>
            <w:tcBorders/>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283"/>
              <w:jc w:val="left"/>
              <w:rPr/>
            </w:pPr>
            <w:r>
              <w:rPr/>
              <w:t>Common stock issued for professional services</w:t>
            </w:r>
          </w:p>
        </w:tc>
        <w:tc>
          <w:tcPr>
            <w:tcW w:w="222"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150</w:t>
            </w:r>
          </w:p>
        </w:tc>
        <w:tc>
          <w:tcPr>
            <w:tcW w:w="241"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 xml:space="preserve">- </w:t>
            </w:r>
          </w:p>
        </w:tc>
        <w:tc>
          <w:tcPr>
            <w:tcW w:w="300" w:type="dxa"/>
            <w:tcBorders/>
            <w:shd w:fill="CCEEFF" w:val="clear"/>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283"/>
              <w:jc w:val="left"/>
              <w:rPr/>
            </w:pPr>
            <w:r>
              <w:rPr/>
              <w:t>Warranty provision</w:t>
            </w:r>
          </w:p>
        </w:tc>
        <w:tc>
          <w:tcPr>
            <w:tcW w:w="222"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jc w:val="right"/>
              <w:rPr/>
            </w:pPr>
            <w:r>
              <w:rPr/>
              <w:t>31</w:t>
            </w:r>
          </w:p>
        </w:tc>
        <w:tc>
          <w:tcPr>
            <w:tcW w:w="241"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2</w:t>
            </w:r>
          </w:p>
        </w:tc>
        <w:tc>
          <w:tcPr>
            <w:tcW w:w="300" w:type="dxa"/>
            <w:tcBorders/>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283"/>
              <w:jc w:val="left"/>
              <w:rPr/>
            </w:pPr>
            <w:r>
              <w:rPr/>
              <w:t>Gain on lease termination</w:t>
            </w:r>
          </w:p>
        </w:tc>
        <w:tc>
          <w:tcPr>
            <w:tcW w:w="222"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(227</w:t>
            </w:r>
          </w:p>
        </w:tc>
        <w:tc>
          <w:tcPr>
            <w:tcW w:w="241"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 xml:space="preserve">- </w:t>
            </w:r>
          </w:p>
        </w:tc>
        <w:tc>
          <w:tcPr>
            <w:tcW w:w="300" w:type="dxa"/>
            <w:tcBorders/>
            <w:shd w:fill="CCEEFF" w:val="clear"/>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283"/>
              <w:jc w:val="left"/>
              <w:rPr/>
            </w:pPr>
            <w:r>
              <w:rPr/>
              <w:t>Change in fair value of warrant liabilities</w:t>
            </w:r>
          </w:p>
        </w:tc>
        <w:tc>
          <w:tcPr>
            <w:tcW w:w="222"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jc w:val="right"/>
              <w:rPr/>
            </w:pPr>
            <w:r>
              <w:rPr/>
              <w:t xml:space="preserve">- </w:t>
            </w:r>
          </w:p>
        </w:tc>
        <w:tc>
          <w:tcPr>
            <w:tcW w:w="241"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(3,158</w:t>
            </w:r>
          </w:p>
        </w:tc>
        <w:tc>
          <w:tcPr>
            <w:tcW w:w="300" w:type="dxa"/>
            <w:tcBorders/>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283"/>
              <w:jc w:val="left"/>
              <w:rPr/>
            </w:pPr>
            <w:r>
              <w:rPr/>
              <w:t>Non-cash lease expense</w:t>
            </w:r>
          </w:p>
        </w:tc>
        <w:tc>
          <w:tcPr>
            <w:tcW w:w="222"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75</w:t>
            </w:r>
          </w:p>
        </w:tc>
        <w:tc>
          <w:tcPr>
            <w:tcW w:w="241"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(199</w:t>
            </w:r>
          </w:p>
        </w:tc>
        <w:tc>
          <w:tcPr>
            <w:tcW w:w="300" w:type="dxa"/>
            <w:tcBorders/>
            <w:shd w:fill="CCEEFF" w:val="clear"/>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283"/>
              <w:jc w:val="left"/>
              <w:rPr/>
            </w:pPr>
            <w:r>
              <w:rPr/>
              <w:t>Provision for credit losses</w:t>
            </w:r>
          </w:p>
        </w:tc>
        <w:tc>
          <w:tcPr>
            <w:tcW w:w="222"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jc w:val="right"/>
              <w:rPr/>
            </w:pPr>
            <w:r>
              <w:rPr/>
              <w:t>76</w:t>
            </w:r>
          </w:p>
        </w:tc>
        <w:tc>
          <w:tcPr>
            <w:tcW w:w="241"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60</w:t>
            </w:r>
          </w:p>
        </w:tc>
        <w:tc>
          <w:tcPr>
            <w:tcW w:w="300" w:type="dxa"/>
            <w:tcBorders/>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283"/>
              <w:jc w:val="left"/>
              <w:rPr/>
            </w:pPr>
            <w:r>
              <w:rPr/>
              <w:t>Inventory obsolescence reserve</w:t>
            </w:r>
          </w:p>
        </w:tc>
        <w:tc>
          <w:tcPr>
            <w:tcW w:w="222"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73</w:t>
            </w:r>
          </w:p>
        </w:tc>
        <w:tc>
          <w:tcPr>
            <w:tcW w:w="241"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187</w:t>
            </w:r>
          </w:p>
        </w:tc>
        <w:tc>
          <w:tcPr>
            <w:tcW w:w="300" w:type="dxa"/>
            <w:tcBorders/>
            <w:shd w:fill="CCEEFF" w:val="clear"/>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283"/>
              <w:jc w:val="left"/>
              <w:rPr/>
            </w:pPr>
            <w:r>
              <w:rPr/>
              <w:t>Changes in assets and liabilities:</w:t>
            </w:r>
          </w:p>
        </w:tc>
        <w:tc>
          <w:tcPr>
            <w:tcW w:w="222"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283"/>
              <w:jc w:val="left"/>
              <w:rPr/>
            </w:pPr>
            <w:r>
              <w:rPr/>
              <w:t>Accounts receivable and contract assets</w:t>
            </w:r>
          </w:p>
        </w:tc>
        <w:tc>
          <w:tcPr>
            <w:tcW w:w="222"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jc w:val="right"/>
              <w:rPr/>
            </w:pPr>
            <w:r>
              <w:rPr/>
              <w:t>(667</w:t>
            </w:r>
          </w:p>
        </w:tc>
        <w:tc>
          <w:tcPr>
            <w:tcW w:w="241"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(453</w:t>
            </w:r>
          </w:p>
        </w:tc>
        <w:tc>
          <w:tcPr>
            <w:tcW w:w="300" w:type="dxa"/>
            <w:tcBorders/>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283"/>
              <w:jc w:val="left"/>
              <w:rPr/>
            </w:pPr>
            <w:r>
              <w:rPr/>
              <w:t>Inventories</w:t>
            </w:r>
          </w:p>
        </w:tc>
        <w:tc>
          <w:tcPr>
            <w:tcW w:w="222"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590</w:t>
            </w:r>
          </w:p>
        </w:tc>
        <w:tc>
          <w:tcPr>
            <w:tcW w:w="241"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79</w:t>
            </w:r>
          </w:p>
        </w:tc>
        <w:tc>
          <w:tcPr>
            <w:tcW w:w="300" w:type="dxa"/>
            <w:tcBorders/>
            <w:shd w:fill="CCEEFF" w:val="clear"/>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283"/>
              <w:jc w:val="left"/>
              <w:rPr/>
            </w:pPr>
            <w:r>
              <w:rPr/>
              <w:t>Prepaid expenses and other current assets</w:t>
            </w:r>
          </w:p>
        </w:tc>
        <w:tc>
          <w:tcPr>
            <w:tcW w:w="222"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jc w:val="right"/>
              <w:rPr/>
            </w:pPr>
            <w:r>
              <w:rPr/>
              <w:t>(535</w:t>
            </w:r>
          </w:p>
        </w:tc>
        <w:tc>
          <w:tcPr>
            <w:tcW w:w="241"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(156</w:t>
            </w:r>
          </w:p>
        </w:tc>
        <w:tc>
          <w:tcPr>
            <w:tcW w:w="300" w:type="dxa"/>
            <w:tcBorders/>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283"/>
              <w:jc w:val="left"/>
              <w:rPr/>
            </w:pPr>
            <w:r>
              <w:rPr/>
              <w:t>Accounts payable</w:t>
            </w:r>
          </w:p>
        </w:tc>
        <w:tc>
          <w:tcPr>
            <w:tcW w:w="222"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144</w:t>
            </w:r>
          </w:p>
        </w:tc>
        <w:tc>
          <w:tcPr>
            <w:tcW w:w="241"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(34</w:t>
            </w:r>
          </w:p>
        </w:tc>
        <w:tc>
          <w:tcPr>
            <w:tcW w:w="300" w:type="dxa"/>
            <w:tcBorders/>
            <w:shd w:fill="CCEEFF" w:val="clear"/>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283"/>
              <w:jc w:val="left"/>
              <w:rPr/>
            </w:pPr>
            <w:r>
              <w:rPr/>
              <w:t>Operating lease liabilities</w:t>
            </w:r>
          </w:p>
        </w:tc>
        <w:tc>
          <w:tcPr>
            <w:tcW w:w="222"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jc w:val="right"/>
              <w:rPr/>
            </w:pPr>
            <w:r>
              <w:rPr/>
              <w:t>(80</w:t>
            </w:r>
          </w:p>
        </w:tc>
        <w:tc>
          <w:tcPr>
            <w:tcW w:w="241"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197</w:t>
            </w:r>
          </w:p>
        </w:tc>
        <w:tc>
          <w:tcPr>
            <w:tcW w:w="300" w:type="dxa"/>
            <w:tcBorders/>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283"/>
              <w:jc w:val="left"/>
              <w:rPr/>
            </w:pPr>
            <w:r>
              <w:rPr/>
              <w:t>Customer deposits</w:t>
            </w:r>
          </w:p>
        </w:tc>
        <w:tc>
          <w:tcPr>
            <w:tcW w:w="222"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36</w:t>
            </w:r>
          </w:p>
        </w:tc>
        <w:tc>
          <w:tcPr>
            <w:tcW w:w="241"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 xml:space="preserve">- </w:t>
            </w:r>
          </w:p>
        </w:tc>
        <w:tc>
          <w:tcPr>
            <w:tcW w:w="300" w:type="dxa"/>
            <w:tcBorders/>
            <w:shd w:fill="CCEEFF" w:val="clear"/>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283"/>
              <w:jc w:val="left"/>
              <w:rPr/>
            </w:pPr>
            <w:r>
              <w:rPr/>
              <w:t>Accrued liabilities and other</w:t>
            </w:r>
          </w:p>
        </w:tc>
        <w:tc>
          <w:tcPr>
            <w:tcW w:w="222"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jc w:val="right"/>
              <w:rPr/>
            </w:pPr>
            <w:r>
              <w:rPr/>
              <w:t>(123</w:t>
            </w:r>
          </w:p>
        </w:tc>
        <w:tc>
          <w:tcPr>
            <w:tcW w:w="241"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(523</w:t>
            </w:r>
          </w:p>
        </w:tc>
        <w:tc>
          <w:tcPr>
            <w:tcW w:w="300" w:type="dxa"/>
            <w:tcBorders/>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283"/>
              <w:jc w:val="left"/>
              <w:rPr/>
            </w:pPr>
            <w:r>
              <w:rPr/>
              <w:t>Warranty settlements</w:t>
            </w:r>
          </w:p>
        </w:tc>
        <w:tc>
          <w:tcPr>
            <w:tcW w:w="222"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(5</w:t>
            </w:r>
          </w:p>
        </w:tc>
        <w:tc>
          <w:tcPr>
            <w:tcW w:w="241"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(10</w:t>
            </w:r>
          </w:p>
        </w:tc>
        <w:tc>
          <w:tcPr>
            <w:tcW w:w="300" w:type="dxa"/>
            <w:tcBorders/>
            <w:shd w:fill="CCEEFF" w:val="clear"/>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283"/>
              <w:jc w:val="left"/>
              <w:rPr/>
            </w:pPr>
            <w:r>
              <w:rPr/>
              <w:t>Deferred revenue</w:t>
            </w:r>
          </w:p>
        </w:tc>
        <w:tc>
          <w:tcPr>
            <w:tcW w:w="222"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jc w:val="right"/>
              <w:rPr/>
            </w:pPr>
            <w:r>
              <w:rPr/>
              <w:t>(37</w:t>
            </w:r>
          </w:p>
        </w:tc>
        <w:tc>
          <w:tcPr>
            <w:tcW w:w="241"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(180</w:t>
            </w:r>
          </w:p>
        </w:tc>
        <w:tc>
          <w:tcPr>
            <w:tcW w:w="300" w:type="dxa"/>
            <w:tcBorders/>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283"/>
              <w:jc w:val="left"/>
              <w:rPr/>
            </w:pPr>
            <w:r>
              <w:rPr/>
              <w:t>Other non-current assets</w:t>
            </w:r>
          </w:p>
        </w:tc>
        <w:tc>
          <w:tcPr>
            <w:tcW w:w="222"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68" w:type="dxa"/>
            <w:tcBorders>
              <w:bottom w:val="single" w:sz="6" w:space="0" w:color="000000"/>
            </w:tcBorders>
            <w:shd w:fill="CCEEFF" w:val="clear"/>
            <w:tcMar>
              <w:bottom w:w="28" w:type="dxa"/>
            </w:tcMar>
            <w:vAlign w:val="center"/>
          </w:tcPr>
          <w:p>
            <w:pPr>
              <w:pStyle w:val="TableContents"/>
              <w:bidi w:val="0"/>
              <w:spacing w:before="0" w:after="283"/>
              <w:jc w:val="right"/>
              <w:rPr/>
            </w:pPr>
            <w:r>
              <w:rPr/>
              <w:t>103</w:t>
            </w:r>
          </w:p>
        </w:tc>
        <w:tc>
          <w:tcPr>
            <w:tcW w:w="241"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27" w:type="dxa"/>
            <w:tcBorders>
              <w:bottom w:val="single" w:sz="6" w:space="0" w:color="000000"/>
            </w:tcBorders>
            <w:shd w:fill="CCEEFF" w:val="clear"/>
            <w:tcMar>
              <w:bottom w:w="28" w:type="dxa"/>
            </w:tcMar>
            <w:vAlign w:val="center"/>
          </w:tcPr>
          <w:p>
            <w:pPr>
              <w:pStyle w:val="TableContents"/>
              <w:bidi w:val="0"/>
              <w:spacing w:before="0" w:after="283"/>
              <w:jc w:val="right"/>
              <w:rPr/>
            </w:pPr>
            <w:r>
              <w:rPr/>
              <w:t>58</w:t>
            </w:r>
          </w:p>
        </w:tc>
        <w:tc>
          <w:tcPr>
            <w:tcW w:w="30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283"/>
              <w:jc w:val="left"/>
              <w:rPr/>
            </w:pPr>
            <w:r>
              <w:rPr/>
              <w:t>Net cash used in operating activities</w:t>
            </w:r>
          </w:p>
        </w:tc>
        <w:tc>
          <w:tcPr>
            <w:tcW w:w="222"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jc w:val="right"/>
              <w:rPr/>
            </w:pPr>
            <w:r>
              <w:rPr/>
              <w:t>(3,679</w:t>
            </w:r>
          </w:p>
        </w:tc>
        <w:tc>
          <w:tcPr>
            <w:tcW w:w="241"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(5,009</w:t>
            </w:r>
          </w:p>
        </w:tc>
        <w:tc>
          <w:tcPr>
            <w:tcW w:w="300" w:type="dxa"/>
            <w:tcBorders/>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283"/>
              <w:jc w:val="left"/>
              <w:rPr/>
            </w:pPr>
            <w:r>
              <w:rPr/>
              <w:t>Cash Flows From Investing Activities:</w:t>
            </w:r>
          </w:p>
        </w:tc>
        <w:tc>
          <w:tcPr>
            <w:tcW w:w="222"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283"/>
              <w:jc w:val="left"/>
              <w:rPr/>
            </w:pPr>
            <w:r>
              <w:rPr/>
              <w:t>Capital expenditures for property and equipment</w:t>
            </w:r>
          </w:p>
        </w:tc>
        <w:tc>
          <w:tcPr>
            <w:tcW w:w="222"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(11</w:t>
            </w:r>
          </w:p>
        </w:tc>
        <w:tc>
          <w:tcPr>
            <w:tcW w:w="241"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(8</w:t>
            </w:r>
          </w:p>
        </w:tc>
        <w:tc>
          <w:tcPr>
            <w:tcW w:w="300" w:type="dxa"/>
            <w:tcBorders/>
            <w:shd w:fill="CCEEFF" w:val="clear"/>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283"/>
              <w:jc w:val="left"/>
              <w:rPr/>
            </w:pPr>
            <w:r>
              <w:rPr/>
              <w:t>Investment in patents, trademarks and other intangibles</w:t>
            </w:r>
          </w:p>
        </w:tc>
        <w:tc>
          <w:tcPr>
            <w:tcW w:w="222" w:type="dxa"/>
            <w:tcBorders>
              <w:bottom w:val="single" w:sz="6" w:space="0" w:color="000000"/>
            </w:tcBorders>
            <w:tcMar>
              <w:bottom w:w="28" w:type="dxa"/>
            </w:tcMar>
            <w:vAlign w:val="center"/>
          </w:tcPr>
          <w:p>
            <w:pPr>
              <w:pStyle w:val="TableContents"/>
              <w:bidi w:val="0"/>
              <w:spacing w:before="0" w:after="283"/>
              <w:jc w:val="left"/>
              <w:rPr/>
            </w:pPr>
            <w:r>
              <w:rPr/>
              <w:t> </w:t>
            </w:r>
          </w:p>
        </w:tc>
        <w:tc>
          <w:tcPr>
            <w:tcW w:w="868" w:type="dxa"/>
            <w:tcBorders>
              <w:bottom w:val="single" w:sz="6" w:space="0" w:color="000000"/>
            </w:tcBorders>
            <w:tcMar>
              <w:bottom w:w="28" w:type="dxa"/>
            </w:tcMar>
            <w:vAlign w:val="center"/>
          </w:tcPr>
          <w:p>
            <w:pPr>
              <w:pStyle w:val="TableContents"/>
              <w:bidi w:val="0"/>
              <w:spacing w:before="0" w:after="283"/>
              <w:jc w:val="right"/>
              <w:rPr/>
            </w:pPr>
            <w:r>
              <w:rPr/>
              <w:t>(97</w:t>
            </w:r>
          </w:p>
        </w:tc>
        <w:tc>
          <w:tcPr>
            <w:tcW w:w="241" w:type="dxa"/>
            <w:tcBorders>
              <w:bottom w:val="single" w:sz="6" w:space="0" w:color="000000"/>
            </w:tcBorders>
            <w:tcMar>
              <w:bottom w:w="28" w:type="dxa"/>
            </w:tcMar>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bottom w:val="single" w:sz="6" w:space="0" w:color="000000"/>
            </w:tcBorders>
            <w:tcMar>
              <w:bottom w:w="28" w:type="dxa"/>
            </w:tcMar>
            <w:vAlign w:val="center"/>
          </w:tcPr>
          <w:p>
            <w:pPr>
              <w:pStyle w:val="TableContents"/>
              <w:bidi w:val="0"/>
              <w:spacing w:before="0" w:after="283"/>
              <w:jc w:val="left"/>
              <w:rPr/>
            </w:pPr>
            <w:r>
              <w:rPr/>
              <w:t> </w:t>
            </w:r>
          </w:p>
        </w:tc>
        <w:tc>
          <w:tcPr>
            <w:tcW w:w="927" w:type="dxa"/>
            <w:tcBorders>
              <w:bottom w:val="single" w:sz="6" w:space="0" w:color="000000"/>
            </w:tcBorders>
            <w:tcMar>
              <w:bottom w:w="28" w:type="dxa"/>
            </w:tcMar>
            <w:vAlign w:val="center"/>
          </w:tcPr>
          <w:p>
            <w:pPr>
              <w:pStyle w:val="TableContents"/>
              <w:bidi w:val="0"/>
              <w:spacing w:before="0" w:after="283"/>
              <w:jc w:val="right"/>
              <w:rPr/>
            </w:pPr>
            <w:r>
              <w:rPr/>
              <w:t>(145</w:t>
            </w:r>
          </w:p>
        </w:tc>
        <w:tc>
          <w:tcPr>
            <w:tcW w:w="30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283"/>
              <w:jc w:val="left"/>
              <w:rPr/>
            </w:pPr>
            <w:r>
              <w:rPr/>
              <w:t>Net cash used in investing activities</w:t>
            </w:r>
          </w:p>
        </w:tc>
        <w:tc>
          <w:tcPr>
            <w:tcW w:w="222"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(108</w:t>
            </w:r>
          </w:p>
        </w:tc>
        <w:tc>
          <w:tcPr>
            <w:tcW w:w="241"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(153</w:t>
            </w:r>
          </w:p>
        </w:tc>
        <w:tc>
          <w:tcPr>
            <w:tcW w:w="300" w:type="dxa"/>
            <w:tcBorders/>
            <w:shd w:fill="CCEEFF" w:val="clear"/>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283"/>
              <w:jc w:val="left"/>
              <w:rPr/>
            </w:pPr>
            <w:r>
              <w:rPr/>
              <w:t>Cash Flows From Financing Activities:</w:t>
            </w:r>
          </w:p>
        </w:tc>
        <w:tc>
          <w:tcPr>
            <w:tcW w:w="222"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283"/>
              <w:jc w:val="left"/>
              <w:rPr/>
            </w:pPr>
            <w:r>
              <w:rPr/>
              <w:t>Proceeds from private placement</w:t>
            </w:r>
          </w:p>
        </w:tc>
        <w:tc>
          <w:tcPr>
            <w:tcW w:w="222"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jc w:val="right"/>
              <w:rPr/>
            </w:pPr>
            <w:r>
              <w:rPr/>
              <w:t>5,000</w:t>
            </w:r>
          </w:p>
        </w:tc>
        <w:tc>
          <w:tcPr>
            <w:tcW w:w="241"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 xml:space="preserve">- </w:t>
            </w:r>
          </w:p>
        </w:tc>
        <w:tc>
          <w:tcPr>
            <w:tcW w:w="300" w:type="dxa"/>
            <w:tcBorders/>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283"/>
              <w:jc w:val="left"/>
              <w:rPr/>
            </w:pPr>
            <w:r>
              <w:rPr/>
              <w:t>Proceeds from warrant exercise</w:t>
            </w:r>
          </w:p>
        </w:tc>
        <w:tc>
          <w:tcPr>
            <w:tcW w:w="222"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100</w:t>
            </w:r>
          </w:p>
        </w:tc>
        <w:tc>
          <w:tcPr>
            <w:tcW w:w="241"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 xml:space="preserve">- </w:t>
            </w:r>
          </w:p>
        </w:tc>
        <w:tc>
          <w:tcPr>
            <w:tcW w:w="300" w:type="dxa"/>
            <w:tcBorders/>
            <w:shd w:fill="CCEEFF" w:val="clear"/>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283"/>
              <w:jc w:val="left"/>
              <w:rPr/>
            </w:pPr>
            <w:r>
              <w:rPr/>
              <w:t>Proceeds from issuance of common stock and warrants, net</w:t>
            </w:r>
          </w:p>
        </w:tc>
        <w:tc>
          <w:tcPr>
            <w:tcW w:w="222" w:type="dxa"/>
            <w:tcBorders>
              <w:bottom w:val="single" w:sz="6" w:space="0" w:color="000000"/>
            </w:tcBorders>
            <w:tcMar>
              <w:bottom w:w="28" w:type="dxa"/>
            </w:tcMar>
            <w:vAlign w:val="center"/>
          </w:tcPr>
          <w:p>
            <w:pPr>
              <w:pStyle w:val="TableContents"/>
              <w:bidi w:val="0"/>
              <w:spacing w:before="0" w:after="283"/>
              <w:jc w:val="left"/>
              <w:rPr/>
            </w:pPr>
            <w:r>
              <w:rPr/>
              <w:t> </w:t>
            </w:r>
          </w:p>
        </w:tc>
        <w:tc>
          <w:tcPr>
            <w:tcW w:w="868"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241" w:type="dxa"/>
            <w:tcBorders>
              <w:bottom w:val="single" w:sz="6" w:space="0" w:color="000000"/>
            </w:tcBorders>
            <w:tcMar>
              <w:bottom w:w="28" w:type="dxa"/>
            </w:tcMar>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bottom w:val="single" w:sz="6" w:space="0" w:color="000000"/>
            </w:tcBorders>
            <w:tcMar>
              <w:bottom w:w="28" w:type="dxa"/>
            </w:tcMar>
            <w:vAlign w:val="center"/>
          </w:tcPr>
          <w:p>
            <w:pPr>
              <w:pStyle w:val="TableContents"/>
              <w:bidi w:val="0"/>
              <w:spacing w:before="0" w:after="283"/>
              <w:jc w:val="left"/>
              <w:rPr/>
            </w:pPr>
            <w:r>
              <w:rPr/>
              <w:t> </w:t>
            </w:r>
          </w:p>
        </w:tc>
        <w:tc>
          <w:tcPr>
            <w:tcW w:w="927" w:type="dxa"/>
            <w:tcBorders>
              <w:bottom w:val="single" w:sz="6" w:space="0" w:color="000000"/>
            </w:tcBorders>
            <w:tcMar>
              <w:bottom w:w="28" w:type="dxa"/>
            </w:tcMar>
            <w:vAlign w:val="center"/>
          </w:tcPr>
          <w:p>
            <w:pPr>
              <w:pStyle w:val="TableContents"/>
              <w:bidi w:val="0"/>
              <w:spacing w:before="0" w:after="283"/>
              <w:jc w:val="right"/>
              <w:rPr/>
            </w:pPr>
            <w:r>
              <w:rPr/>
              <w:t>5,729</w:t>
            </w:r>
          </w:p>
        </w:tc>
        <w:tc>
          <w:tcPr>
            <w:tcW w:w="30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283"/>
              <w:jc w:val="left"/>
              <w:rPr/>
            </w:pPr>
            <w:r>
              <w:rPr/>
              <w:t>Net cash provided by financing activities</w:t>
            </w:r>
          </w:p>
        </w:tc>
        <w:tc>
          <w:tcPr>
            <w:tcW w:w="222"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5,100</w:t>
            </w:r>
          </w:p>
        </w:tc>
        <w:tc>
          <w:tcPr>
            <w:tcW w:w="241"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5,729</w:t>
            </w:r>
          </w:p>
        </w:tc>
        <w:tc>
          <w:tcPr>
            <w:tcW w:w="300" w:type="dxa"/>
            <w:tcBorders/>
            <w:shd w:fill="CCEEFF" w:val="clear"/>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283"/>
              <w:jc w:val="left"/>
              <w:rPr/>
            </w:pPr>
            <w:r>
              <w:rPr/>
              <w:t>Net increase in cash and cash equivalents</w:t>
            </w:r>
          </w:p>
        </w:tc>
        <w:tc>
          <w:tcPr>
            <w:tcW w:w="222" w:type="dxa"/>
            <w:tcBorders/>
            <w:shd w:fill="CCEEFF" w:val="clear"/>
            <w:vAlign w:val="center"/>
          </w:tcPr>
          <w:p>
            <w:pPr>
              <w:pStyle w:val="TableContents"/>
              <w:bidi w:val="0"/>
              <w:spacing w:before="0" w:after="283"/>
              <w:jc w:val="left"/>
              <w:rPr/>
            </w:pPr>
            <w:r>
              <w:rPr/>
              <w:t>$</w:t>
            </w:r>
          </w:p>
        </w:tc>
        <w:tc>
          <w:tcPr>
            <w:tcW w:w="868" w:type="dxa"/>
            <w:tcBorders/>
            <w:shd w:fill="CCEEFF" w:val="clear"/>
            <w:vAlign w:val="center"/>
          </w:tcPr>
          <w:p>
            <w:pPr>
              <w:pStyle w:val="TableContents"/>
              <w:bidi w:val="0"/>
              <w:spacing w:before="0" w:after="283"/>
              <w:jc w:val="right"/>
              <w:rPr/>
            </w:pPr>
            <w:r>
              <w:rPr/>
              <w:t>1,313</w:t>
            </w:r>
          </w:p>
        </w:tc>
        <w:tc>
          <w:tcPr>
            <w:tcW w:w="241"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927" w:type="dxa"/>
            <w:tcBorders/>
            <w:shd w:fill="CCEEFF" w:val="clear"/>
            <w:vAlign w:val="center"/>
          </w:tcPr>
          <w:p>
            <w:pPr>
              <w:pStyle w:val="TableContents"/>
              <w:bidi w:val="0"/>
              <w:spacing w:before="0" w:after="283"/>
              <w:jc w:val="right"/>
              <w:rPr/>
            </w:pPr>
            <w:r>
              <w:rPr/>
              <w:t>567</w:t>
            </w:r>
          </w:p>
        </w:tc>
        <w:tc>
          <w:tcPr>
            <w:tcW w:w="300" w:type="dxa"/>
            <w:tcBorders/>
            <w:shd w:fill="CCEEFF" w:val="clear"/>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283"/>
              <w:jc w:val="left"/>
              <w:rPr/>
            </w:pPr>
            <w:r>
              <w:rPr/>
              <w:t>Cash and cash equivalents, beginning of period</w:t>
            </w:r>
          </w:p>
        </w:tc>
        <w:tc>
          <w:tcPr>
            <w:tcW w:w="222" w:type="dxa"/>
            <w:tcBorders>
              <w:bottom w:val="single" w:sz="6" w:space="0" w:color="000000"/>
            </w:tcBorders>
            <w:tcMar>
              <w:bottom w:w="28" w:type="dxa"/>
            </w:tcMar>
            <w:vAlign w:val="center"/>
          </w:tcPr>
          <w:p>
            <w:pPr>
              <w:pStyle w:val="TableContents"/>
              <w:bidi w:val="0"/>
              <w:spacing w:before="0" w:after="283"/>
              <w:jc w:val="left"/>
              <w:rPr/>
            </w:pPr>
            <w:r>
              <w:rPr/>
              <w:t>$</w:t>
            </w:r>
          </w:p>
        </w:tc>
        <w:tc>
          <w:tcPr>
            <w:tcW w:w="868" w:type="dxa"/>
            <w:tcBorders>
              <w:bottom w:val="single" w:sz="6" w:space="0" w:color="000000"/>
            </w:tcBorders>
            <w:tcMar>
              <w:bottom w:w="28" w:type="dxa"/>
            </w:tcMar>
            <w:vAlign w:val="center"/>
          </w:tcPr>
          <w:p>
            <w:pPr>
              <w:pStyle w:val="TableContents"/>
              <w:bidi w:val="0"/>
              <w:spacing w:before="0" w:after="283"/>
              <w:jc w:val="right"/>
              <w:rPr/>
            </w:pPr>
            <w:r>
              <w:rPr/>
              <w:t>3,468</w:t>
            </w:r>
          </w:p>
        </w:tc>
        <w:tc>
          <w:tcPr>
            <w:tcW w:w="241" w:type="dxa"/>
            <w:tcBorders>
              <w:bottom w:val="single" w:sz="6" w:space="0" w:color="000000"/>
            </w:tcBorders>
            <w:tcMar>
              <w:bottom w:w="28" w:type="dxa"/>
            </w:tcMar>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bottom w:val="single" w:sz="6" w:space="0" w:color="000000"/>
            </w:tcBorders>
            <w:tcMar>
              <w:bottom w:w="28" w:type="dxa"/>
            </w:tcMar>
            <w:vAlign w:val="center"/>
          </w:tcPr>
          <w:p>
            <w:pPr>
              <w:pStyle w:val="TableContents"/>
              <w:bidi w:val="0"/>
              <w:spacing w:before="0" w:after="283"/>
              <w:jc w:val="left"/>
              <w:rPr/>
            </w:pPr>
            <w:r>
              <w:rPr/>
              <w:t>$</w:t>
            </w:r>
          </w:p>
        </w:tc>
        <w:tc>
          <w:tcPr>
            <w:tcW w:w="927" w:type="dxa"/>
            <w:tcBorders>
              <w:bottom w:val="single" w:sz="6" w:space="0" w:color="000000"/>
            </w:tcBorders>
            <w:tcMar>
              <w:bottom w:w="28" w:type="dxa"/>
            </w:tcMar>
            <w:vAlign w:val="center"/>
          </w:tcPr>
          <w:p>
            <w:pPr>
              <w:pStyle w:val="TableContents"/>
              <w:bidi w:val="0"/>
              <w:spacing w:before="0" w:after="283"/>
              <w:jc w:val="right"/>
              <w:rPr/>
            </w:pPr>
            <w:r>
              <w:rPr/>
              <w:t>3,610</w:t>
            </w:r>
          </w:p>
        </w:tc>
        <w:tc>
          <w:tcPr>
            <w:tcW w:w="30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283"/>
              <w:jc w:val="left"/>
              <w:rPr/>
            </w:pPr>
            <w:r>
              <w:rPr/>
              <w:t>Cash and cash equivalents, end of period</w:t>
            </w:r>
          </w:p>
        </w:tc>
        <w:tc>
          <w:tcPr>
            <w:tcW w:w="22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68" w:type="dxa"/>
            <w:tcBorders>
              <w:bottom w:val="double" w:sz="6" w:space="0" w:color="000000"/>
            </w:tcBorders>
            <w:shd w:fill="CCEEFF" w:val="clear"/>
            <w:tcMar>
              <w:bottom w:w="28" w:type="dxa"/>
            </w:tcMar>
            <w:vAlign w:val="center"/>
          </w:tcPr>
          <w:p>
            <w:pPr>
              <w:pStyle w:val="TableContents"/>
              <w:bidi w:val="0"/>
              <w:spacing w:before="0" w:after="283"/>
              <w:jc w:val="right"/>
              <w:rPr/>
            </w:pPr>
            <w:r>
              <w:rPr/>
              <w:t>4,781</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27" w:type="dxa"/>
            <w:tcBorders>
              <w:bottom w:val="double" w:sz="6" w:space="0" w:color="000000"/>
            </w:tcBorders>
            <w:shd w:fill="CCEEFF" w:val="clear"/>
            <w:tcMar>
              <w:bottom w:w="28" w:type="dxa"/>
            </w:tcMar>
            <w:vAlign w:val="center"/>
          </w:tcPr>
          <w:p>
            <w:pPr>
              <w:pStyle w:val="TableContents"/>
              <w:bidi w:val="0"/>
              <w:spacing w:before="0" w:after="283"/>
              <w:jc w:val="right"/>
              <w:rPr/>
            </w:pPr>
            <w:r>
              <w:rPr/>
              <w:t>4,177</w:t>
            </w:r>
          </w:p>
        </w:tc>
        <w:tc>
          <w:tcPr>
            <w:tcW w:w="30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283"/>
              <w:jc w:val="left"/>
              <w:rPr/>
            </w:pPr>
            <w:r>
              <w:rPr/>
              <w:t>Supplemental Disclosure of Non-Cash Investing and Financing Activities:</w:t>
            </w:r>
          </w:p>
        </w:tc>
        <w:tc>
          <w:tcPr>
            <w:tcW w:w="222"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left"/>
              <w:rPr>
                <w:sz w:val="4"/>
                <w:szCs w:val="4"/>
              </w:rPr>
            </w:pPr>
            <w:r>
              <w:rPr>
                <w:sz w:val="4"/>
                <w:szCs w:val="4"/>
              </w:rPr>
            </w:r>
          </w:p>
        </w:tc>
        <w:tc>
          <w:tcPr>
            <w:tcW w:w="241"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left"/>
              <w:rPr>
                <w:sz w:val="4"/>
                <w:szCs w:val="4"/>
              </w:rPr>
            </w:pPr>
            <w:r>
              <w:rPr>
                <w:sz w:val="4"/>
                <w:szCs w:val="4"/>
              </w:rPr>
            </w:r>
          </w:p>
        </w:tc>
        <w:tc>
          <w:tcPr>
            <w:tcW w:w="300" w:type="dxa"/>
            <w:tcBorders/>
            <w:shd w:fill="CCEEFF" w:val="clear"/>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283"/>
              <w:jc w:val="left"/>
              <w:rPr/>
            </w:pPr>
            <w:r>
              <w:rPr/>
              <w:t>Reclassification of warrant liabilities to additional paid in capital</w:t>
            </w:r>
          </w:p>
        </w:tc>
        <w:tc>
          <w:tcPr>
            <w:tcW w:w="222" w:type="dxa"/>
            <w:tcBorders/>
            <w:vAlign w:val="center"/>
          </w:tcPr>
          <w:p>
            <w:pPr>
              <w:pStyle w:val="TableContents"/>
              <w:bidi w:val="0"/>
              <w:spacing w:before="0" w:after="283"/>
              <w:jc w:val="left"/>
              <w:rPr/>
            </w:pPr>
            <w:r>
              <w:rPr/>
              <w:t>$</w:t>
            </w:r>
          </w:p>
        </w:tc>
        <w:tc>
          <w:tcPr>
            <w:tcW w:w="868" w:type="dxa"/>
            <w:tcBorders/>
            <w:vAlign w:val="center"/>
          </w:tcPr>
          <w:p>
            <w:pPr>
              <w:pStyle w:val="TableContents"/>
              <w:bidi w:val="0"/>
              <w:spacing w:before="0" w:after="283"/>
              <w:jc w:val="right"/>
              <w:rPr/>
            </w:pPr>
            <w:r>
              <w:rPr/>
              <w:t xml:space="preserve">- </w:t>
            </w:r>
          </w:p>
        </w:tc>
        <w:tc>
          <w:tcPr>
            <w:tcW w:w="241"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w:t>
            </w:r>
          </w:p>
        </w:tc>
        <w:tc>
          <w:tcPr>
            <w:tcW w:w="927" w:type="dxa"/>
            <w:tcBorders/>
            <w:vAlign w:val="center"/>
          </w:tcPr>
          <w:p>
            <w:pPr>
              <w:pStyle w:val="TableContents"/>
              <w:bidi w:val="0"/>
              <w:spacing w:before="0" w:after="283"/>
              <w:jc w:val="right"/>
              <w:rPr/>
            </w:pPr>
            <w:r>
              <w:rPr/>
              <w:t>12,159</w:t>
            </w:r>
          </w:p>
        </w:tc>
        <w:tc>
          <w:tcPr>
            <w:tcW w:w="300" w:type="dxa"/>
            <w:tcBorders/>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283"/>
              <w:jc w:val="left"/>
              <w:rPr/>
            </w:pPr>
            <w:r>
              <w:rPr/>
              <w:t>Dividends declared on convertible preferred stock</w:t>
            </w:r>
          </w:p>
        </w:tc>
        <w:tc>
          <w:tcPr>
            <w:tcW w:w="222" w:type="dxa"/>
            <w:tcBorders/>
            <w:shd w:fill="CCEEFF" w:val="clear"/>
            <w:vAlign w:val="center"/>
          </w:tcPr>
          <w:p>
            <w:pPr>
              <w:pStyle w:val="TableContents"/>
              <w:bidi w:val="0"/>
              <w:spacing w:before="0" w:after="283"/>
              <w:jc w:val="left"/>
              <w:rPr/>
            </w:pPr>
            <w:r>
              <w:rPr/>
              <w:t>$</w:t>
            </w:r>
          </w:p>
        </w:tc>
        <w:tc>
          <w:tcPr>
            <w:tcW w:w="868" w:type="dxa"/>
            <w:tcBorders/>
            <w:shd w:fill="CCEEFF" w:val="clear"/>
            <w:vAlign w:val="center"/>
          </w:tcPr>
          <w:p>
            <w:pPr>
              <w:pStyle w:val="TableContents"/>
              <w:bidi w:val="0"/>
              <w:spacing w:before="0" w:after="283"/>
              <w:jc w:val="right"/>
              <w:rPr/>
            </w:pPr>
            <w:r>
              <w:rPr/>
              <w:t>(411</w:t>
            </w:r>
          </w:p>
        </w:tc>
        <w:tc>
          <w:tcPr>
            <w:tcW w:w="241"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927" w:type="dxa"/>
            <w:tcBorders/>
            <w:shd w:fill="CCEEFF" w:val="clear"/>
            <w:vAlign w:val="center"/>
          </w:tcPr>
          <w:p>
            <w:pPr>
              <w:pStyle w:val="TableContents"/>
              <w:bidi w:val="0"/>
              <w:spacing w:before="0" w:after="283"/>
              <w:jc w:val="right"/>
              <w:rPr/>
            </w:pPr>
            <w:r>
              <w:rPr/>
              <w:t>(328</w:t>
            </w:r>
          </w:p>
        </w:tc>
        <w:tc>
          <w:tcPr>
            <w:tcW w:w="300" w:type="dxa"/>
            <w:tcBorders/>
            <w:shd w:fill="CCEEFF" w:val="clear"/>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283"/>
              <w:jc w:val="left"/>
              <w:rPr/>
            </w:pPr>
            <w:r>
              <w:rPr/>
              <w:t>Dividends settled with common stock</w:t>
            </w:r>
          </w:p>
        </w:tc>
        <w:tc>
          <w:tcPr>
            <w:tcW w:w="222" w:type="dxa"/>
            <w:tcBorders/>
            <w:vAlign w:val="center"/>
          </w:tcPr>
          <w:p>
            <w:pPr>
              <w:pStyle w:val="TableContents"/>
              <w:bidi w:val="0"/>
              <w:spacing w:before="0" w:after="283"/>
              <w:jc w:val="left"/>
              <w:rPr/>
            </w:pPr>
            <w:r>
              <w:rPr/>
              <w:t>$</w:t>
            </w:r>
          </w:p>
        </w:tc>
        <w:tc>
          <w:tcPr>
            <w:tcW w:w="868" w:type="dxa"/>
            <w:tcBorders/>
            <w:vAlign w:val="center"/>
          </w:tcPr>
          <w:p>
            <w:pPr>
              <w:pStyle w:val="TableContents"/>
              <w:bidi w:val="0"/>
              <w:spacing w:before="0" w:after="283"/>
              <w:jc w:val="right"/>
              <w:rPr/>
            </w:pPr>
            <w:r>
              <w:rPr/>
              <w:t>411</w:t>
            </w:r>
          </w:p>
        </w:tc>
        <w:tc>
          <w:tcPr>
            <w:tcW w:w="241"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w:t>
            </w:r>
          </w:p>
        </w:tc>
        <w:tc>
          <w:tcPr>
            <w:tcW w:w="927" w:type="dxa"/>
            <w:tcBorders/>
            <w:vAlign w:val="center"/>
          </w:tcPr>
          <w:p>
            <w:pPr>
              <w:pStyle w:val="TableContents"/>
              <w:bidi w:val="0"/>
              <w:spacing w:before="0" w:after="283"/>
              <w:jc w:val="right"/>
              <w:rPr/>
            </w:pPr>
            <w:r>
              <w:rPr/>
              <w:t>328</w:t>
            </w:r>
          </w:p>
        </w:tc>
        <w:tc>
          <w:tcPr>
            <w:tcW w:w="30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accompanying notes are an integral part of these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Wrap Technologies, Inc.</w:t>
      </w:r>
    </w:p>
    <w:p>
      <w:pPr>
        <w:pStyle w:val="TextBody"/>
        <w:bidi w:val="0"/>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Notes to Condensed Consolidated Interim Financial Statements</w:t>
      </w:r>
    </w:p>
    <w:p>
      <w:pPr>
        <w:pStyle w:val="TextBody"/>
        <w:bidi w:val="0"/>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(in thousands, except per share and share amounts)</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1. ORGANIZATION, SUMMARY OF SIGNIFICANT ACCOUNTING POLICIES AND RECENT DEVELOPMENTS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Organization and Business Description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Wrap Technologies, Inc., a Delaware corporation (the “Company”, “we”, “us”, and “our”), is a publicly traded company with its common stock, par value $0.0001 per share (“Common Stock”), listed on the Nasdaq Capital Market (“Nasdaq”) under the trading symbol “WRAP.” The Company is a developer and supplier of public safety technologies, products, and training services for law enforcement and security personnel. The Company’s principal product is the BolaWrap® 150, a handheld remote restraint device sold together with recurring consumable cassettes and related accessories. The Company also offers technology-enabled services, including Wrap Reality, a virtual reality training simulator, WrapTactics™, a subscription-based digital training platform, WrapVision™, a body-worn camera and digital evidence management solution, and managed services and policy support. As described under Recent Developments, the Company is developing WrapShield™, an integrated detection, orchestration, and response architecture for public safety and security applications, together with additional non-lethal response products that remain in development. The principal markets for the Company's proprietary products and services are in North and South America, Europe, the Middle East, Africa and Asia.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Basis of Presentation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Company’s unaudited interim condensed consolidated financial statements included herein have been prepared in accordance with the instructions to Form 10-Q and Article 8 of Regulation S-X and the rules and regulations of the Securities and Exchange Commission (“</w:t>
      </w:r>
      <w:r>
        <w:rPr>
          <w:rFonts w:ascii="Times New Roman" w:hAnsi="Times New Roman"/>
          <w:b w:val="false"/>
          <w:i/>
          <w:caps w:val="false"/>
          <w:smallCaps w:val="false"/>
          <w:sz w:val="20"/>
        </w:rPr>
        <w:t>SEC</w:t>
      </w:r>
      <w:r>
        <w:rPr>
          <w:rFonts w:ascii="Times New Roman" w:hAnsi="Times New Roman"/>
          <w:b w:val="false"/>
          <w:i w:val="false"/>
          <w:caps w:val="false"/>
          <w:smallCaps w:val="false"/>
          <w:sz w:val="20"/>
        </w:rPr>
        <w:t>”). Certain information and footnote disclosures normally included in financial statements prepared in accordance with U.S. generally accepted accounting principles (“</w:t>
      </w:r>
      <w:r>
        <w:rPr>
          <w:rFonts w:ascii="Times New Roman" w:hAnsi="Times New Roman"/>
          <w:b w:val="false"/>
          <w:i/>
          <w:caps w:val="false"/>
          <w:smallCaps w:val="false"/>
          <w:sz w:val="20"/>
        </w:rPr>
        <w:t>U.S. GAAP</w:t>
      </w:r>
      <w:r>
        <w:rPr>
          <w:rFonts w:ascii="Times New Roman" w:hAnsi="Times New Roman"/>
          <w:b w:val="false"/>
          <w:i w:val="false"/>
          <w:caps w:val="false"/>
          <w:smallCaps w:val="false"/>
          <w:sz w:val="20"/>
        </w:rPr>
        <w:t>”) have been condensed or omitted pursuant to such rules and regulations. In management’s opinion, the accompanying financial statements reflect adjustments necessary to present fairly the financial position, results of operations, and cash flows for those periods indicated, and contain adequate disclosure to make the information presented not misleading. Adjustments included herein are of a normal, recurring nature unless otherwise disclosed in the footnotes. The condensed consolidated financial statements and notes thereto should be read in conjunction with the Company’s audited financial statements and notes thereto for the year ended December 31, 2025, included in the Company’s Annual Report on Form 10-K for the year ended December 31, 2025 (the “</w:t>
      </w:r>
      <w:r>
        <w:rPr>
          <w:rFonts w:ascii="Times New Roman" w:hAnsi="Times New Roman"/>
          <w:b w:val="false"/>
          <w:i/>
          <w:caps w:val="false"/>
          <w:smallCaps w:val="false"/>
          <w:sz w:val="20"/>
        </w:rPr>
        <w:t>Annual Report</w:t>
      </w:r>
      <w:r>
        <w:rPr>
          <w:rFonts w:ascii="Times New Roman" w:hAnsi="Times New Roman"/>
          <w:b w:val="false"/>
          <w:i w:val="false"/>
          <w:caps w:val="false"/>
          <w:smallCaps w:val="false"/>
          <w:sz w:val="20"/>
        </w:rPr>
        <w:t>”), as filed with the SEC on March 26, 2026. The accompanying unaudited condensed consolidated balance sheet as of June 30, 2026 has been derived from the audited consolidated balance sheet as of December 31, 2025, contained in the Company's Annual Report on Form 10-K for the year ended December 31, 2025. Results of operations for interim periods are not necessarily indicative of the results of operations for a full year.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Principles of Consolidation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has three wholly owned subsidiaries, Wrap Reality, Inc., that sells a virtual reality (“</w:t>
      </w:r>
      <w:r>
        <w:rPr>
          <w:rFonts w:ascii="Times New Roman" w:hAnsi="Times New Roman"/>
          <w:b w:val="false"/>
          <w:i/>
          <w:caps w:val="false"/>
          <w:smallCaps w:val="false"/>
          <w:sz w:val="20"/>
        </w:rPr>
        <w:t>VR</w:t>
      </w:r>
      <w:r>
        <w:rPr>
          <w:rFonts w:ascii="Times New Roman" w:hAnsi="Times New Roman"/>
          <w:b w:val="false"/>
          <w:i w:val="false"/>
          <w:caps w:val="false"/>
          <w:smallCaps w:val="false"/>
          <w:sz w:val="20"/>
        </w:rPr>
        <w:t>”) training system primarily targeting law enforcement agencies, Intrensic, LLC (“Intrensic”), specializing in Body Worn Camera and Digital Evidence Management solutions and Wrap Federal, LLC, formed to support federal government clients in federal agencies. The condensed consolidated financial statements include the accounts of these subsidiaries after elimination of intercompany transactions and accounts.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Segment and Related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operates as a single operating and reportable segment. The Company's Chief Operating Decision Maker is its Chief Executive Officer, who manages operations for purposes of allocating resources on a consolidated basis.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Use of Estimates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 and expense during the reporting period. Actual results could materially differ from those estimates.</w:t>
      </w:r>
    </w:p>
    <w:p>
      <w:pPr>
        <w:pStyle w:val="TextBody"/>
        <w:bidi w:val="0"/>
        <w:spacing w:before="0" w:after="0"/>
        <w:jc w:val="both"/>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Revenue Recognition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recognizes revenue under ASC Topic 606 - Revenue from Contracts with Customers (“ASC 606”). Revenue is recognized when control of promised goods or services is transferred to customers in an amount that reflects the consideration the Company expects to receive. The Company's revenues consist of product sales (BolaWrap devices, cassettes, and accessories) and technology-enabled services (software subscriptions, body-worn cameras, managed services, policy support, training, and shipping).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 w:hAnsi="Times New Roman"/>
          <w:b/>
          <w:i w:val="false"/>
          <w:caps w:val="false"/>
          <w:smallCaps w:val="false"/>
          <w:sz w:val="20"/>
        </w:rPr>
      </w:pPr>
      <w:r>
        <w:rPr>
          <w:rFonts w:ascii="Times New Roman" w:hAnsi="Times New Roman"/>
          <w:b/>
          <w:i w:val="false"/>
          <w:caps w:val="false"/>
          <w:smallCaps w:val="false"/>
          <w:sz w:val="20"/>
        </w:rPr>
        <w:t>Warrants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June 30, 2026, all outstanding warrants (Series A Warrants, PIPE Warrants, Series B Warrants, and February 2026 Common Warrants each defined herein) are classified within permanent equity (additional paid-in capital) following amendments executed on June 30, 2025 that enabled equity classification under ASC 815-40 as discussed further in Note 8. These warrants are not subject to subsequent fair value remeasurement and no warrant liability is recorded as of June 30, 2026 or December 31, 2025.</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Loss per Share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Basic loss per share (EPS) is computed by dividing net loss, less any dividends, accretion or decretion, redemption or induced conversion, if any, on the Company’s Series A Convertible Preferred Stock ("Series A Preferred Stock"), by the weighted average number of shares outstanding during the reported period.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computing diluted EPS, the Company adjusts the numerator used in the basic EPS computation, subject to anti-dilution requirements, to add back the dividends (declared or cumulative undeclared) applicable to the Series A and Series B Convertible Preferred Stock. Such add-back would also include any adjustments to equity in the period to accrete the Series A and Series B Convertible Preferred Stock to its redemption price, or recorded upon a redemption or induced conversion, if any. The Company adjusts the denominator used in the basic EPS computation, subject to anti-dilution requirements, to include the dilution from potential shares resulting from the issuance of the Series A and Series B Convertible Preferred Stock, restricted stock units, and stock options. Stock options and restricted stock units exercisable or issuable for a total </w:t>
      </w:r>
      <w:r>
        <w:rPr>
          <w:rFonts w:ascii="Times New Roman" w:hAnsi="Times New Roman"/>
          <w:b w:val="false"/>
          <w:i w:val="false"/>
          <w:caps w:val="false"/>
          <w:smallCaps w:val="false"/>
          <w:sz w:val="20"/>
          <w:shd w:fill="FFFFFF" w:val="clear"/>
        </w:rPr>
        <w:t>of 11,077,429 shares and 7,856,142 sh</w:t>
      </w:r>
      <w:r>
        <w:rPr>
          <w:rFonts w:ascii="Times New Roman" w:hAnsi="Times New Roman"/>
          <w:b w:val="false"/>
          <w:i w:val="false"/>
          <w:caps w:val="false"/>
          <w:smallCaps w:val="false"/>
          <w:sz w:val="20"/>
        </w:rPr>
        <w:t>ares of Common Stock were outstanding as of June 30, 2026 and 2025, respectively. These securities are not included in the computation of diluted net loss per share of Common Stock for the periods presented as their inclusion would be antidilutive due to losses incurred by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Reclassifications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Certain prior year amounts have been reclassified to conform to the current year presentation. These reclassifications had no effect on previously reported net loss, total assets, total liabilities, stockholders’ equity, or cash flows.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Recently Issued Accounting Guidance Not Yet Effective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November 2024, the FASB issued ASU 2024-03, which requires disaggregated disclosure of income statement expenses for public business entities. ASU 2024-03 is effective for fiscal years beginning after December 15, 2026, and interim periods within fiscal years beginning after December 15, 2027. The Company is currently evaluating the impact of ASU 2024-03 on its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2. REVENUE AND PRODUCT COSTS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Revenues consist of product sales and technology-enabled services. Product sales include BolaWrap devices, cassettes, and accessories. Technology-enabled services include software subscriptions, body-worn cameras, managed services, policy and training support, and shipping revenue.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table below details the activity in our contract liabilities during the six months ended June 30, 2026.</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SCHEDULE OF CONTRACT LIABILITIES</w:t>
      </w:r>
    </w:p>
    <w:tbl>
      <w:tblPr>
        <w:tblW w:w="7445" w:type="dxa"/>
        <w:jc w:val="left"/>
        <w:tblInd w:w="0" w:type="dxa"/>
        <w:tblLayout w:type="fixed"/>
        <w:tblCellMar>
          <w:top w:w="0" w:type="dxa"/>
          <w:left w:w="0" w:type="dxa"/>
          <w:bottom w:w="0" w:type="dxa"/>
          <w:right w:w="0" w:type="dxa"/>
        </w:tblCellMar>
      </w:tblPr>
      <w:tblGrid>
        <w:gridCol w:w="2630"/>
        <w:gridCol w:w="90"/>
        <w:gridCol w:w="170"/>
        <w:gridCol w:w="1970"/>
        <w:gridCol w:w="185"/>
        <w:gridCol w:w="90"/>
        <w:gridCol w:w="170"/>
        <w:gridCol w:w="1910"/>
        <w:gridCol w:w="230"/>
      </w:tblGrid>
      <w:tr>
        <w:trPr/>
        <w:tc>
          <w:tcPr>
            <w:tcW w:w="26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970" w:type="dxa"/>
            <w:tcBorders>
              <w:bottom w:val="single" w:sz="6" w:space="0" w:color="000000"/>
            </w:tcBorders>
            <w:tcMar>
              <w:bottom w:w="28" w:type="dxa"/>
            </w:tcMar>
            <w:vAlign w:val="center"/>
          </w:tcPr>
          <w:p>
            <w:pPr>
              <w:pStyle w:val="TableContents"/>
              <w:bidi w:val="0"/>
              <w:spacing w:before="0" w:after="283"/>
              <w:jc w:val="center"/>
              <w:rPr>
                <w:b/>
              </w:rPr>
            </w:pPr>
            <w:r>
              <w:rPr>
                <w:b/>
              </w:rPr>
              <w:t>Customer Deposits</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910" w:type="dxa"/>
            <w:tcBorders>
              <w:bottom w:val="single" w:sz="6" w:space="0" w:color="000000"/>
            </w:tcBorders>
            <w:tcMar>
              <w:bottom w:w="28" w:type="dxa"/>
            </w:tcMar>
            <w:vAlign w:val="center"/>
          </w:tcPr>
          <w:p>
            <w:pPr>
              <w:pStyle w:val="TableContents"/>
              <w:bidi w:val="0"/>
              <w:spacing w:before="0" w:after="283"/>
              <w:jc w:val="center"/>
              <w:rPr>
                <w:b/>
              </w:rPr>
            </w:pPr>
            <w:r>
              <w:rPr>
                <w:b/>
              </w:rPr>
              <w:t>Deferred Revenue</w:t>
            </w:r>
          </w:p>
        </w:tc>
        <w:tc>
          <w:tcPr>
            <w:tcW w:w="23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pPr>
            <w:r>
              <w:rPr/>
              <w:t>Balance at January 1, 2026</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970" w:type="dxa"/>
            <w:tcBorders/>
            <w:shd w:fill="CCEEFF" w:val="clear"/>
            <w:vAlign w:val="center"/>
          </w:tcPr>
          <w:p>
            <w:pPr>
              <w:pStyle w:val="TableContents"/>
              <w:bidi w:val="0"/>
              <w:spacing w:before="0" w:after="283"/>
              <w:jc w:val="right"/>
              <w:rPr/>
            </w:pPr>
            <w:r>
              <w:rPr/>
              <w:t>62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910" w:type="dxa"/>
            <w:tcBorders/>
            <w:shd w:fill="CCEEFF" w:val="clear"/>
            <w:vAlign w:val="center"/>
          </w:tcPr>
          <w:p>
            <w:pPr>
              <w:pStyle w:val="TableContents"/>
              <w:bidi w:val="0"/>
              <w:spacing w:before="0" w:after="283"/>
              <w:jc w:val="right"/>
              <w:rPr/>
            </w:pPr>
            <w:r>
              <w:rPr/>
              <w:t>422</w:t>
            </w:r>
          </w:p>
        </w:tc>
        <w:tc>
          <w:tcPr>
            <w:tcW w:w="230" w:type="dxa"/>
            <w:tcBorders/>
            <w:shd w:fill="CCEEFF" w:val="cle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Additions,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right"/>
              <w:rPr/>
            </w:pPr>
            <w:r>
              <w:rPr/>
              <w:t>65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right"/>
              <w:rPr/>
            </w:pPr>
            <w:r>
              <w:rPr/>
              <w:t>409</w:t>
            </w:r>
          </w:p>
        </w:tc>
        <w:tc>
          <w:tcPr>
            <w:tcW w:w="230"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pPr>
            <w:r>
              <w:rPr/>
              <w:t>Transfer to revenue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970" w:type="dxa"/>
            <w:tcBorders>
              <w:bottom w:val="single" w:sz="6" w:space="0" w:color="000000"/>
            </w:tcBorders>
            <w:shd w:fill="CCEEFF" w:val="clear"/>
            <w:tcMar>
              <w:bottom w:w="28" w:type="dxa"/>
            </w:tcMar>
            <w:vAlign w:val="center"/>
          </w:tcPr>
          <w:p>
            <w:pPr>
              <w:pStyle w:val="TableContents"/>
              <w:bidi w:val="0"/>
              <w:spacing w:before="0" w:after="283"/>
              <w:jc w:val="right"/>
              <w:rPr/>
            </w:pPr>
            <w:r>
              <w:rPr/>
              <w:t>(29</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910" w:type="dxa"/>
            <w:tcBorders>
              <w:bottom w:val="single" w:sz="6" w:space="0" w:color="000000"/>
            </w:tcBorders>
            <w:shd w:fill="CCEEFF" w:val="clear"/>
            <w:tcMar>
              <w:bottom w:w="28" w:type="dxa"/>
            </w:tcMar>
            <w:vAlign w:val="center"/>
          </w:tcPr>
          <w:p>
            <w:pPr>
              <w:pStyle w:val="TableContents"/>
              <w:bidi w:val="0"/>
              <w:spacing w:before="0" w:after="283"/>
              <w:jc w:val="right"/>
              <w:rPr/>
            </w:pPr>
            <w:r>
              <w:rPr/>
              <w:t>(446</w:t>
            </w:r>
          </w:p>
        </w:tc>
        <w:tc>
          <w:tcPr>
            <w:tcW w:w="23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Balance at June 30, 2026</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970" w:type="dxa"/>
            <w:tcBorders>
              <w:bottom w:val="double" w:sz="6" w:space="0" w:color="000000"/>
            </w:tcBorders>
            <w:tcMar>
              <w:bottom w:w="28" w:type="dxa"/>
            </w:tcMar>
            <w:vAlign w:val="center"/>
          </w:tcPr>
          <w:p>
            <w:pPr>
              <w:pStyle w:val="TableContents"/>
              <w:bidi w:val="0"/>
              <w:spacing w:before="0" w:after="283"/>
              <w:jc w:val="right"/>
              <w:rPr/>
            </w:pPr>
            <w:r>
              <w:rPr/>
              <w:t>98</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910" w:type="dxa"/>
            <w:tcBorders>
              <w:bottom w:val="double" w:sz="6" w:space="0" w:color="000000"/>
            </w:tcBorders>
            <w:tcMar>
              <w:bottom w:w="28" w:type="dxa"/>
            </w:tcMar>
            <w:vAlign w:val="center"/>
          </w:tcPr>
          <w:p>
            <w:pPr>
              <w:pStyle w:val="TableContents"/>
              <w:bidi w:val="0"/>
              <w:spacing w:before="0" w:after="283"/>
              <w:jc w:val="right"/>
              <w:rPr/>
            </w:pPr>
            <w:r>
              <w:rPr/>
              <w:t>385</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7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Current portion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970" w:type="dxa"/>
            <w:tcBorders/>
            <w:vAlign w:val="center"/>
          </w:tcPr>
          <w:p>
            <w:pPr>
              <w:pStyle w:val="TableContents"/>
              <w:bidi w:val="0"/>
              <w:spacing w:before="0" w:after="283"/>
              <w:jc w:val="right"/>
              <w:rPr/>
            </w:pPr>
            <w:r>
              <w:rPr/>
              <w:t>98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910" w:type="dxa"/>
            <w:tcBorders/>
            <w:vAlign w:val="center"/>
          </w:tcPr>
          <w:p>
            <w:pPr>
              <w:pStyle w:val="TableContents"/>
              <w:bidi w:val="0"/>
              <w:spacing w:before="0" w:after="283"/>
              <w:jc w:val="right"/>
              <w:rPr/>
            </w:pPr>
            <w:r>
              <w:rPr/>
              <w:t>378</w:t>
            </w:r>
          </w:p>
        </w:tc>
        <w:tc>
          <w:tcPr>
            <w:tcW w:w="230"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pPr>
            <w:r>
              <w:rPr/>
              <w:t>Long-term portion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97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910" w:type="dxa"/>
            <w:tcBorders/>
            <w:shd w:fill="CCEEFF" w:val="clear"/>
            <w:vAlign w:val="center"/>
          </w:tcPr>
          <w:p>
            <w:pPr>
              <w:pStyle w:val="TableContents"/>
              <w:bidi w:val="0"/>
              <w:spacing w:before="0" w:after="283"/>
              <w:jc w:val="right"/>
              <w:rPr/>
            </w:pPr>
            <w:r>
              <w:rPr/>
              <w:t>7</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June 30, 2026, the Company’s deferred revenue of $385 consisted of $8 related to BolaWrap extended warranties and services, $27 related to WRAP Ready, $323 related to Intrensic extended warranties and services, $15 related to VR, $4 related to training and $8 related to Wrap Tactics.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3. FINANCIAL INSTRUMENTS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Assets and liabilities recorded at fair value on a recurring basis in the Condensed Consolidated Balance Sheets and assets and liabilities measured at fair value on a non-recurring basis or disclosed at fair value, are categorized based upon the level of judgment associated with inputs used to measure their fair values. The accounting guidance for fair value provides a framework for measuring fair value and requires certain disclosures about how fair value is determined. Fair value is defined as the price that would be received upon the sale of an asset or paid to transfer a liability (an exit price) in an orderly transaction between market participants at the measurement date. The accounting guidance also establishes a three-level valuation hierarchy that prioritizes the inputs to valuation techniques used to measure fair value based upon whether such inputs are observable or unobservable. Observable inputs reflect market data obtained from independent sources, while unobservable inputs reflect market assumptions made by the reporting entity. The three-level hierarchy for the inputs to valuation techniques is briefly summarized as follows: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caps w:val="false"/>
          <w:smallCaps w:val="false"/>
          <w:sz w:val="20"/>
        </w:rPr>
        <w:t>Level 1</w:t>
      </w:r>
      <w:r>
        <w:rPr>
          <w:rFonts w:ascii="Times New Roman" w:hAnsi="Times New Roman"/>
          <w:b w:val="false"/>
          <w:i w:val="false"/>
          <w:caps w:val="false"/>
          <w:smallCaps w:val="false"/>
          <w:sz w:val="20"/>
        </w:rPr>
        <w:t>-Inputs are unadjusted, quoted prices in active markets for identical assets or liabilities at the measurement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caps w:val="false"/>
          <w:smallCaps w:val="false"/>
          <w:sz w:val="20"/>
        </w:rPr>
        <w:t>Level 2</w:t>
      </w:r>
      <w:r>
        <w:rPr>
          <w:rFonts w:ascii="Times New Roman" w:hAnsi="Times New Roman"/>
          <w:b w:val="false"/>
          <w:i w:val="false"/>
          <w:caps w:val="false"/>
          <w:smallCaps w:val="false"/>
          <w:sz w:val="20"/>
        </w:rPr>
        <w:t>-Inputs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caps w:val="false"/>
          <w:smallCaps w:val="false"/>
          <w:sz w:val="20"/>
        </w:rPr>
        <w:t>Level 3</w:t>
      </w:r>
      <w:r>
        <w:rPr>
          <w:rFonts w:ascii="Times New Roman" w:hAnsi="Times New Roman"/>
          <w:b w:val="false"/>
          <w:i w:val="false"/>
          <w:caps w:val="false"/>
          <w:smallCaps w:val="false"/>
          <w:sz w:val="20"/>
        </w:rPr>
        <w:t>-Unobservable inputs that are significant to the measurement of the fair value of the assets or liabilities that are supported by little or no market data.</w:t>
      </w:r>
    </w:p>
    <w:p>
      <w:pPr>
        <w:pStyle w:val="TextBody"/>
        <w:bidi w:val="0"/>
        <w:spacing w:before="0" w:after="0"/>
        <w:jc w:val="both"/>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shows the Company’s short-term investments by significant investment category as of June 30, 2026, and December 31, 2025.</w:t>
      </w:r>
    </w:p>
    <w:p>
      <w:pPr>
        <w:pStyle w:val="TextBody"/>
        <w:bidi w:val="0"/>
        <w:spacing w:before="0" w:after="0"/>
        <w:jc w:val="both"/>
        <w:rPr>
          <w:caps w:val="false"/>
          <w:smallCaps w:val="false"/>
        </w:rPr>
      </w:pPr>
      <w:r>
        <w:rPr>
          <w:caps w:val="false"/>
          <w:smallCaps w:val="false"/>
        </w:rPr>
        <w:t> </w:t>
      </w:r>
    </w:p>
    <w:tbl>
      <w:tblPr>
        <w:tblW w:w="10140" w:type="dxa"/>
        <w:jc w:val="left"/>
        <w:tblInd w:w="0" w:type="dxa"/>
        <w:tblLayout w:type="fixed"/>
        <w:tblCellMar>
          <w:top w:w="0" w:type="dxa"/>
          <w:left w:w="0" w:type="dxa"/>
          <w:bottom w:w="0" w:type="dxa"/>
          <w:right w:w="0" w:type="dxa"/>
        </w:tblCellMar>
      </w:tblPr>
      <w:tblGrid>
        <w:gridCol w:w="2120"/>
        <w:gridCol w:w="170"/>
        <w:gridCol w:w="1505"/>
        <w:gridCol w:w="90"/>
        <w:gridCol w:w="90"/>
        <w:gridCol w:w="170"/>
        <w:gridCol w:w="1805"/>
        <w:gridCol w:w="90"/>
        <w:gridCol w:w="90"/>
        <w:gridCol w:w="170"/>
        <w:gridCol w:w="1880"/>
        <w:gridCol w:w="90"/>
        <w:gridCol w:w="90"/>
        <w:gridCol w:w="170"/>
        <w:gridCol w:w="1475"/>
        <w:gridCol w:w="135"/>
      </w:tblGrid>
      <w:tr>
        <w:trPr/>
        <w:tc>
          <w:tcPr>
            <w:tcW w:w="21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pPr>
            <w:r>
              <w:rPr/>
              <w:t> </w:t>
            </w:r>
          </w:p>
        </w:tc>
        <w:tc>
          <w:tcPr>
            <w:tcW w:w="8020" w:type="dxa"/>
            <w:gridSpan w:val="15"/>
            <w:tcBorders>
              <w:bottom w:val="single" w:sz="6" w:space="0" w:color="000000"/>
            </w:tcBorders>
            <w:tcMar>
              <w:bottom w:w="28" w:type="dxa"/>
            </w:tcMar>
            <w:vAlign w:val="center"/>
          </w:tcPr>
          <w:p>
            <w:pPr>
              <w:pStyle w:val="TableContents"/>
              <w:bidi w:val="0"/>
              <w:spacing w:before="0" w:after="283"/>
              <w:jc w:val="center"/>
              <w:rPr>
                <w:b/>
              </w:rPr>
            </w:pPr>
            <w:r>
              <w:rPr>
                <w:b/>
              </w:rPr>
              <w:t>As of June 30, 2026</w:t>
            </w:r>
          </w:p>
        </w:tc>
      </w:tr>
      <w:tr>
        <w:trPr/>
        <w:tc>
          <w:tcPr>
            <w:tcW w:w="212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505" w:type="dxa"/>
            <w:tcBorders>
              <w:bottom w:val="single" w:sz="6" w:space="0" w:color="000000"/>
            </w:tcBorders>
            <w:tcMar>
              <w:bottom w:w="28" w:type="dxa"/>
            </w:tcMar>
            <w:vAlign w:val="center"/>
          </w:tcPr>
          <w:p>
            <w:pPr>
              <w:pStyle w:val="TableContents"/>
              <w:bidi w:val="0"/>
              <w:spacing w:before="0" w:after="283"/>
              <w:jc w:val="center"/>
              <w:rPr>
                <w:b/>
              </w:rPr>
            </w:pPr>
            <w:r>
              <w:rPr>
                <w:b/>
              </w:rPr>
              <w:t>Adjusted Cost</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805" w:type="dxa"/>
            <w:tcBorders>
              <w:bottom w:val="single" w:sz="6" w:space="0" w:color="000000"/>
            </w:tcBorders>
            <w:tcMar>
              <w:bottom w:w="28" w:type="dxa"/>
            </w:tcMar>
            <w:vAlign w:val="center"/>
          </w:tcPr>
          <w:p>
            <w:pPr>
              <w:pStyle w:val="TableContents"/>
              <w:bidi w:val="0"/>
              <w:spacing w:before="0" w:after="283"/>
              <w:jc w:val="center"/>
              <w:rPr>
                <w:b/>
              </w:rPr>
            </w:pPr>
            <w:r>
              <w:rPr>
                <w:b/>
              </w:rPr>
              <w:t>Unrealized Gains</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880" w:type="dxa"/>
            <w:tcBorders>
              <w:bottom w:val="single" w:sz="6" w:space="0" w:color="000000"/>
            </w:tcBorders>
            <w:tcMar>
              <w:bottom w:w="28" w:type="dxa"/>
            </w:tcMar>
            <w:vAlign w:val="center"/>
          </w:tcPr>
          <w:p>
            <w:pPr>
              <w:pStyle w:val="TableContents"/>
              <w:bidi w:val="0"/>
              <w:spacing w:before="0" w:after="283"/>
              <w:jc w:val="center"/>
              <w:rPr>
                <w:b/>
              </w:rPr>
            </w:pPr>
            <w:r>
              <w:rPr>
                <w:b/>
              </w:rPr>
              <w:t>Unrealized Losses</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475" w:type="dxa"/>
            <w:tcBorders>
              <w:bottom w:val="single" w:sz="6" w:space="0" w:color="000000"/>
            </w:tcBorders>
            <w:tcMar>
              <w:bottom w:w="28" w:type="dxa"/>
            </w:tcMar>
            <w:vAlign w:val="center"/>
          </w:tcPr>
          <w:p>
            <w:pPr>
              <w:pStyle w:val="TableContents"/>
              <w:bidi w:val="0"/>
              <w:spacing w:before="0" w:after="283"/>
              <w:jc w:val="center"/>
              <w:rPr>
                <w:b/>
              </w:rPr>
            </w:pPr>
            <w:r>
              <w:rPr>
                <w:b/>
              </w:rPr>
              <w:t>Market Value</w:t>
            </w:r>
          </w:p>
        </w:tc>
        <w:tc>
          <w:tcPr>
            <w:tcW w:w="13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283"/>
              <w:jc w:val="left"/>
              <w:rPr/>
            </w:pPr>
            <w:r>
              <w:rPr/>
              <w:t>Level 1:</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505" w:type="dxa"/>
            <w:tcBorders>
              <w:bottom w:val="sing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805" w:type="dxa"/>
            <w:tcBorders>
              <w:bottom w:val="sing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880" w:type="dxa"/>
            <w:tcBorders>
              <w:bottom w:val="sing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475" w:type="dxa"/>
            <w:tcBorders>
              <w:bottom w:val="sing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3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Money Market Funds</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505" w:type="dxa"/>
            <w:tcBorders>
              <w:bottom w:val="double" w:sz="6" w:space="0" w:color="000000"/>
            </w:tcBorders>
            <w:tcMar>
              <w:bottom w:w="28" w:type="dxa"/>
            </w:tcMar>
            <w:vAlign w:val="center"/>
          </w:tcPr>
          <w:p>
            <w:pPr>
              <w:pStyle w:val="TableContents"/>
              <w:bidi w:val="0"/>
              <w:spacing w:before="0" w:after="283"/>
              <w:jc w:val="right"/>
              <w:rPr/>
            </w:pPr>
            <w:r>
              <w:rPr/>
              <w:t>641</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805" w:type="dxa"/>
            <w:tcBorders>
              <w:bottom w:val="double" w:sz="6"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880" w:type="dxa"/>
            <w:tcBorders>
              <w:bottom w:val="double" w:sz="6"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475" w:type="dxa"/>
            <w:tcBorders>
              <w:bottom w:val="double" w:sz="6" w:space="0" w:color="000000"/>
            </w:tcBorders>
            <w:tcMar>
              <w:bottom w:w="28" w:type="dxa"/>
            </w:tcMar>
            <w:vAlign w:val="center"/>
          </w:tcPr>
          <w:p>
            <w:pPr>
              <w:pStyle w:val="TableContents"/>
              <w:bidi w:val="0"/>
              <w:spacing w:before="0" w:after="283"/>
              <w:jc w:val="right"/>
              <w:rPr/>
            </w:pPr>
            <w:r>
              <w:rPr/>
              <w:t>641</w:t>
            </w:r>
          </w:p>
        </w:tc>
        <w:tc>
          <w:tcPr>
            <w:tcW w:w="135"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283"/>
              <w:jc w:val="left"/>
              <w:rPr/>
            </w:pPr>
            <w:r>
              <w:rPr/>
              <w:t>Total financial assets</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05" w:type="dxa"/>
            <w:tcBorders>
              <w:bottom w:val="double" w:sz="6" w:space="0" w:color="000000"/>
            </w:tcBorders>
            <w:shd w:fill="CCEEFF" w:val="clear"/>
            <w:tcMar>
              <w:bottom w:w="28" w:type="dxa"/>
            </w:tcMar>
            <w:vAlign w:val="center"/>
          </w:tcPr>
          <w:p>
            <w:pPr>
              <w:pStyle w:val="TableContents"/>
              <w:bidi w:val="0"/>
              <w:spacing w:before="0" w:after="283"/>
              <w:jc w:val="right"/>
              <w:rPr/>
            </w:pPr>
            <w:r>
              <w:rPr/>
              <w:t>641</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805" w:type="dxa"/>
            <w:tcBorders>
              <w:bottom w:val="double" w:sz="6"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880" w:type="dxa"/>
            <w:tcBorders>
              <w:bottom w:val="double" w:sz="6"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75" w:type="dxa"/>
            <w:tcBorders>
              <w:bottom w:val="double" w:sz="6" w:space="0" w:color="000000"/>
            </w:tcBorders>
            <w:shd w:fill="CCEEFF" w:val="clear"/>
            <w:tcMar>
              <w:bottom w:w="28" w:type="dxa"/>
            </w:tcMar>
            <w:vAlign w:val="center"/>
          </w:tcPr>
          <w:p>
            <w:pPr>
              <w:pStyle w:val="TableContents"/>
              <w:bidi w:val="0"/>
              <w:spacing w:before="0" w:after="283"/>
              <w:jc w:val="right"/>
              <w:rPr/>
            </w:pPr>
            <w:r>
              <w:rPr/>
              <w:t>641</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10140" w:type="dxa"/>
        <w:jc w:val="left"/>
        <w:tblInd w:w="0" w:type="dxa"/>
        <w:tblLayout w:type="fixed"/>
        <w:tblCellMar>
          <w:top w:w="0" w:type="dxa"/>
          <w:left w:w="0" w:type="dxa"/>
          <w:bottom w:w="0" w:type="dxa"/>
          <w:right w:w="0" w:type="dxa"/>
        </w:tblCellMar>
      </w:tblPr>
      <w:tblGrid>
        <w:gridCol w:w="2120"/>
        <w:gridCol w:w="170"/>
        <w:gridCol w:w="1505"/>
        <w:gridCol w:w="90"/>
        <w:gridCol w:w="90"/>
        <w:gridCol w:w="170"/>
        <w:gridCol w:w="1805"/>
        <w:gridCol w:w="90"/>
        <w:gridCol w:w="90"/>
        <w:gridCol w:w="170"/>
        <w:gridCol w:w="1880"/>
        <w:gridCol w:w="90"/>
        <w:gridCol w:w="90"/>
        <w:gridCol w:w="170"/>
        <w:gridCol w:w="1475"/>
        <w:gridCol w:w="135"/>
      </w:tblGrid>
      <w:tr>
        <w:trPr/>
        <w:tc>
          <w:tcPr>
            <w:tcW w:w="21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pPr>
            <w:r>
              <w:rPr/>
              <w:t> </w:t>
            </w:r>
          </w:p>
        </w:tc>
        <w:tc>
          <w:tcPr>
            <w:tcW w:w="8020" w:type="dxa"/>
            <w:gridSpan w:val="15"/>
            <w:tcBorders>
              <w:bottom w:val="single" w:sz="6" w:space="0" w:color="000000"/>
            </w:tcBorders>
            <w:tcMar>
              <w:bottom w:w="28" w:type="dxa"/>
            </w:tcMar>
            <w:vAlign w:val="center"/>
          </w:tcPr>
          <w:p>
            <w:pPr>
              <w:pStyle w:val="TableContents"/>
              <w:bidi w:val="0"/>
              <w:spacing w:before="0" w:after="283"/>
              <w:jc w:val="center"/>
              <w:rPr>
                <w:b/>
              </w:rPr>
            </w:pPr>
            <w:r>
              <w:rPr>
                <w:b/>
              </w:rPr>
              <w:t>As of December 31, 2025</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505" w:type="dxa"/>
            <w:tcBorders>
              <w:bottom w:val="single" w:sz="6" w:space="0" w:color="000000"/>
            </w:tcBorders>
            <w:tcMar>
              <w:bottom w:w="28" w:type="dxa"/>
            </w:tcMar>
            <w:vAlign w:val="center"/>
          </w:tcPr>
          <w:p>
            <w:pPr>
              <w:pStyle w:val="TableContents"/>
              <w:bidi w:val="0"/>
              <w:spacing w:before="0" w:after="283"/>
              <w:jc w:val="center"/>
              <w:rPr>
                <w:b/>
              </w:rPr>
            </w:pPr>
            <w:r>
              <w:rPr>
                <w:b/>
              </w:rPr>
              <w:t>Adjusted Cost</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805" w:type="dxa"/>
            <w:tcBorders>
              <w:bottom w:val="single" w:sz="6" w:space="0" w:color="000000"/>
            </w:tcBorders>
            <w:tcMar>
              <w:bottom w:w="28" w:type="dxa"/>
            </w:tcMar>
            <w:vAlign w:val="center"/>
          </w:tcPr>
          <w:p>
            <w:pPr>
              <w:pStyle w:val="TableContents"/>
              <w:bidi w:val="0"/>
              <w:spacing w:before="0" w:after="283"/>
              <w:jc w:val="center"/>
              <w:rPr>
                <w:b/>
              </w:rPr>
            </w:pPr>
            <w:r>
              <w:rPr>
                <w:b/>
              </w:rPr>
              <w:t>Unrealized Gains</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880" w:type="dxa"/>
            <w:tcBorders>
              <w:bottom w:val="single" w:sz="6" w:space="0" w:color="000000"/>
            </w:tcBorders>
            <w:tcMar>
              <w:bottom w:w="28" w:type="dxa"/>
            </w:tcMar>
            <w:vAlign w:val="center"/>
          </w:tcPr>
          <w:p>
            <w:pPr>
              <w:pStyle w:val="TableContents"/>
              <w:bidi w:val="0"/>
              <w:spacing w:before="0" w:after="283"/>
              <w:jc w:val="center"/>
              <w:rPr>
                <w:b/>
              </w:rPr>
            </w:pPr>
            <w:r>
              <w:rPr>
                <w:b/>
              </w:rPr>
              <w:t>Unrealized Losses</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475" w:type="dxa"/>
            <w:tcBorders>
              <w:bottom w:val="single" w:sz="6" w:space="0" w:color="000000"/>
            </w:tcBorders>
            <w:tcMar>
              <w:bottom w:w="28" w:type="dxa"/>
            </w:tcMar>
            <w:vAlign w:val="center"/>
          </w:tcPr>
          <w:p>
            <w:pPr>
              <w:pStyle w:val="TableContents"/>
              <w:bidi w:val="0"/>
              <w:spacing w:before="0" w:after="283"/>
              <w:jc w:val="center"/>
              <w:rPr>
                <w:b/>
              </w:rPr>
            </w:pPr>
            <w:r>
              <w:rPr>
                <w:b/>
              </w:rPr>
              <w:t>Market Value</w:t>
            </w:r>
          </w:p>
        </w:tc>
        <w:tc>
          <w:tcPr>
            <w:tcW w:w="13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283"/>
              <w:jc w:val="left"/>
              <w:rPr/>
            </w:pPr>
            <w:r>
              <w:rPr/>
              <w:t>Level 1:</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505" w:type="dxa"/>
            <w:tcBorders>
              <w:bottom w:val="sing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805" w:type="dxa"/>
            <w:tcBorders>
              <w:bottom w:val="sing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880" w:type="dxa"/>
            <w:tcBorders>
              <w:bottom w:val="sing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475" w:type="dxa"/>
            <w:tcBorders>
              <w:bottom w:val="sing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3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Money Market Funds</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505" w:type="dxa"/>
            <w:tcBorders>
              <w:bottom w:val="double" w:sz="6" w:space="0" w:color="000000"/>
            </w:tcBorders>
            <w:tcMar>
              <w:bottom w:w="28" w:type="dxa"/>
            </w:tcMar>
            <w:vAlign w:val="center"/>
          </w:tcPr>
          <w:p>
            <w:pPr>
              <w:pStyle w:val="TableContents"/>
              <w:bidi w:val="0"/>
              <w:spacing w:before="0" w:after="283"/>
              <w:jc w:val="right"/>
              <w:rPr/>
            </w:pPr>
            <w:r>
              <w:rPr/>
              <w:t>639</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805" w:type="dxa"/>
            <w:tcBorders>
              <w:bottom w:val="double" w:sz="6"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880" w:type="dxa"/>
            <w:tcBorders>
              <w:bottom w:val="double" w:sz="6"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475" w:type="dxa"/>
            <w:tcBorders>
              <w:bottom w:val="double" w:sz="6" w:space="0" w:color="000000"/>
            </w:tcBorders>
            <w:tcMar>
              <w:bottom w:w="28" w:type="dxa"/>
            </w:tcMar>
            <w:vAlign w:val="center"/>
          </w:tcPr>
          <w:p>
            <w:pPr>
              <w:pStyle w:val="TableContents"/>
              <w:bidi w:val="0"/>
              <w:spacing w:before="0" w:after="283"/>
              <w:jc w:val="right"/>
              <w:rPr/>
            </w:pPr>
            <w:r>
              <w:rPr/>
              <w:t>639</w:t>
            </w:r>
          </w:p>
        </w:tc>
        <w:tc>
          <w:tcPr>
            <w:tcW w:w="135"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283"/>
              <w:jc w:val="left"/>
              <w:rPr/>
            </w:pPr>
            <w:r>
              <w:rPr/>
              <w:t>Total financial assets</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05" w:type="dxa"/>
            <w:tcBorders>
              <w:bottom w:val="double" w:sz="6" w:space="0" w:color="000000"/>
            </w:tcBorders>
            <w:shd w:fill="CCEEFF" w:val="clear"/>
            <w:tcMar>
              <w:bottom w:w="28" w:type="dxa"/>
            </w:tcMar>
            <w:vAlign w:val="center"/>
          </w:tcPr>
          <w:p>
            <w:pPr>
              <w:pStyle w:val="TableContents"/>
              <w:bidi w:val="0"/>
              <w:spacing w:before="0" w:after="283"/>
              <w:jc w:val="right"/>
              <w:rPr/>
            </w:pPr>
            <w:r>
              <w:rPr/>
              <w:t>639</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805" w:type="dxa"/>
            <w:tcBorders>
              <w:bottom w:val="double" w:sz="6"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880" w:type="dxa"/>
            <w:tcBorders>
              <w:bottom w:val="double" w:sz="6"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75" w:type="dxa"/>
            <w:tcBorders>
              <w:bottom w:val="double" w:sz="6" w:space="0" w:color="000000"/>
            </w:tcBorders>
            <w:shd w:fill="CCEEFF" w:val="clear"/>
            <w:tcMar>
              <w:bottom w:w="28" w:type="dxa"/>
            </w:tcMar>
            <w:vAlign w:val="center"/>
          </w:tcPr>
          <w:p>
            <w:pPr>
              <w:pStyle w:val="TableContents"/>
              <w:bidi w:val="0"/>
              <w:spacing w:before="0" w:after="283"/>
              <w:jc w:val="right"/>
              <w:rPr/>
            </w:pPr>
            <w:r>
              <w:rPr/>
              <w:t>639</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June 30, 2026 and December 31, 2025, the Company has no warrant liabilities. All outstanding warrants are classified within permanent equity following amendments completed on June 30, 2025. Refer to Note 8 for further discussion. Other financial instruments, including accounts receivable, accounts payable, accrued liabilities and customer deposits, are carried at cost which approximates fair value due to their short-term nature.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4. INVENTORIES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Inventory is recorded at the lower of cost or net realizable value using the weighted average cost method. Inventories consisted of the following:</w:t>
      </w:r>
    </w:p>
    <w:p>
      <w:pPr>
        <w:pStyle w:val="TextBody"/>
        <w:bidi w:val="0"/>
        <w:spacing w:before="0" w:after="0"/>
        <w:jc w:val="both"/>
        <w:rPr>
          <w:caps w:val="false"/>
          <w:smallCaps w:val="false"/>
        </w:rPr>
      </w:pPr>
      <w:r>
        <w:rPr>
          <w:caps w:val="false"/>
          <w:smallCaps w:val="false"/>
        </w:rPr>
        <w:t> </w:t>
      </w:r>
      <w:r>
        <w:rPr>
          <w:rFonts w:ascii="Times New Roman" w:hAnsi="Times New Roman"/>
          <w:b w:val="false"/>
          <w:i w:val="false"/>
          <w:caps w:val="false"/>
          <w:smallCaps w:val="false"/>
          <w:sz w:val="20"/>
        </w:rPr>
        <w:t>SCHEDULE OF INVENTORY</w:t>
      </w:r>
    </w:p>
    <w:tbl>
      <w:tblPr>
        <w:tblW w:w="6756" w:type="dxa"/>
        <w:jc w:val="left"/>
        <w:tblInd w:w="0" w:type="dxa"/>
        <w:tblLayout w:type="fixed"/>
        <w:tblCellMar>
          <w:top w:w="0" w:type="dxa"/>
          <w:left w:w="0" w:type="dxa"/>
          <w:bottom w:w="0" w:type="dxa"/>
          <w:right w:w="0" w:type="dxa"/>
        </w:tblCellMar>
      </w:tblPr>
      <w:tblGrid>
        <w:gridCol w:w="2465"/>
        <w:gridCol w:w="53"/>
        <w:gridCol w:w="170"/>
        <w:gridCol w:w="1445"/>
        <w:gridCol w:w="185"/>
        <w:gridCol w:w="53"/>
        <w:gridCol w:w="170"/>
        <w:gridCol w:w="1985"/>
        <w:gridCol w:w="230"/>
      </w:tblGrid>
      <w:tr>
        <w:trPr/>
        <w:tc>
          <w:tcPr>
            <w:tcW w:w="2465"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5" w:type="dxa"/>
            <w:tcBorders>
              <w:bottom w:val="single" w:sz="6" w:space="0" w:color="000000"/>
            </w:tcBorders>
            <w:tcMar>
              <w:bottom w:w="28" w:type="dxa"/>
            </w:tcMar>
            <w:vAlign w:val="center"/>
          </w:tcPr>
          <w:p>
            <w:pPr>
              <w:pStyle w:val="TableContents"/>
              <w:bidi w:val="0"/>
              <w:spacing w:before="0" w:after="283"/>
              <w:jc w:val="center"/>
              <w:rPr>
                <w:b/>
              </w:rPr>
            </w:pPr>
            <w:r>
              <w:rPr>
                <w:b/>
              </w:rPr>
              <w:t>June 30, 2026</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985" w:type="dxa"/>
            <w:tcBorders>
              <w:bottom w:val="single" w:sz="6" w:space="0" w:color="000000"/>
            </w:tcBorders>
            <w:tcMar>
              <w:bottom w:w="28" w:type="dxa"/>
            </w:tcMar>
            <w:vAlign w:val="center"/>
          </w:tcPr>
          <w:p>
            <w:pPr>
              <w:pStyle w:val="TableContents"/>
              <w:bidi w:val="0"/>
              <w:spacing w:before="0" w:after="283"/>
              <w:jc w:val="center"/>
              <w:rPr>
                <w:b/>
              </w:rPr>
            </w:pPr>
            <w:r>
              <w:rPr>
                <w:b/>
              </w:rPr>
              <w:t>December 31, 2025</w:t>
            </w:r>
          </w:p>
        </w:tc>
        <w:tc>
          <w:tcPr>
            <w:tcW w:w="230"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2465"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right"/>
              <w:rPr/>
            </w:pPr>
            <w:r>
              <w:rPr/>
              <w:t> </w:t>
            </w:r>
          </w:p>
        </w:tc>
        <w:tc>
          <w:tcPr>
            <w:tcW w:w="198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r>
              <w:rPr/>
              <w:t> </w:t>
            </w:r>
          </w:p>
        </w:tc>
      </w:tr>
      <w:tr>
        <w:trPr/>
        <w:tc>
          <w:tcPr>
            <w:tcW w:w="2465" w:type="dxa"/>
            <w:tcBorders/>
            <w:shd w:fill="CCEEFF" w:val="clear"/>
            <w:vAlign w:val="center"/>
          </w:tcPr>
          <w:p>
            <w:pPr>
              <w:pStyle w:val="TableContents"/>
              <w:bidi w:val="0"/>
              <w:spacing w:before="0" w:after="283"/>
              <w:jc w:val="left"/>
              <w:rPr/>
            </w:pPr>
            <w:r>
              <w:rPr/>
              <w:t>Finished goods</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1445" w:type="dxa"/>
            <w:tcBorders/>
            <w:shd w:fill="CCEEFF" w:val="clear"/>
            <w:vAlign w:val="center"/>
          </w:tcPr>
          <w:p>
            <w:pPr>
              <w:pStyle w:val="TableContents"/>
              <w:bidi w:val="0"/>
              <w:spacing w:before="0" w:after="283"/>
              <w:jc w:val="right"/>
              <w:rPr/>
            </w:pPr>
            <w:r>
              <w:rPr/>
              <w:t>3,174</w:t>
            </w:r>
          </w:p>
        </w:tc>
        <w:tc>
          <w:tcPr>
            <w:tcW w:w="185" w:type="dxa"/>
            <w:tcBorders/>
            <w:shd w:fill="CCEEFF" w:val="clear"/>
            <w:vAlign w:val="center"/>
          </w:tcPr>
          <w:p>
            <w:pPr>
              <w:pStyle w:val="TableContents"/>
              <w:bidi w:val="0"/>
              <w:spacing w:before="0" w:after="283"/>
              <w:jc w:val="left"/>
              <w:rPr/>
            </w:pPr>
            <w:r>
              <w:rPr/>
              <w:t> </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1985" w:type="dxa"/>
            <w:tcBorders/>
            <w:shd w:fill="CCEEFF" w:val="clear"/>
            <w:vAlign w:val="center"/>
          </w:tcPr>
          <w:p>
            <w:pPr>
              <w:pStyle w:val="TableContents"/>
              <w:bidi w:val="0"/>
              <w:spacing w:before="0" w:after="283"/>
              <w:jc w:val="right"/>
              <w:rPr/>
            </w:pPr>
            <w:r>
              <w:rPr/>
              <w:t>3,509</w:t>
            </w:r>
          </w:p>
        </w:tc>
        <w:tc>
          <w:tcPr>
            <w:tcW w:w="230" w:type="dxa"/>
            <w:tcBorders/>
            <w:shd w:fill="CCEEFF" w:val="clear"/>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Raw materials</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1,628</w:t>
            </w:r>
          </w:p>
        </w:tc>
        <w:tc>
          <w:tcPr>
            <w:tcW w:w="185" w:type="dxa"/>
            <w:tcBorders/>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right"/>
              <w:rPr/>
            </w:pPr>
            <w:r>
              <w:rPr/>
              <w:t>1,978</w:t>
            </w:r>
          </w:p>
        </w:tc>
        <w:tc>
          <w:tcPr>
            <w:tcW w:w="230"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pPr>
            <w:r>
              <w:rPr/>
              <w:t>Reserve for obsolescence</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445" w:type="dxa"/>
            <w:tcBorders>
              <w:bottom w:val="single" w:sz="6" w:space="0" w:color="000000"/>
            </w:tcBorders>
            <w:shd w:fill="CCEEFF" w:val="clear"/>
            <w:tcMar>
              <w:bottom w:w="28" w:type="dxa"/>
            </w:tcMar>
            <w:vAlign w:val="center"/>
          </w:tcPr>
          <w:p>
            <w:pPr>
              <w:pStyle w:val="TableContents"/>
              <w:bidi w:val="0"/>
              <w:spacing w:before="0" w:after="283"/>
              <w:jc w:val="right"/>
              <w:rPr/>
            </w:pPr>
            <w:r>
              <w:rPr/>
              <w:t>(494</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985" w:type="dxa"/>
            <w:tcBorders>
              <w:bottom w:val="single" w:sz="6" w:space="0" w:color="000000"/>
            </w:tcBorders>
            <w:shd w:fill="CCEEFF" w:val="clear"/>
            <w:tcMar>
              <w:bottom w:w="28" w:type="dxa"/>
            </w:tcMar>
            <w:vAlign w:val="center"/>
          </w:tcPr>
          <w:p>
            <w:pPr>
              <w:pStyle w:val="TableContents"/>
              <w:bidi w:val="0"/>
              <w:spacing w:before="0" w:after="283"/>
              <w:jc w:val="right"/>
              <w:rPr/>
            </w:pPr>
            <w:r>
              <w:rPr/>
              <w:t>(516</w:t>
            </w:r>
          </w:p>
        </w:tc>
        <w:tc>
          <w:tcPr>
            <w:tcW w:w="23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Inventories, net</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445" w:type="dxa"/>
            <w:tcBorders>
              <w:bottom w:val="double" w:sz="6" w:space="0" w:color="000000"/>
            </w:tcBorders>
            <w:tcMar>
              <w:bottom w:w="28" w:type="dxa"/>
            </w:tcMar>
            <w:vAlign w:val="center"/>
          </w:tcPr>
          <w:p>
            <w:pPr>
              <w:pStyle w:val="TableContents"/>
              <w:bidi w:val="0"/>
              <w:spacing w:before="0" w:after="283"/>
              <w:jc w:val="right"/>
              <w:rPr/>
            </w:pPr>
            <w:r>
              <w:rPr/>
              <w:t>4,308</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985" w:type="dxa"/>
            <w:tcBorders>
              <w:bottom w:val="double" w:sz="6" w:space="0" w:color="000000"/>
            </w:tcBorders>
            <w:tcMar>
              <w:bottom w:w="28" w:type="dxa"/>
            </w:tcMar>
            <w:vAlign w:val="center"/>
          </w:tcPr>
          <w:p>
            <w:pPr>
              <w:pStyle w:val="TableContents"/>
              <w:bidi w:val="0"/>
              <w:spacing w:before="0" w:after="283"/>
              <w:jc w:val="right"/>
              <w:rPr/>
            </w:pPr>
            <w:r>
              <w:rPr/>
              <w:t>4,971</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Inventory reserve expense was $73 and $73 for the three and six months ended June 30, 2026, respectively, and $169 and $187 for the three and six months ended June 30, 2025, respectively.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5. PROPERTY AND EQUIPMENT, NET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Property and equipment consisted of the following:</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SCHEDULE OF PROPERTY AND EQUIPMENT</w:t>
      </w:r>
    </w:p>
    <w:tbl>
      <w:tblPr>
        <w:tblW w:w="8165" w:type="dxa"/>
        <w:jc w:val="left"/>
        <w:tblInd w:w="0" w:type="dxa"/>
        <w:tblLayout w:type="fixed"/>
        <w:tblCellMar>
          <w:top w:w="28" w:type="dxa"/>
          <w:left w:w="28" w:type="dxa"/>
          <w:bottom w:w="28" w:type="dxa"/>
          <w:right w:w="28" w:type="dxa"/>
        </w:tblCellMar>
      </w:tblPr>
      <w:tblGrid>
        <w:gridCol w:w="3616"/>
        <w:gridCol w:w="109"/>
        <w:gridCol w:w="226"/>
        <w:gridCol w:w="1501"/>
        <w:gridCol w:w="146"/>
        <w:gridCol w:w="109"/>
        <w:gridCol w:w="226"/>
        <w:gridCol w:w="2041"/>
        <w:gridCol w:w="191"/>
      </w:tblGrid>
      <w:tr>
        <w:trPr/>
        <w:tc>
          <w:tcPr>
            <w:tcW w:w="3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 </w:t>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 </w:t>
            </w:r>
          </w:p>
        </w:tc>
        <w:tc>
          <w:tcPr>
            <w:tcW w:w="20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 </w:t>
            </w:r>
          </w:p>
        </w:tc>
      </w:tr>
      <w:tr>
        <w:trPr/>
        <w:tc>
          <w:tcPr>
            <w:tcW w:w="3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June 30, 2026</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2041"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December 31, 2025</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3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 </w:t>
            </w:r>
          </w:p>
        </w:tc>
        <w:tc>
          <w:tcPr>
            <w:tcW w:w="15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right"/>
              <w:rPr/>
            </w:pPr>
            <w:r>
              <w:rPr/>
              <w:t> </w:t>
            </w:r>
          </w:p>
        </w:tc>
        <w:tc>
          <w:tcPr>
            <w:tcW w:w="20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right"/>
              <w:rPr/>
            </w:pPr>
            <w:r>
              <w:rPr/>
              <w:t> </w:t>
            </w:r>
          </w:p>
        </w:tc>
      </w:tr>
      <w:tr>
        <w:trPr/>
        <w:tc>
          <w:tcPr>
            <w:tcW w:w="3616" w:type="dxa"/>
            <w:tcBorders/>
            <w:shd w:fill="CCEEFF" w:val="clear"/>
            <w:vAlign w:val="center"/>
          </w:tcPr>
          <w:p>
            <w:pPr>
              <w:pStyle w:val="TableContents"/>
              <w:bidi w:val="0"/>
              <w:spacing w:before="0" w:after="283"/>
              <w:jc w:val="left"/>
              <w:rPr/>
            </w:pPr>
            <w:r>
              <w:rPr/>
              <w:t>Production and lab equipment</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pPr>
            <w:r>
              <w:rPr/>
              <w:t>$</w:t>
            </w:r>
          </w:p>
        </w:tc>
        <w:tc>
          <w:tcPr>
            <w:tcW w:w="1501" w:type="dxa"/>
            <w:tcBorders/>
            <w:shd w:fill="CCEEFF" w:val="clear"/>
            <w:vAlign w:val="center"/>
          </w:tcPr>
          <w:p>
            <w:pPr>
              <w:pStyle w:val="TableContents"/>
              <w:bidi w:val="0"/>
              <w:spacing w:before="0" w:after="283"/>
              <w:jc w:val="right"/>
              <w:rPr/>
            </w:pPr>
            <w:r>
              <w:rPr/>
              <w:t>391</w:t>
            </w:r>
          </w:p>
        </w:tc>
        <w:tc>
          <w:tcPr>
            <w:tcW w:w="146" w:type="dxa"/>
            <w:tcBorders/>
            <w:shd w:fill="CCEEFF" w:val="clear"/>
            <w:vAlign w:val="center"/>
          </w:tcPr>
          <w:p>
            <w:pPr>
              <w:pStyle w:val="TableContents"/>
              <w:bidi w:val="0"/>
              <w:spacing w:before="0" w:after="283"/>
              <w:jc w:val="left"/>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w:t>
            </w:r>
          </w:p>
        </w:tc>
        <w:tc>
          <w:tcPr>
            <w:tcW w:w="2041" w:type="dxa"/>
            <w:tcBorders/>
            <w:shd w:fill="CCEEFF" w:val="clear"/>
            <w:tcMar>
              <w:top w:w="0" w:type="dxa"/>
              <w:left w:w="0" w:type="dxa"/>
              <w:bottom w:w="0" w:type="dxa"/>
              <w:right w:w="0" w:type="dxa"/>
            </w:tcMar>
            <w:vAlign w:val="center"/>
          </w:tcPr>
          <w:p>
            <w:pPr>
              <w:pStyle w:val="TableContents"/>
              <w:bidi w:val="0"/>
              <w:spacing w:before="0" w:after="283"/>
              <w:jc w:val="right"/>
              <w:rPr/>
            </w:pPr>
            <w:r>
              <w:rPr/>
              <w:t>391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vAlign w:val="center"/>
          </w:tcPr>
          <w:p>
            <w:pPr>
              <w:pStyle w:val="TableContents"/>
              <w:bidi w:val="0"/>
              <w:spacing w:before="0" w:after="283"/>
              <w:jc w:val="left"/>
              <w:rPr/>
            </w:pPr>
            <w:r>
              <w:rPr/>
              <w:t>Tooling</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 </w:t>
            </w:r>
          </w:p>
        </w:tc>
        <w:tc>
          <w:tcPr>
            <w:tcW w:w="1501" w:type="dxa"/>
            <w:tcBorders/>
            <w:vAlign w:val="center"/>
          </w:tcPr>
          <w:p>
            <w:pPr>
              <w:pStyle w:val="TableContents"/>
              <w:bidi w:val="0"/>
              <w:spacing w:before="0" w:after="283"/>
              <w:jc w:val="right"/>
              <w:rPr/>
            </w:pPr>
            <w:r>
              <w:rPr/>
              <w:t xml:space="preserve">570 </w:t>
            </w:r>
          </w:p>
        </w:tc>
        <w:tc>
          <w:tcPr>
            <w:tcW w:w="146"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right"/>
              <w:rPr/>
            </w:pPr>
            <w:r>
              <w:rPr/>
              <w:t> </w:t>
            </w:r>
          </w:p>
        </w:tc>
        <w:tc>
          <w:tcPr>
            <w:tcW w:w="2041" w:type="dxa"/>
            <w:tcBorders/>
            <w:vAlign w:val="center"/>
          </w:tcPr>
          <w:p>
            <w:pPr>
              <w:pStyle w:val="TableContents"/>
              <w:bidi w:val="0"/>
              <w:spacing w:before="0" w:after="283"/>
              <w:jc w:val="right"/>
              <w:rPr/>
            </w:pPr>
            <w:r>
              <w:rPr/>
              <w:t xml:space="preserve">570 </w:t>
            </w:r>
          </w:p>
        </w:tc>
        <w:tc>
          <w:tcPr>
            <w:tcW w:w="191" w:type="dxa"/>
            <w:tcBorders/>
            <w:vAlign w:val="center"/>
          </w:tcPr>
          <w:p>
            <w:pPr>
              <w:pStyle w:val="TableContents"/>
              <w:bidi w:val="0"/>
              <w:spacing w:before="0" w:after="283"/>
              <w:jc w:val="right"/>
              <w:rPr/>
            </w:pPr>
            <w:r>
              <w:rPr/>
              <w:t> </w:t>
            </w:r>
          </w:p>
        </w:tc>
      </w:tr>
      <w:tr>
        <w:trPr/>
        <w:tc>
          <w:tcPr>
            <w:tcW w:w="3616" w:type="dxa"/>
            <w:tcBorders/>
            <w:shd w:fill="CCEEFF" w:val="clear"/>
            <w:vAlign w:val="center"/>
          </w:tcPr>
          <w:p>
            <w:pPr>
              <w:pStyle w:val="TableContents"/>
              <w:bidi w:val="0"/>
              <w:spacing w:before="0" w:after="283"/>
              <w:jc w:val="left"/>
              <w:rPr/>
            </w:pPr>
            <w:r>
              <w:rPr/>
              <w:t>Computer equipment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bidi w:val="0"/>
              <w:spacing w:before="0" w:after="283"/>
              <w:jc w:val="right"/>
              <w:rPr/>
            </w:pPr>
            <w:r>
              <w:rPr/>
              <w:t xml:space="preserve">194 </w:t>
            </w:r>
          </w:p>
        </w:tc>
        <w:tc>
          <w:tcPr>
            <w:tcW w:w="14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right"/>
              <w:rPr/>
            </w:pPr>
            <w:r>
              <w:rPr/>
              <w:t> </w:t>
            </w:r>
          </w:p>
        </w:tc>
        <w:tc>
          <w:tcPr>
            <w:tcW w:w="2041" w:type="dxa"/>
            <w:tcBorders/>
            <w:shd w:fill="CCEEFF" w:val="clear"/>
            <w:vAlign w:val="center"/>
          </w:tcPr>
          <w:p>
            <w:pPr>
              <w:pStyle w:val="TableContents"/>
              <w:bidi w:val="0"/>
              <w:spacing w:before="0" w:after="283"/>
              <w:jc w:val="right"/>
              <w:rPr/>
            </w:pPr>
            <w:r>
              <w:rPr/>
              <w:t xml:space="preserve">183 </w:t>
            </w:r>
          </w:p>
        </w:tc>
        <w:tc>
          <w:tcPr>
            <w:tcW w:w="191" w:type="dxa"/>
            <w:tcBorders/>
            <w:shd w:fill="CCEEFF" w:val="clear"/>
            <w:vAlign w:val="center"/>
          </w:tcPr>
          <w:p>
            <w:pPr>
              <w:pStyle w:val="TableContents"/>
              <w:bidi w:val="0"/>
              <w:spacing w:before="0" w:after="283"/>
              <w:jc w:val="right"/>
              <w:rPr/>
            </w:pPr>
            <w:r>
              <w:rPr/>
              <w:t> </w:t>
            </w:r>
          </w:p>
        </w:tc>
      </w:tr>
      <w:tr>
        <w:trPr/>
        <w:tc>
          <w:tcPr>
            <w:tcW w:w="3616" w:type="dxa"/>
            <w:tcBorders/>
            <w:vAlign w:val="center"/>
          </w:tcPr>
          <w:p>
            <w:pPr>
              <w:pStyle w:val="TableContents"/>
              <w:bidi w:val="0"/>
              <w:spacing w:before="0" w:after="283"/>
              <w:jc w:val="left"/>
              <w:rPr/>
            </w:pPr>
            <w:r>
              <w:rPr/>
              <w:t>Furniture, fixtures and improvements</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xml:space="preserve">81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2041"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xml:space="preserve">81 </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3616" w:type="dxa"/>
            <w:tcBorders/>
            <w:shd w:fill="CCEEFF" w:val="clear"/>
            <w:vAlign w:val="center"/>
          </w:tcPr>
          <w:p>
            <w:pPr>
              <w:pStyle w:val="TableContents"/>
              <w:bidi w:val="0"/>
              <w:spacing w:before="0" w:after="283"/>
              <w:jc w:val="left"/>
              <w:rPr/>
            </w:pPr>
            <w:r>
              <w:rPr/>
              <w:t>Property and equipment, gross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pPr>
            <w:r>
              <w:rPr/>
              <w:t>$</w:t>
            </w:r>
          </w:p>
        </w:tc>
        <w:tc>
          <w:tcPr>
            <w:tcW w:w="1501" w:type="dxa"/>
            <w:tcBorders/>
            <w:shd w:fill="CCEEFF" w:val="clear"/>
            <w:vAlign w:val="center"/>
          </w:tcPr>
          <w:p>
            <w:pPr>
              <w:pStyle w:val="TableContents"/>
              <w:bidi w:val="0"/>
              <w:spacing w:before="0" w:after="283"/>
              <w:jc w:val="right"/>
              <w:rPr/>
            </w:pPr>
            <w:r>
              <w:rPr/>
              <w:t>1,236</w:t>
            </w:r>
          </w:p>
        </w:tc>
        <w:tc>
          <w:tcPr>
            <w:tcW w:w="14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pPr>
            <w:r>
              <w:rPr/>
              <w:t>$</w:t>
            </w:r>
          </w:p>
        </w:tc>
        <w:tc>
          <w:tcPr>
            <w:tcW w:w="2041" w:type="dxa"/>
            <w:tcBorders/>
            <w:shd w:fill="CCEEFF" w:val="clear"/>
            <w:vAlign w:val="center"/>
          </w:tcPr>
          <w:p>
            <w:pPr>
              <w:pStyle w:val="TableContents"/>
              <w:bidi w:val="0"/>
              <w:spacing w:before="0" w:after="283"/>
              <w:jc w:val="right"/>
              <w:rPr/>
            </w:pPr>
            <w:r>
              <w:rPr/>
              <w:t>1,225</w:t>
            </w:r>
          </w:p>
        </w:tc>
        <w:tc>
          <w:tcPr>
            <w:tcW w:w="191" w:type="dxa"/>
            <w:tcBorders/>
            <w:shd w:fill="CCEEFF" w:val="clear"/>
            <w:vAlign w:val="center"/>
          </w:tcPr>
          <w:p>
            <w:pPr>
              <w:pStyle w:val="TableContents"/>
              <w:bidi w:val="0"/>
              <w:spacing w:before="0" w:after="283"/>
              <w:jc w:val="left"/>
              <w:rPr/>
            </w:pPr>
            <w:r>
              <w:rPr/>
              <w:t> </w:t>
            </w:r>
          </w:p>
        </w:tc>
      </w:tr>
      <w:tr>
        <w:trPr/>
        <w:tc>
          <w:tcPr>
            <w:tcW w:w="3616" w:type="dxa"/>
            <w:tcBorders/>
            <w:vAlign w:val="center"/>
          </w:tcPr>
          <w:p>
            <w:pPr>
              <w:pStyle w:val="TableContents"/>
              <w:bidi w:val="0"/>
              <w:spacing w:before="0" w:after="283"/>
              <w:jc w:val="left"/>
              <w:rPr/>
            </w:pPr>
            <w:r>
              <w:rPr/>
              <w:t>Accumulated depreciation</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(1,147)</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2041"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(1,102)</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3616" w:type="dxa"/>
            <w:tcBorders/>
            <w:shd w:fill="CCEEFF" w:val="clear"/>
            <w:vAlign w:val="center"/>
          </w:tcPr>
          <w:p>
            <w:pPr>
              <w:pStyle w:val="TableContents"/>
              <w:bidi w:val="0"/>
              <w:spacing w:before="0" w:after="283"/>
              <w:jc w:val="left"/>
              <w:rPr/>
            </w:pPr>
            <w:r>
              <w:rPr/>
              <w:t>Property and equipment,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15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89</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20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123</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Depreciation expense was $22 and $45 for the three and six months ended June 30, 2026, respectively, and $27 and $67 for the three and six months ended June 30, 2025, respectively.</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9</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6. INTANGIBLE ASSETS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Intangible Assets, net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Intangible assets, net consisted of the following:</w:t>
      </w:r>
    </w:p>
    <w:p>
      <w:pPr>
        <w:pStyle w:val="TextBody"/>
        <w:bidi w:val="0"/>
        <w:spacing w:before="0" w:after="0"/>
        <w:jc w:val="left"/>
        <w:rPr>
          <w:caps w:val="false"/>
          <w:smallCaps w:val="false"/>
        </w:rPr>
      </w:pPr>
      <w:r>
        <w:rPr>
          <w:caps w:val="false"/>
          <w:smallCaps w:val="false"/>
        </w:rPr>
        <w:t> </w:t>
      </w:r>
    </w:p>
    <w:tbl>
      <w:tblPr>
        <w:tblW w:w="8030" w:type="dxa"/>
        <w:jc w:val="left"/>
        <w:tblInd w:w="0" w:type="dxa"/>
        <w:tblLayout w:type="fixed"/>
        <w:tblCellMar>
          <w:top w:w="0" w:type="dxa"/>
          <w:left w:w="0" w:type="dxa"/>
          <w:bottom w:w="0" w:type="dxa"/>
          <w:right w:w="0" w:type="dxa"/>
        </w:tblCellMar>
      </w:tblPr>
      <w:tblGrid>
        <w:gridCol w:w="3665"/>
        <w:gridCol w:w="90"/>
        <w:gridCol w:w="170"/>
        <w:gridCol w:w="1445"/>
        <w:gridCol w:w="185"/>
        <w:gridCol w:w="90"/>
        <w:gridCol w:w="170"/>
        <w:gridCol w:w="1985"/>
        <w:gridCol w:w="230"/>
      </w:tblGrid>
      <w:tr>
        <w:trPr/>
        <w:tc>
          <w:tcPr>
            <w:tcW w:w="366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6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5" w:type="dxa"/>
            <w:tcBorders>
              <w:bottom w:val="single" w:sz="6" w:space="0" w:color="000000"/>
            </w:tcBorders>
            <w:tcMar>
              <w:bottom w:w="28" w:type="dxa"/>
            </w:tcMar>
            <w:vAlign w:val="center"/>
          </w:tcPr>
          <w:p>
            <w:pPr>
              <w:pStyle w:val="TableContents"/>
              <w:bidi w:val="0"/>
              <w:spacing w:before="0" w:after="283"/>
              <w:jc w:val="center"/>
              <w:rPr>
                <w:b/>
              </w:rPr>
            </w:pPr>
            <w:r>
              <w:rPr>
                <w:b/>
              </w:rPr>
              <w:t>June 30, 2026</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985" w:type="dxa"/>
            <w:tcBorders>
              <w:bottom w:val="single" w:sz="6" w:space="0" w:color="000000"/>
            </w:tcBorders>
            <w:tcMar>
              <w:bottom w:w="28" w:type="dxa"/>
            </w:tcMar>
            <w:vAlign w:val="center"/>
          </w:tcPr>
          <w:p>
            <w:pPr>
              <w:pStyle w:val="TableContents"/>
              <w:bidi w:val="0"/>
              <w:spacing w:before="0" w:after="283"/>
              <w:jc w:val="center"/>
              <w:rPr>
                <w:b/>
              </w:rPr>
            </w:pPr>
            <w:r>
              <w:rPr>
                <w:b/>
              </w:rPr>
              <w:t>December 31, 2025</w:t>
            </w:r>
          </w:p>
        </w:tc>
        <w:tc>
          <w:tcPr>
            <w:tcW w:w="23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Amortizable intangible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Patents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45" w:type="dxa"/>
            <w:tcBorders/>
            <w:shd w:fill="CCEEFF" w:val="clear"/>
            <w:vAlign w:val="center"/>
          </w:tcPr>
          <w:p>
            <w:pPr>
              <w:pStyle w:val="TableContents"/>
              <w:bidi w:val="0"/>
              <w:spacing w:before="0" w:after="283"/>
              <w:jc w:val="right"/>
              <w:rPr/>
            </w:pPr>
            <w:r>
              <w:rPr/>
              <w:t>1,206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985" w:type="dxa"/>
            <w:tcBorders/>
            <w:shd w:fill="CCEEFF" w:val="clear"/>
            <w:vAlign w:val="center"/>
          </w:tcPr>
          <w:p>
            <w:pPr>
              <w:pStyle w:val="TableContents"/>
              <w:bidi w:val="0"/>
              <w:spacing w:before="0" w:after="283"/>
              <w:jc w:val="right"/>
              <w:rPr/>
            </w:pPr>
            <w:r>
              <w:rPr/>
              <w:t>1,142</w:t>
            </w:r>
          </w:p>
        </w:tc>
        <w:tc>
          <w:tcPr>
            <w:tcW w:w="230" w:type="dxa"/>
            <w:tcBorders/>
            <w:shd w:fill="CCEEFF" w:val="clear"/>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Trademarks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400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right"/>
              <w:rPr/>
            </w:pPr>
            <w:r>
              <w:rPr/>
              <w:t>367</w:t>
            </w:r>
          </w:p>
        </w:tc>
        <w:tc>
          <w:tcPr>
            <w:tcW w:w="230"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Purchased software and technology</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445" w:type="dxa"/>
            <w:tcBorders>
              <w:bottom w:val="single" w:sz="6" w:space="0" w:color="000000"/>
            </w:tcBorders>
            <w:shd w:fill="CCEEFF" w:val="clear"/>
            <w:tcMar>
              <w:bottom w:w="28" w:type="dxa"/>
            </w:tcMar>
            <w:vAlign w:val="center"/>
          </w:tcPr>
          <w:p>
            <w:pPr>
              <w:pStyle w:val="TableContents"/>
              <w:bidi w:val="0"/>
              <w:spacing w:before="0" w:after="283"/>
              <w:jc w:val="right"/>
              <w:rPr/>
            </w:pPr>
            <w:r>
              <w:rPr/>
              <w:t>512</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985" w:type="dxa"/>
            <w:tcBorders>
              <w:bottom w:val="single" w:sz="6" w:space="0" w:color="000000"/>
            </w:tcBorders>
            <w:shd w:fill="CCEEFF" w:val="clear"/>
            <w:tcMar>
              <w:bottom w:w="28" w:type="dxa"/>
            </w:tcMar>
            <w:vAlign w:val="center"/>
          </w:tcPr>
          <w:p>
            <w:pPr>
              <w:pStyle w:val="TableContents"/>
              <w:bidi w:val="0"/>
              <w:spacing w:before="0" w:after="283"/>
              <w:jc w:val="right"/>
              <w:rPr/>
            </w:pPr>
            <w:r>
              <w:rPr/>
              <w:t>512</w:t>
            </w:r>
          </w:p>
        </w:tc>
        <w:tc>
          <w:tcPr>
            <w:tcW w:w="23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Gross amortizable intangibles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445" w:type="dxa"/>
            <w:tcBorders/>
            <w:vAlign w:val="center"/>
          </w:tcPr>
          <w:p>
            <w:pPr>
              <w:pStyle w:val="TableContents"/>
              <w:bidi w:val="0"/>
              <w:spacing w:before="0" w:after="283"/>
              <w:jc w:val="right"/>
              <w:rPr/>
            </w:pPr>
            <w:r>
              <w:rPr/>
              <w:t>2,118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985" w:type="dxa"/>
            <w:tcBorders/>
            <w:vAlign w:val="center"/>
          </w:tcPr>
          <w:p>
            <w:pPr>
              <w:pStyle w:val="TableContents"/>
              <w:bidi w:val="0"/>
              <w:spacing w:before="0" w:after="283"/>
              <w:jc w:val="right"/>
              <w:rPr/>
            </w:pPr>
            <w:r>
              <w:rPr/>
              <w:t>2,021</w:t>
            </w:r>
          </w:p>
        </w:tc>
        <w:tc>
          <w:tcPr>
            <w:tcW w:w="230"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Accumulated amortization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445" w:type="dxa"/>
            <w:tcBorders>
              <w:bottom w:val="single" w:sz="6" w:space="0" w:color="000000"/>
            </w:tcBorders>
            <w:shd w:fill="CCEEFF" w:val="clear"/>
            <w:tcMar>
              <w:bottom w:w="28" w:type="dxa"/>
            </w:tcMar>
            <w:vAlign w:val="center"/>
          </w:tcPr>
          <w:p>
            <w:pPr>
              <w:pStyle w:val="TableContents"/>
              <w:bidi w:val="0"/>
              <w:spacing w:before="0" w:after="283"/>
              <w:jc w:val="right"/>
              <w:rPr/>
            </w:pPr>
            <w:r>
              <w:rPr/>
              <w:t>(936</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985" w:type="dxa"/>
            <w:tcBorders>
              <w:bottom w:val="single" w:sz="6" w:space="0" w:color="000000"/>
            </w:tcBorders>
            <w:shd w:fill="CCEEFF" w:val="clear"/>
            <w:tcMar>
              <w:bottom w:w="28" w:type="dxa"/>
            </w:tcMar>
            <w:vAlign w:val="center"/>
          </w:tcPr>
          <w:p>
            <w:pPr>
              <w:pStyle w:val="TableContents"/>
              <w:bidi w:val="0"/>
              <w:spacing w:before="0" w:after="283"/>
              <w:jc w:val="right"/>
              <w:rPr/>
            </w:pPr>
            <w:r>
              <w:rPr/>
              <w:t>(870</w:t>
            </w:r>
          </w:p>
        </w:tc>
        <w:tc>
          <w:tcPr>
            <w:tcW w:w="23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Total amortizable,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445" w:type="dxa"/>
            <w:tcBorders/>
            <w:vAlign w:val="center"/>
          </w:tcPr>
          <w:p>
            <w:pPr>
              <w:pStyle w:val="TableContents"/>
              <w:bidi w:val="0"/>
              <w:spacing w:before="0" w:after="283"/>
              <w:jc w:val="right"/>
              <w:rPr/>
            </w:pPr>
            <w:r>
              <w:rPr/>
              <w:t>1,182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985" w:type="dxa"/>
            <w:tcBorders/>
            <w:vAlign w:val="center"/>
          </w:tcPr>
          <w:p>
            <w:pPr>
              <w:pStyle w:val="TableContents"/>
              <w:bidi w:val="0"/>
              <w:spacing w:before="0" w:after="283"/>
              <w:jc w:val="right"/>
              <w:rPr/>
            </w:pPr>
            <w:r>
              <w:rPr/>
              <w:t>1,151</w:t>
            </w:r>
          </w:p>
        </w:tc>
        <w:tc>
          <w:tcPr>
            <w:tcW w:w="230"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Indefinite life assets (non-amortizable)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445" w:type="dxa"/>
            <w:tcBorders>
              <w:bottom w:val="single" w:sz="6" w:space="0" w:color="000000"/>
            </w:tcBorders>
            <w:shd w:fill="CCEEFF" w:val="clear"/>
            <w:tcMar>
              <w:bottom w:w="28" w:type="dxa"/>
            </w:tcMar>
            <w:vAlign w:val="center"/>
          </w:tcPr>
          <w:p>
            <w:pPr>
              <w:pStyle w:val="TableContents"/>
              <w:bidi w:val="0"/>
              <w:spacing w:before="0" w:after="283"/>
              <w:jc w:val="right"/>
              <w:rPr/>
            </w:pPr>
            <w:r>
              <w:rPr/>
              <w:t>421</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985" w:type="dxa"/>
            <w:tcBorders>
              <w:bottom w:val="single" w:sz="6" w:space="0" w:color="000000"/>
            </w:tcBorders>
            <w:shd w:fill="CCEEFF" w:val="clear"/>
            <w:tcMar>
              <w:bottom w:w="28" w:type="dxa"/>
            </w:tcMar>
            <w:vAlign w:val="center"/>
          </w:tcPr>
          <w:p>
            <w:pPr>
              <w:pStyle w:val="TableContents"/>
              <w:bidi w:val="0"/>
              <w:spacing w:before="0" w:after="283"/>
              <w:jc w:val="right"/>
              <w:rPr/>
            </w:pPr>
            <w:r>
              <w:rPr/>
              <w:t>421</w:t>
            </w:r>
          </w:p>
        </w:tc>
        <w:tc>
          <w:tcPr>
            <w:tcW w:w="23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Total intangible assets, net</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445" w:type="dxa"/>
            <w:tcBorders>
              <w:bottom w:val="double" w:sz="6" w:space="0" w:color="000000"/>
            </w:tcBorders>
            <w:tcMar>
              <w:bottom w:w="28" w:type="dxa"/>
            </w:tcMar>
            <w:vAlign w:val="center"/>
          </w:tcPr>
          <w:p>
            <w:pPr>
              <w:pStyle w:val="TableContents"/>
              <w:bidi w:val="0"/>
              <w:spacing w:before="0" w:after="283"/>
              <w:jc w:val="right"/>
              <w:rPr/>
            </w:pPr>
            <w:r>
              <w:rPr/>
              <w:t>1,603</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985" w:type="dxa"/>
            <w:tcBorders>
              <w:bottom w:val="double" w:sz="6" w:space="0" w:color="000000"/>
            </w:tcBorders>
            <w:tcMar>
              <w:bottom w:w="28" w:type="dxa"/>
            </w:tcMar>
            <w:vAlign w:val="center"/>
          </w:tcPr>
          <w:p>
            <w:pPr>
              <w:pStyle w:val="TableContents"/>
              <w:bidi w:val="0"/>
              <w:spacing w:before="0" w:after="283"/>
              <w:jc w:val="right"/>
              <w:rPr/>
            </w:pPr>
            <w:r>
              <w:rPr/>
              <w:t>1,572</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Amortization expense was $33 and $66 for the three and six months ended June 30, 2026, respectively, and $123 and $238 for the three and six months ended June 30, 2025, respectively.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June 30, 2026, future amortization expense is as follows:</w:t>
      </w:r>
    </w:p>
    <w:p>
      <w:pPr>
        <w:pStyle w:val="TextBody"/>
        <w:bidi w:val="0"/>
        <w:spacing w:before="0" w:after="0"/>
        <w:jc w:val="both"/>
        <w:rPr>
          <w:caps w:val="false"/>
          <w:smallCaps w:val="false"/>
        </w:rPr>
      </w:pPr>
      <w:r>
        <w:rPr>
          <w:caps w:val="false"/>
          <w:smallCaps w:val="false"/>
        </w:rPr>
        <w:t> </w:t>
      </w:r>
    </w:p>
    <w:tbl>
      <w:tblPr>
        <w:tblW w:w="2573" w:type="dxa"/>
        <w:jc w:val="left"/>
        <w:tblInd w:w="0" w:type="dxa"/>
        <w:tblLayout w:type="fixed"/>
        <w:tblCellMar>
          <w:top w:w="0" w:type="dxa"/>
          <w:left w:w="0" w:type="dxa"/>
          <w:bottom w:w="0" w:type="dxa"/>
          <w:right w:w="0" w:type="dxa"/>
        </w:tblCellMar>
      </w:tblPr>
      <w:tblGrid>
        <w:gridCol w:w="1625"/>
        <w:gridCol w:w="53"/>
        <w:gridCol w:w="170"/>
        <w:gridCol w:w="590"/>
        <w:gridCol w:w="135"/>
      </w:tblGrid>
      <w:tr>
        <w:trPr/>
        <w:tc>
          <w:tcPr>
            <w:tcW w:w="1625"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283"/>
              <w:jc w:val="left"/>
              <w:rPr/>
            </w:pPr>
            <w:r>
              <w:rPr/>
              <w:t>2026 (6 months)</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62</w:t>
            </w:r>
          </w:p>
        </w:tc>
        <w:tc>
          <w:tcPr>
            <w:tcW w:w="135" w:type="dxa"/>
            <w:tcBorders/>
            <w:shd w:fill="CCEEFF" w:val="cle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2027</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123</w:t>
            </w:r>
          </w:p>
        </w:tc>
        <w:tc>
          <w:tcPr>
            <w:tcW w:w="135" w:type="dxa"/>
            <w:tcBorders/>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283"/>
              <w:jc w:val="left"/>
              <w:rPr/>
            </w:pPr>
            <w:r>
              <w:rPr/>
              <w:t>2028</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123</w:t>
            </w:r>
          </w:p>
        </w:tc>
        <w:tc>
          <w:tcPr>
            <w:tcW w:w="135" w:type="dxa"/>
            <w:tcBorders/>
            <w:shd w:fill="CCEEFF" w:val="cle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2029</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122</w:t>
            </w:r>
          </w:p>
        </w:tc>
        <w:tc>
          <w:tcPr>
            <w:tcW w:w="135" w:type="dxa"/>
            <w:tcBorders/>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283"/>
              <w:jc w:val="left"/>
              <w:rPr/>
            </w:pPr>
            <w:r>
              <w:rPr/>
              <w:t>2030</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122</w:t>
            </w:r>
          </w:p>
        </w:tc>
        <w:tc>
          <w:tcPr>
            <w:tcW w:w="135" w:type="dxa"/>
            <w:tcBorders/>
            <w:shd w:fill="CCEEFF" w:val="cle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Thereafter</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630</w:t>
            </w:r>
          </w:p>
        </w:tc>
        <w:tc>
          <w:tcPr>
            <w:tcW w:w="13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283"/>
              <w:jc w:val="left"/>
              <w:rPr/>
            </w:pPr>
            <w:r>
              <w:rPr/>
              <w:t>Total</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pPr>
            <w:r>
              <w:rPr/>
              <w:t>1,182</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7. ACCOUNTS PAYABLE AND ACCRUED LIABILITIES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Accrued liabilities consist of the following:</w:t>
      </w:r>
    </w:p>
    <w:p>
      <w:pPr>
        <w:pStyle w:val="TextBody"/>
        <w:bidi w:val="0"/>
        <w:spacing w:before="0" w:after="0"/>
        <w:jc w:val="both"/>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2255"/>
        <w:gridCol w:w="90"/>
        <w:gridCol w:w="170"/>
        <w:gridCol w:w="1445"/>
        <w:gridCol w:w="90"/>
        <w:gridCol w:w="90"/>
        <w:gridCol w:w="170"/>
        <w:gridCol w:w="1985"/>
        <w:gridCol w:w="135"/>
      </w:tblGrid>
      <w:tr>
        <w:trPr/>
        <w:tc>
          <w:tcPr>
            <w:tcW w:w="225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5" w:type="dxa"/>
            <w:tcBorders>
              <w:bottom w:val="single" w:sz="6" w:space="0" w:color="000000"/>
            </w:tcBorders>
            <w:tcMar>
              <w:bottom w:w="28" w:type="dxa"/>
            </w:tcMar>
            <w:vAlign w:val="center"/>
          </w:tcPr>
          <w:p>
            <w:pPr>
              <w:pStyle w:val="TableContents"/>
              <w:bidi w:val="0"/>
              <w:spacing w:before="0" w:after="283"/>
              <w:jc w:val="center"/>
              <w:rPr>
                <w:b/>
              </w:rPr>
            </w:pPr>
            <w:r>
              <w:rPr>
                <w:b/>
              </w:rPr>
              <w:t>June 30, 2026</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985" w:type="dxa"/>
            <w:tcBorders>
              <w:bottom w:val="single" w:sz="6" w:space="0" w:color="000000"/>
            </w:tcBorders>
            <w:tcMar>
              <w:bottom w:w="28" w:type="dxa"/>
            </w:tcMar>
            <w:vAlign w:val="center"/>
          </w:tcPr>
          <w:p>
            <w:pPr>
              <w:pStyle w:val="TableContents"/>
              <w:bidi w:val="0"/>
              <w:spacing w:before="0" w:after="283"/>
              <w:jc w:val="center"/>
              <w:rPr>
                <w:b/>
              </w:rPr>
            </w:pPr>
            <w:r>
              <w:rPr>
                <w:b/>
              </w:rPr>
              <w:t>December 31, 2025</w:t>
            </w:r>
          </w:p>
        </w:tc>
        <w:tc>
          <w:tcPr>
            <w:tcW w:w="13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before="0" w:after="283"/>
              <w:jc w:val="left"/>
              <w:rPr/>
            </w:pPr>
            <w:r>
              <w:rPr/>
              <w:t>Patent and legal costs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45" w:type="dxa"/>
            <w:tcBorders/>
            <w:shd w:fill="CCEEFF" w:val="clear"/>
            <w:vAlign w:val="center"/>
          </w:tcPr>
          <w:p>
            <w:pPr>
              <w:pStyle w:val="TableContents"/>
              <w:bidi w:val="0"/>
              <w:spacing w:before="0" w:after="283"/>
              <w:jc w:val="right"/>
              <w:rPr/>
            </w:pPr>
            <w:r>
              <w:rPr/>
              <w:t>115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985" w:type="dxa"/>
            <w:tcBorders/>
            <w:shd w:fill="CCEEFF" w:val="clear"/>
            <w:vAlign w:val="center"/>
          </w:tcPr>
          <w:p>
            <w:pPr>
              <w:pStyle w:val="TableContents"/>
              <w:bidi w:val="0"/>
              <w:spacing w:before="0" w:after="283"/>
              <w:jc w:val="right"/>
              <w:rPr/>
            </w:pPr>
            <w:r>
              <w:rPr/>
              <w:t>111</w:t>
            </w:r>
          </w:p>
        </w:tc>
        <w:tc>
          <w:tcPr>
            <w:tcW w:w="135" w:type="dxa"/>
            <w:tcBorders/>
            <w:shd w:fill="CCEEFF" w:val="clear"/>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left"/>
              <w:rPr/>
            </w:pPr>
            <w:r>
              <w:rPr/>
              <w:t>Accrued compensation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right"/>
              <w:rPr/>
            </w:pPr>
            <w:r>
              <w:rPr/>
              <w:t>2</w:t>
            </w:r>
          </w:p>
        </w:tc>
        <w:tc>
          <w:tcPr>
            <w:tcW w:w="135" w:type="dxa"/>
            <w:tcBorders/>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before="0" w:after="283"/>
              <w:jc w:val="left"/>
              <w:rPr/>
            </w:pPr>
            <w:r>
              <w:rPr/>
              <w:t>Warranty costs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pPr>
            <w:r>
              <w:rPr/>
              <w:t>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right"/>
              <w:rPr/>
            </w:pPr>
            <w:r>
              <w:rPr/>
              <w:t>30</w:t>
            </w:r>
          </w:p>
        </w:tc>
        <w:tc>
          <w:tcPr>
            <w:tcW w:w="135" w:type="dxa"/>
            <w:tcBorders/>
            <w:shd w:fill="CCEEFF" w:val="clear"/>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left"/>
              <w:rPr/>
            </w:pPr>
            <w:r>
              <w:rPr/>
              <w:t xml:space="preserve">Royalty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99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right"/>
              <w:rPr/>
            </w:pPr>
            <w:r>
              <w:rPr/>
              <w:t>99</w:t>
            </w:r>
          </w:p>
        </w:tc>
        <w:tc>
          <w:tcPr>
            <w:tcW w:w="135" w:type="dxa"/>
            <w:tcBorders/>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before="0" w:after="283"/>
              <w:jc w:val="left"/>
              <w:rPr/>
            </w:pPr>
            <w:r>
              <w:rPr/>
              <w:t>Accrued purchases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right"/>
              <w:rPr/>
            </w:pPr>
            <w:r>
              <w:rPr/>
              <w:t>6</w:t>
            </w:r>
          </w:p>
        </w:tc>
        <w:tc>
          <w:tcPr>
            <w:tcW w:w="135" w:type="dxa"/>
            <w:tcBorders/>
            <w:shd w:fill="CCEEFF" w:val="clear"/>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left"/>
              <w:rPr/>
            </w:pPr>
            <w:r>
              <w:rPr/>
              <w:t>Taxes and other</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5" w:type="dxa"/>
            <w:tcBorders>
              <w:bottom w:val="single" w:sz="6" w:space="0" w:color="000000"/>
            </w:tcBorders>
            <w:tcMar>
              <w:bottom w:w="28" w:type="dxa"/>
            </w:tcMar>
            <w:vAlign w:val="center"/>
          </w:tcPr>
          <w:p>
            <w:pPr>
              <w:pStyle w:val="TableContents"/>
              <w:bidi w:val="0"/>
              <w:spacing w:before="0" w:after="283"/>
              <w:jc w:val="right"/>
              <w:rPr/>
            </w:pPr>
            <w:r>
              <w:rPr/>
              <w:t>30</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985" w:type="dxa"/>
            <w:tcBorders>
              <w:bottom w:val="single" w:sz="6" w:space="0" w:color="000000"/>
            </w:tcBorders>
            <w:tcMar>
              <w:bottom w:w="28" w:type="dxa"/>
            </w:tcMar>
            <w:vAlign w:val="center"/>
          </w:tcPr>
          <w:p>
            <w:pPr>
              <w:pStyle w:val="TableContents"/>
              <w:bidi w:val="0"/>
              <w:spacing w:before="0" w:after="283"/>
              <w:jc w:val="right"/>
              <w:rPr/>
            </w:pPr>
            <w:r>
              <w:rPr/>
              <w:t>159</w:t>
            </w:r>
          </w:p>
        </w:tc>
        <w:tc>
          <w:tcPr>
            <w:tcW w:w="13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before="0" w:after="283"/>
              <w:jc w:val="left"/>
              <w:rPr/>
            </w:pPr>
            <w:r>
              <w:rPr/>
              <w:t>Total accrued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45" w:type="dxa"/>
            <w:tcBorders>
              <w:bottom w:val="double" w:sz="6" w:space="0" w:color="000000"/>
            </w:tcBorders>
            <w:shd w:fill="CCEEFF" w:val="clear"/>
            <w:tcMar>
              <w:bottom w:w="28" w:type="dxa"/>
            </w:tcMar>
            <w:vAlign w:val="center"/>
          </w:tcPr>
          <w:p>
            <w:pPr>
              <w:pStyle w:val="TableContents"/>
              <w:bidi w:val="0"/>
              <w:spacing w:before="0" w:after="283"/>
              <w:jc w:val="right"/>
              <w:rPr/>
            </w:pPr>
            <w:r>
              <w:rPr/>
              <w:t>310</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985" w:type="dxa"/>
            <w:tcBorders>
              <w:bottom w:val="double" w:sz="6" w:space="0" w:color="000000"/>
            </w:tcBorders>
            <w:shd w:fill="CCEEFF" w:val="clear"/>
            <w:tcMar>
              <w:bottom w:w="28" w:type="dxa"/>
            </w:tcMar>
            <w:vAlign w:val="center"/>
          </w:tcPr>
          <w:p>
            <w:pPr>
              <w:pStyle w:val="TableContents"/>
              <w:bidi w:val="0"/>
              <w:spacing w:before="0" w:after="283"/>
              <w:jc w:val="right"/>
              <w:rPr/>
            </w:pPr>
            <w:r>
              <w:rPr/>
              <w:t>407</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Changes in our estimated product warranty costs were as follows:</w:t>
      </w:r>
    </w:p>
    <w:p>
      <w:pPr>
        <w:pStyle w:val="TextBody"/>
        <w:bidi w:val="0"/>
        <w:spacing w:before="0" w:after="0"/>
        <w:jc w:val="both"/>
        <w:rPr>
          <w:caps w:val="false"/>
          <w:smallCaps w:val="false"/>
        </w:rPr>
      </w:pPr>
      <w:r>
        <w:rPr>
          <w:caps w:val="false"/>
          <w:smallCaps w:val="false"/>
        </w:rPr>
        <w:t> </w:t>
      </w:r>
    </w:p>
    <w:tbl>
      <w:tblPr>
        <w:tblW w:w="5796" w:type="dxa"/>
        <w:jc w:val="left"/>
        <w:tblInd w:w="0" w:type="dxa"/>
        <w:tblLayout w:type="fixed"/>
        <w:tblCellMar>
          <w:top w:w="0" w:type="dxa"/>
          <w:left w:w="0" w:type="dxa"/>
          <w:bottom w:w="0" w:type="dxa"/>
          <w:right w:w="0" w:type="dxa"/>
        </w:tblCellMar>
      </w:tblPr>
      <w:tblGrid>
        <w:gridCol w:w="2810"/>
        <w:gridCol w:w="90"/>
        <w:gridCol w:w="258"/>
        <w:gridCol w:w="806"/>
        <w:gridCol w:w="281"/>
        <w:gridCol w:w="137"/>
        <w:gridCol w:w="258"/>
        <w:gridCol w:w="806"/>
        <w:gridCol w:w="350"/>
      </w:tblGrid>
      <w:tr>
        <w:trPr/>
        <w:tc>
          <w:tcPr>
            <w:tcW w:w="281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28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6" w:type="dxa"/>
            <w:gridSpan w:val="7"/>
            <w:tcBorders>
              <w:bottom w:val="single" w:sz="6" w:space="0" w:color="000000"/>
            </w:tcBorders>
            <w:tcMar>
              <w:bottom w:w="28" w:type="dxa"/>
            </w:tcMar>
            <w:vAlign w:val="center"/>
          </w:tcPr>
          <w:p>
            <w:pPr>
              <w:pStyle w:val="TableContents"/>
              <w:bidi w:val="0"/>
              <w:spacing w:before="0" w:after="283"/>
              <w:jc w:val="center"/>
              <w:rPr>
                <w:b/>
              </w:rPr>
            </w:pPr>
            <w:r>
              <w:rPr>
                <w:b/>
              </w:rPr>
              <w:t>Six Months Ended June 30,</w:t>
            </w:r>
          </w:p>
        </w:tc>
      </w:tr>
      <w:tr>
        <w:trPr/>
        <w:tc>
          <w:tcPr>
            <w:tcW w:w="28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8" w:type="dxa"/>
            <w:tcBorders>
              <w:bottom w:val="single" w:sz="6" w:space="0" w:color="000000"/>
            </w:tcBorders>
            <w:tcMar>
              <w:bottom w:w="28" w:type="dxa"/>
            </w:tcMar>
            <w:vAlign w:val="center"/>
          </w:tcPr>
          <w:p>
            <w:pPr>
              <w:pStyle w:val="TableContents"/>
              <w:bidi w:val="0"/>
              <w:spacing w:before="0" w:after="283"/>
              <w:jc w:val="left"/>
              <w:rPr/>
            </w:pPr>
            <w:r>
              <w:rPr/>
              <w:t> </w:t>
            </w:r>
          </w:p>
        </w:tc>
        <w:tc>
          <w:tcPr>
            <w:tcW w:w="806"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281" w:type="dxa"/>
            <w:tcBorders>
              <w:bottom w:val="single" w:sz="6" w:space="0" w:color="000000"/>
            </w:tcBorders>
            <w:tcMar>
              <w:bottom w:w="28" w:type="dxa"/>
            </w:tcMar>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258" w:type="dxa"/>
            <w:tcBorders>
              <w:bottom w:val="single" w:sz="6" w:space="0" w:color="000000"/>
            </w:tcBorders>
            <w:tcMar>
              <w:bottom w:w="28" w:type="dxa"/>
            </w:tcMar>
            <w:vAlign w:val="center"/>
          </w:tcPr>
          <w:p>
            <w:pPr>
              <w:pStyle w:val="TableContents"/>
              <w:bidi w:val="0"/>
              <w:spacing w:before="0" w:after="283"/>
              <w:jc w:val="left"/>
              <w:rPr/>
            </w:pPr>
            <w:r>
              <w:rPr/>
              <w:t> </w:t>
            </w:r>
          </w:p>
        </w:tc>
        <w:tc>
          <w:tcPr>
            <w:tcW w:w="806"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35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Balance, beginning of period</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806" w:type="dxa"/>
            <w:tcBorders/>
            <w:shd w:fill="CCEEFF" w:val="clear"/>
            <w:vAlign w:val="center"/>
          </w:tcPr>
          <w:p>
            <w:pPr>
              <w:pStyle w:val="TableContents"/>
              <w:bidi w:val="0"/>
              <w:spacing w:before="0" w:after="283"/>
              <w:jc w:val="right"/>
              <w:rPr/>
            </w:pPr>
            <w:r>
              <w:rPr/>
              <w:t>30</w:t>
            </w:r>
          </w:p>
        </w:tc>
        <w:tc>
          <w:tcPr>
            <w:tcW w:w="281"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806" w:type="dxa"/>
            <w:tcBorders/>
            <w:shd w:fill="CCEEFF" w:val="clear"/>
            <w:vAlign w:val="center"/>
          </w:tcPr>
          <w:p>
            <w:pPr>
              <w:pStyle w:val="TableContents"/>
              <w:bidi w:val="0"/>
              <w:spacing w:before="0" w:after="283"/>
              <w:jc w:val="right"/>
              <w:rPr/>
            </w:pPr>
            <w:r>
              <w:rPr/>
              <w:t>83</w:t>
            </w:r>
          </w:p>
        </w:tc>
        <w:tc>
          <w:tcPr>
            <w:tcW w:w="350" w:type="dxa"/>
            <w:tcBorders/>
            <w:shd w:fill="CCEEFF" w:val="clear"/>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Warranty settlements</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right"/>
              <w:rPr/>
            </w:pPr>
            <w:r>
              <w:rPr/>
              <w:t>(5</w:t>
            </w:r>
          </w:p>
        </w:tc>
        <w:tc>
          <w:tcPr>
            <w:tcW w:w="281"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right"/>
              <w:rPr/>
            </w:pPr>
            <w:r>
              <w:rPr/>
              <w:t>(10</w:t>
            </w:r>
          </w:p>
        </w:tc>
        <w:tc>
          <w:tcPr>
            <w:tcW w:w="350"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Warranty provision</w:t>
            </w:r>
          </w:p>
        </w:tc>
        <w:tc>
          <w:tcPr>
            <w:tcW w:w="90" w:type="dxa"/>
            <w:tcBorders/>
            <w:shd w:fill="CCEEFF" w:val="clear"/>
            <w:vAlign w:val="center"/>
          </w:tcPr>
          <w:p>
            <w:pPr>
              <w:pStyle w:val="TableContents"/>
              <w:bidi w:val="0"/>
              <w:spacing w:before="0" w:after="283"/>
              <w:jc w:val="left"/>
              <w:rPr/>
            </w:pPr>
            <w:r>
              <w:rPr/>
              <w:t> </w:t>
            </w:r>
          </w:p>
        </w:tc>
        <w:tc>
          <w:tcPr>
            <w:tcW w:w="258"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06" w:type="dxa"/>
            <w:tcBorders>
              <w:bottom w:val="single" w:sz="6" w:space="0" w:color="000000"/>
            </w:tcBorders>
            <w:shd w:fill="CCEEFF" w:val="clear"/>
            <w:tcMar>
              <w:bottom w:w="28" w:type="dxa"/>
            </w:tcMar>
            <w:vAlign w:val="center"/>
          </w:tcPr>
          <w:p>
            <w:pPr>
              <w:pStyle w:val="TableContents"/>
              <w:bidi w:val="0"/>
              <w:spacing w:before="0" w:after="283"/>
              <w:jc w:val="right"/>
              <w:rPr/>
            </w:pPr>
            <w:r>
              <w:rPr/>
              <w:t>31</w:t>
            </w:r>
          </w:p>
        </w:tc>
        <w:tc>
          <w:tcPr>
            <w:tcW w:w="281"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58"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06" w:type="dxa"/>
            <w:tcBorders>
              <w:bottom w:val="single" w:sz="6" w:space="0" w:color="000000"/>
            </w:tcBorders>
            <w:shd w:fill="CCEEFF" w:val="clear"/>
            <w:tcMar>
              <w:bottom w:w="28" w:type="dxa"/>
            </w:tcMar>
            <w:vAlign w:val="center"/>
          </w:tcPr>
          <w:p>
            <w:pPr>
              <w:pStyle w:val="TableContents"/>
              <w:bidi w:val="0"/>
              <w:spacing w:before="0" w:after="283"/>
              <w:jc w:val="right"/>
              <w:rPr/>
            </w:pPr>
            <w:r>
              <w:rPr/>
              <w:t>2</w:t>
            </w:r>
          </w:p>
        </w:tc>
        <w:tc>
          <w:tcPr>
            <w:tcW w:w="35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Balance, end of period</w:t>
            </w:r>
          </w:p>
        </w:tc>
        <w:tc>
          <w:tcPr>
            <w:tcW w:w="90" w:type="dxa"/>
            <w:tcBorders/>
            <w:vAlign w:val="center"/>
          </w:tcPr>
          <w:p>
            <w:pPr>
              <w:pStyle w:val="TableContents"/>
              <w:bidi w:val="0"/>
              <w:spacing w:before="0" w:after="283"/>
              <w:jc w:val="left"/>
              <w:rPr/>
            </w:pPr>
            <w:r>
              <w:rPr/>
              <w:t> </w:t>
            </w:r>
          </w:p>
        </w:tc>
        <w:tc>
          <w:tcPr>
            <w:tcW w:w="258" w:type="dxa"/>
            <w:tcBorders>
              <w:bottom w:val="double" w:sz="6" w:space="0" w:color="000000"/>
            </w:tcBorders>
            <w:tcMar>
              <w:bottom w:w="28" w:type="dxa"/>
            </w:tcMar>
            <w:vAlign w:val="center"/>
          </w:tcPr>
          <w:p>
            <w:pPr>
              <w:pStyle w:val="TableContents"/>
              <w:bidi w:val="0"/>
              <w:spacing w:before="0" w:after="283"/>
              <w:jc w:val="left"/>
              <w:rPr/>
            </w:pPr>
            <w:r>
              <w:rPr/>
              <w:t>$</w:t>
            </w:r>
          </w:p>
        </w:tc>
        <w:tc>
          <w:tcPr>
            <w:tcW w:w="806" w:type="dxa"/>
            <w:tcBorders>
              <w:bottom w:val="double" w:sz="6" w:space="0" w:color="000000"/>
            </w:tcBorders>
            <w:tcMar>
              <w:bottom w:w="28" w:type="dxa"/>
            </w:tcMar>
            <w:vAlign w:val="center"/>
          </w:tcPr>
          <w:p>
            <w:pPr>
              <w:pStyle w:val="TableContents"/>
              <w:bidi w:val="0"/>
              <w:spacing w:before="0" w:after="283"/>
              <w:jc w:val="right"/>
              <w:rPr/>
            </w:pPr>
            <w:r>
              <w:rPr/>
              <w:t>56</w:t>
            </w:r>
          </w:p>
        </w:tc>
        <w:tc>
          <w:tcPr>
            <w:tcW w:w="281" w:type="dxa"/>
            <w:tcBorders>
              <w:bottom w:val="double" w:sz="6" w:space="0" w:color="000000"/>
            </w:tcBorders>
            <w:tcMar>
              <w:bottom w:w="28" w:type="dxa"/>
            </w:tcMar>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258" w:type="dxa"/>
            <w:tcBorders>
              <w:bottom w:val="double" w:sz="6" w:space="0" w:color="000000"/>
            </w:tcBorders>
            <w:tcMar>
              <w:bottom w:w="28" w:type="dxa"/>
            </w:tcMar>
            <w:vAlign w:val="center"/>
          </w:tcPr>
          <w:p>
            <w:pPr>
              <w:pStyle w:val="TableContents"/>
              <w:bidi w:val="0"/>
              <w:spacing w:before="0" w:after="283"/>
              <w:jc w:val="left"/>
              <w:rPr/>
            </w:pPr>
            <w:r>
              <w:rPr/>
              <w:t>$</w:t>
            </w:r>
          </w:p>
        </w:tc>
        <w:tc>
          <w:tcPr>
            <w:tcW w:w="806" w:type="dxa"/>
            <w:tcBorders>
              <w:bottom w:val="double" w:sz="6" w:space="0" w:color="000000"/>
            </w:tcBorders>
            <w:tcMar>
              <w:bottom w:w="28" w:type="dxa"/>
            </w:tcMar>
            <w:vAlign w:val="center"/>
          </w:tcPr>
          <w:p>
            <w:pPr>
              <w:pStyle w:val="TableContents"/>
              <w:bidi w:val="0"/>
              <w:spacing w:before="0" w:after="283"/>
              <w:jc w:val="right"/>
              <w:rPr/>
            </w:pPr>
            <w:r>
              <w:rPr/>
              <w:t>75</w:t>
            </w:r>
          </w:p>
        </w:tc>
        <w:tc>
          <w:tcPr>
            <w:tcW w:w="35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SCHEDULE OF PRODUCT WARRANTY LIABILITY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10</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rFonts w:ascii="Times New Roman" w:hAnsi="Times New Roman"/>
          <w:b/>
          <w:i w:val="false"/>
          <w:caps w:val="false"/>
          <w:smallCaps w:val="false"/>
          <w:sz w:val="20"/>
        </w:rPr>
      </w:pPr>
      <w:r>
        <w:rPr>
          <w:rFonts w:ascii="Times New Roman" w:hAnsi="Times New Roman"/>
          <w:b/>
          <w:i w:val="false"/>
          <w:caps w:val="false"/>
          <w:smallCaps w:val="false"/>
          <w:sz w:val="20"/>
        </w:rPr>
        <w:t>8.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All outstanding warrants are classified within permanent equity as of June 30, 2026 and December 31, 2025.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following summarizes the Company's outstanding warrants: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caps w:val="false"/>
          <w:smallCaps w:val="false"/>
          <w:sz w:val="20"/>
        </w:rPr>
        <w:t>Series A Warrants</w:t>
      </w:r>
      <w:r>
        <w:rPr>
          <w:rFonts w:ascii="Times New Roman" w:hAnsi="Times New Roman"/>
          <w:b w:val="false"/>
          <w:i w:val="false"/>
          <w:caps w:val="false"/>
          <w:smallCaps w:val="false"/>
          <w:sz w:val="20"/>
        </w:rPr>
        <w:t xml:space="preserve"> — On June 29, 2023, the Company issued warrants (the "Series A Warrants") to purchase up to 6,896,553 shares of Common Stock at an exercise price of $1.45 per share in connection with the Series A Preferred Stock offering. On June 30, 2025, the Company entered into an amendment agreement (the "Series A Warrant Amendment") with the Required Holders (as defined in the Series A Warrants), which resulted in reclassification of the Series A Warrants from warrant liabilities to additional paid-in capital under ASC 815-40. The amended warrants expire on January 3, 2030 (six and one-half years from original issuance).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caps w:val="false"/>
          <w:smallCaps w:val="false"/>
          <w:sz w:val="20"/>
        </w:rPr>
        <w:t>PIPE Warrants</w:t>
      </w:r>
      <w:r>
        <w:rPr>
          <w:rFonts w:ascii="Times New Roman" w:hAnsi="Times New Roman"/>
          <w:b w:val="false"/>
          <w:i w:val="false"/>
          <w:caps w:val="false"/>
          <w:smallCaps w:val="false"/>
          <w:sz w:val="20"/>
        </w:rPr>
        <w:t xml:space="preserve"> — On February 24, 2025, the Company issued warrants (the "PIPE Warrants") to purchase up to 3,216,666 shares of Common Stock at an exercise price of $1.80 per share in connection with a private placement. On June 30, 2025, the Company entered into an amendment agreement (the "2025 Warrant Amendment") with the PIPE holders, resulting in reclassification from warrant liabilities to additional paid-in capital under ASC 815-40. The amended PIPE Warrants expire five and one-half years from the original issuance date.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caps w:val="false"/>
          <w:smallCaps w:val="false"/>
          <w:sz w:val="20"/>
        </w:rPr>
        <w:t>Series B Warrants</w:t>
      </w:r>
      <w:r>
        <w:rPr>
          <w:rFonts w:ascii="Times New Roman" w:hAnsi="Times New Roman"/>
          <w:b w:val="false"/>
          <w:i w:val="false"/>
          <w:caps w:val="false"/>
          <w:smallCaps w:val="false"/>
          <w:sz w:val="20"/>
        </w:rPr>
        <w:t xml:space="preserve"> — On August 18, 2025, the Company issued warrants (the "Series B Warrants") to purchase up to 3,000,000 shares of Common Stock at an exercise price of $1.50 per share in connection with the Series B Convertible Preferred Stock, par value $0.0001 per share (the "Series B Preferred Stock") private placement. The Series B Warrants became exercisable on December 12, 2025, the date stockholder approval was obtained, and expire on December 12, 2030. The Series B Warrants are classified within permanent equity.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shd w:fill="FFFFFF" w:val="clear"/>
        </w:rPr>
      </w:pPr>
      <w:r>
        <w:rPr>
          <w:rFonts w:ascii="Times New Roman" w:hAnsi="Times New Roman"/>
          <w:b w:val="false"/>
          <w:i/>
          <w:caps w:val="false"/>
          <w:smallCaps w:val="false"/>
          <w:sz w:val="20"/>
          <w:shd w:fill="FFFFFF" w:val="clear"/>
        </w:rPr>
        <w:t xml:space="preserve">February 2026 Warrants </w:t>
      </w:r>
      <w:r>
        <w:rPr>
          <w:rFonts w:ascii="Times New Roman" w:hAnsi="Times New Roman"/>
          <w:b w:val="false"/>
          <w:i/>
          <w:caps w:val="false"/>
          <w:smallCaps w:val="false"/>
          <w:spacing w:val="0"/>
          <w:sz w:val="20"/>
          <w:shd w:fill="FFFFFF" w:val="clear"/>
        </w:rPr>
        <w:t>—</w:t>
      </w:r>
      <w:r>
        <w:rPr>
          <w:rFonts w:ascii="Times New Roman" w:hAnsi="Times New Roman"/>
          <w:b w:val="false"/>
          <w:i w:val="false"/>
          <w:caps w:val="false"/>
          <w:smallCaps w:val="false"/>
          <w:sz w:val="20"/>
          <w:shd w:fill="FFFFFF" w:val="clear"/>
        </w:rPr>
        <w:t> On February 3, 2026, the Company issued pre-funded warrants (the "Pre-Funded Warrants") to purchase up to 800,000 shares of Common Stock at an exercise price of $0.0001 per share and common warrants (the "February 2026 Common Warrants") to purchase up to 2,500,000 shares of Common Stock at an exercise price of $2.30 per share in connection with a private placement. The Pre-Funded Warrants and the February 2026 Common Warrants were classified as equity within additional paid-in capital under ASC 815-40 upon issuance. The Pre-Funded Warrants expire when exercised in full, and the February 2026 Common Warrants expire on February 3, 2031, five years from the date of issuance.</w:t>
      </w:r>
    </w:p>
    <w:p>
      <w:pPr>
        <w:pStyle w:val="TextBody"/>
        <w:bidi w:val="0"/>
        <w:spacing w:before="0" w:after="0"/>
        <w:jc w:val="left"/>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11</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9. LEASES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determines if an arrangement is a lease at inception. The guidance in FASB ASC Topic 842, Leases defines a lease as a contract, or part of a contract, that conveys the right to control the use of identified property, plant, or equipment (an identified asset) for a period of time in exchange for consideration. Operating lease right of use (“ROU”) assets and lease liabilities are recognized based on the present value of future minimum lease payments over the lease term at commencement date. The Company’s leases do not provide an implicit rate. Due to a lack of financing history or ability, the Company uses an estimate of low-grade debt rate published by the Federal Reserve Bank as its incremental borrowing rate based on the information available at the commencement date in determining the present value of future payments. The ROU asset includes any lease payments made and excludes lease incentives and initial direct costs incurred.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Amortization expense was $21 and $75 for the three and six months ended June 30, 2026, respectively, and $84 and $151 for the three and six months ended June 30, 2025, respectively. Operating lease expense for capitalized operating leases included in operating activities was $29 and $141 for the three and six months ended June 30, 2026, respectively, and $156 and $313 for the three and six months ended June 30, 2025,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Operating lease obligations recorded on the balance sheet at June 30, 2026 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5445" w:type="dxa"/>
        <w:jc w:val="left"/>
        <w:tblInd w:w="0" w:type="dxa"/>
        <w:tblLayout w:type="fixed"/>
        <w:tblCellMar>
          <w:top w:w="0" w:type="dxa"/>
          <w:left w:w="0" w:type="dxa"/>
          <w:bottom w:w="0" w:type="dxa"/>
          <w:right w:w="0" w:type="dxa"/>
        </w:tblCellMar>
      </w:tblPr>
      <w:tblGrid>
        <w:gridCol w:w="3605"/>
        <w:gridCol w:w="90"/>
        <w:gridCol w:w="170"/>
        <w:gridCol w:w="1445"/>
        <w:gridCol w:w="135"/>
      </w:tblGrid>
      <w:tr>
        <w:trPr/>
        <w:tc>
          <w:tcPr>
            <w:tcW w:w="360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36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5" w:type="dxa"/>
            <w:tcBorders>
              <w:bottom w:val="single" w:sz="6" w:space="0" w:color="000000"/>
            </w:tcBorders>
            <w:tcMar>
              <w:bottom w:w="28" w:type="dxa"/>
            </w:tcMar>
            <w:vAlign w:val="center"/>
          </w:tcPr>
          <w:p>
            <w:pPr>
              <w:pStyle w:val="TableContents"/>
              <w:bidi w:val="0"/>
              <w:spacing w:before="0" w:after="283"/>
              <w:jc w:val="center"/>
              <w:rPr>
                <w:b/>
              </w:rPr>
            </w:pPr>
            <w:r>
              <w:rPr>
                <w:b/>
              </w:rPr>
              <w:t>June 30, 2026</w:t>
            </w:r>
          </w:p>
        </w:tc>
        <w:tc>
          <w:tcPr>
            <w:tcW w:w="13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Operating lease liability — short term</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45" w:type="dxa"/>
            <w:tcBorders/>
            <w:shd w:fill="CCEEFF" w:val="clear"/>
            <w:vAlign w:val="center"/>
          </w:tcPr>
          <w:p>
            <w:pPr>
              <w:pStyle w:val="TableContents"/>
              <w:bidi w:val="0"/>
              <w:spacing w:before="0" w:after="283"/>
              <w:jc w:val="right"/>
              <w:rPr/>
            </w:pPr>
            <w:r>
              <w:rPr/>
              <w:t>91</w:t>
            </w:r>
          </w:p>
        </w:tc>
        <w:tc>
          <w:tcPr>
            <w:tcW w:w="135" w:type="dxa"/>
            <w:tcBorders/>
            <w:shd w:fill="CCEEFF" w:val="cle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pPr>
            <w:r>
              <w:rPr/>
              <w:t>Operating lease liability — long term</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5" w:type="dxa"/>
            <w:tcBorders>
              <w:bottom w:val="single" w:sz="6" w:space="0" w:color="000000"/>
            </w:tcBorders>
            <w:tcMar>
              <w:bottom w:w="28" w:type="dxa"/>
            </w:tcMar>
            <w:vAlign w:val="center"/>
          </w:tcPr>
          <w:p>
            <w:pPr>
              <w:pStyle w:val="TableContents"/>
              <w:bidi w:val="0"/>
              <w:spacing w:before="0" w:after="283"/>
              <w:jc w:val="right"/>
              <w:rPr/>
            </w:pPr>
            <w:r>
              <w:rPr/>
              <w:t>345</w:t>
            </w:r>
          </w:p>
        </w:tc>
        <w:tc>
          <w:tcPr>
            <w:tcW w:w="13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Total operating lease liability</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45" w:type="dxa"/>
            <w:tcBorders>
              <w:bottom w:val="double" w:sz="6" w:space="0" w:color="000000"/>
            </w:tcBorders>
            <w:shd w:fill="CCEEFF" w:val="clear"/>
            <w:tcMar>
              <w:bottom w:w="28" w:type="dxa"/>
            </w:tcMar>
            <w:vAlign w:val="center"/>
          </w:tcPr>
          <w:p>
            <w:pPr>
              <w:pStyle w:val="TableContents"/>
              <w:bidi w:val="0"/>
              <w:spacing w:before="0" w:after="283"/>
              <w:jc w:val="right"/>
              <w:rPr/>
            </w:pPr>
            <w:r>
              <w:rPr/>
              <w:t>436</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r>
        <w:rPr>
          <w:rFonts w:ascii="Times New Roman" w:hAnsi="Times New Roman"/>
          <w:b w:val="false"/>
          <w:i w:val="false"/>
          <w:caps w:val="false"/>
          <w:smallCaps w:val="false"/>
          <w:sz w:val="20"/>
        </w:rPr>
        <w:t>SCHEDULE OF OPERATING LEASE OBLIGATIONS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Future lease payments included in the measurement of lease liabilities on the balance sheet at June 30, 2026 for future periods are as follows:</w:t>
      </w:r>
    </w:p>
    <w:p>
      <w:pPr>
        <w:pStyle w:val="TextBody"/>
        <w:bidi w:val="0"/>
        <w:spacing w:before="0" w:after="0"/>
        <w:jc w:val="both"/>
        <w:rPr>
          <w:caps w:val="false"/>
          <w:smallCaps w:val="false"/>
        </w:rPr>
      </w:pPr>
      <w:r>
        <w:rPr>
          <w:caps w:val="false"/>
          <w:smallCaps w:val="false"/>
        </w:rPr>
        <w:t> </w:t>
      </w:r>
    </w:p>
    <w:tbl>
      <w:tblPr>
        <w:tblW w:w="4520" w:type="dxa"/>
        <w:jc w:val="left"/>
        <w:tblInd w:w="0" w:type="dxa"/>
        <w:tblLayout w:type="fixed"/>
        <w:tblCellMar>
          <w:top w:w="0" w:type="dxa"/>
          <w:left w:w="0" w:type="dxa"/>
          <w:bottom w:w="0" w:type="dxa"/>
          <w:right w:w="0" w:type="dxa"/>
        </w:tblCellMar>
      </w:tblPr>
      <w:tblGrid>
        <w:gridCol w:w="3620"/>
        <w:gridCol w:w="90"/>
        <w:gridCol w:w="170"/>
        <w:gridCol w:w="410"/>
        <w:gridCol w:w="230"/>
      </w:tblGrid>
      <w:tr>
        <w:trPr/>
        <w:tc>
          <w:tcPr>
            <w:tcW w:w="3620" w:type="dxa"/>
            <w:tcBorders/>
            <w:shd w:fill="CCEEFF" w:val="clear"/>
            <w:vAlign w:val="center"/>
          </w:tcPr>
          <w:p>
            <w:pPr>
              <w:pStyle w:val="TableContents"/>
              <w:bidi w:val="0"/>
              <w:spacing w:before="0" w:after="283"/>
              <w:jc w:val="left"/>
              <w:rPr/>
            </w:pPr>
            <w:r>
              <w:rPr/>
              <w:t>2026 (6 months)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jc w:val="right"/>
              <w:rPr/>
            </w:pPr>
            <w:r>
              <w:rPr/>
              <w:t>60</w:t>
            </w:r>
          </w:p>
        </w:tc>
        <w:tc>
          <w:tcPr>
            <w:tcW w:w="230"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2027</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120</w:t>
            </w:r>
          </w:p>
        </w:tc>
        <w:tc>
          <w:tcPr>
            <w:tcW w:w="23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2028</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120</w:t>
            </w:r>
          </w:p>
        </w:tc>
        <w:tc>
          <w:tcPr>
            <w:tcW w:w="230"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2029</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120</w:t>
            </w:r>
          </w:p>
        </w:tc>
        <w:tc>
          <w:tcPr>
            <w:tcW w:w="23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2030</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90</w:t>
            </w:r>
          </w:p>
        </w:tc>
        <w:tc>
          <w:tcPr>
            <w:tcW w:w="230"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Thereafter</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 xml:space="preserve">- </w:t>
            </w:r>
          </w:p>
        </w:tc>
        <w:tc>
          <w:tcPr>
            <w:tcW w:w="23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Total future minimum lease payments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410" w:type="dxa"/>
            <w:tcBorders>
              <w:bottom w:val="single" w:sz="6" w:space="0" w:color="000000"/>
            </w:tcBorders>
            <w:shd w:fill="CCEEFF" w:val="clear"/>
            <w:tcMar>
              <w:bottom w:w="28" w:type="dxa"/>
            </w:tcMar>
            <w:vAlign w:val="center"/>
          </w:tcPr>
          <w:p>
            <w:pPr>
              <w:pStyle w:val="TableContents"/>
              <w:bidi w:val="0"/>
              <w:spacing w:before="0" w:after="283"/>
              <w:jc w:val="right"/>
              <w:rPr/>
            </w:pPr>
            <w:r>
              <w:rPr/>
              <w:t>510</w:t>
            </w:r>
          </w:p>
        </w:tc>
        <w:tc>
          <w:tcPr>
            <w:tcW w:w="23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Less imputed interest</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410" w:type="dxa"/>
            <w:tcBorders>
              <w:bottom w:val="single" w:sz="6" w:space="0" w:color="000000"/>
            </w:tcBorders>
            <w:tcMar>
              <w:bottom w:w="28" w:type="dxa"/>
            </w:tcMar>
            <w:vAlign w:val="center"/>
          </w:tcPr>
          <w:p>
            <w:pPr>
              <w:pStyle w:val="TableContents"/>
              <w:bidi w:val="0"/>
              <w:spacing w:before="0" w:after="283"/>
              <w:jc w:val="right"/>
              <w:rPr/>
            </w:pPr>
            <w:r>
              <w:rPr/>
              <w:t>(74</w:t>
            </w:r>
          </w:p>
        </w:tc>
        <w:tc>
          <w:tcPr>
            <w:tcW w:w="23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10" w:type="dxa"/>
            <w:tcBorders>
              <w:bottom w:val="double" w:sz="6" w:space="0" w:color="000000"/>
            </w:tcBorders>
            <w:shd w:fill="CCEEFF" w:val="clear"/>
            <w:tcMar>
              <w:bottom w:w="28" w:type="dxa"/>
            </w:tcMar>
            <w:vAlign w:val="center"/>
          </w:tcPr>
          <w:p>
            <w:pPr>
              <w:pStyle w:val="TableContents"/>
              <w:bidi w:val="0"/>
              <w:spacing w:before="0" w:after="283"/>
              <w:jc w:val="right"/>
              <w:rPr/>
            </w:pPr>
            <w:r>
              <w:rPr/>
              <w:t>436</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weighted average remaining lease term is 4.25 years, and the weighted average discount rate is 7.5%</w:t>
      </w:r>
      <w:r>
        <w:rPr>
          <w:rFonts w:ascii="Times New Roman" w:hAnsi="Times New Roman"/>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Certain leases contain provisions for payment of real estate taxes, insurance and maintenance costs by the Company. These expenses are treated as variable lease payments and recognized in the period in which the obligation for those payments was incurred. The Company had $0 and $17 variable lease expense for the three month ended June 30, 2026 and 2025, respectively, and $0 and $31 for the six months ended June 30, 2026 and 2025, respectively.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had no short-term lease expenses for the three and six months ended June 30, 2026 and 2025 respectively. The Company does not have any finance leases.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February 13, 2026, the Company entered into a Termination and Mutual Release Agreement with the landlord of the Company's office space located at 3480 Main Highway, Suite 202, Miami, Florida 33133. Pursuant to the agreement, the office lease dated September 20, 2023 was terminated effective as of February 13, 2026, and the Company surrendered possession of the premises. The landlord agreed to refund the prorated portion of February 2026 rent attributable to the period following the termination date and to return the security deposit in accordance with the terms of the original lease. The parties exchanged mutual releases of all claims arising out of or relating to the lease, except for obligations expressly set forth in the termination agreement and any obligations that by their terms survive termination. In March 2026, the Company entered into a month-to-month service agreement for a business address located at 3350 Virginia Street, Miami, Florida 33133.</w:t>
      </w:r>
    </w:p>
    <w:p>
      <w:pPr>
        <w:pStyle w:val="TextBody"/>
        <w:bidi w:val="0"/>
        <w:spacing w:before="0" w:after="0"/>
        <w:jc w:val="both"/>
        <w:rPr>
          <w:caps w:val="false"/>
          <w:smallCaps w:val="false"/>
        </w:rPr>
      </w:pPr>
      <w:r>
        <w:rPr>
          <w:caps w:val="false"/>
          <w:smallCaps w:val="false"/>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12</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rFonts w:ascii="Times New Roman" w:hAnsi="Times New Roman"/>
          <w:b/>
          <w:i w:val="false"/>
          <w:caps w:val="false"/>
          <w:smallCaps w:val="false"/>
          <w:sz w:val="20"/>
        </w:rPr>
      </w:pPr>
      <w:r>
        <w:rPr>
          <w:rFonts w:ascii="Times New Roman" w:hAnsi="Times New Roman"/>
          <w:b/>
          <w:i w:val="false"/>
          <w:caps w:val="false"/>
          <w:smallCaps w:val="false"/>
          <w:sz w:val="20"/>
        </w:rPr>
        <w:t>10. STOCKHOLDERS’ EQUITY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Company's authorized capital consists of 200,000,000 shares of Common Stock and 5,000,000 shares of preferred stock, par value $0.0001 per share, of which 10,000 shares are designated as Series A Convertible Preferred Stock and 4,500 shares are designated as Series B Convertible Preferred Stock.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u w:val="single"/>
        </w:rPr>
      </w:pPr>
      <w:r>
        <w:rPr>
          <w:rFonts w:ascii="Times New Roman" w:hAnsi="Times New Roman"/>
          <w:b w:val="false"/>
          <w:i w:val="false"/>
          <w:caps w:val="false"/>
          <w:smallCaps w:val="false"/>
          <w:sz w:val="20"/>
          <w:u w:val="single"/>
        </w:rPr>
        <w:t>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During the three months ended June 30, 2026, the Company issued 96,775 shares of Common Stock to a vendor in settlement of a $150 invoice for investor relations services rendered. The shares were issued in full satisfaction of the amount owed, with no cash paid and no future service or vesting condition attached. The Company recorded the $150 expense within selling, general and administrative expenses in the accompanying condensed consolidated statements of operations and comprehensive loss, based on the fair value of the shares issued of $1.55 per share on the issuance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caps w:val="false"/>
          <w:smallCaps w:val="false"/>
          <w:sz w:val="20"/>
          <w:u w:val="single"/>
        </w:rPr>
      </w:pPr>
      <w:r>
        <w:rPr>
          <w:rFonts w:ascii="Times New Roman" w:hAnsi="Times New Roman"/>
          <w:b w:val="false"/>
          <w:i/>
          <w:caps w:val="false"/>
          <w:smallCaps w:val="false"/>
          <w:sz w:val="20"/>
          <w:u w:val="single"/>
        </w:rPr>
        <w:t>Series A Preferred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On July 3, 2023, the Company designated and issued 10,000 shares of Series A Preferred Stock (stated value $1,000 per share) convertible into shares of Common Stock at an initial conversion price of $1.45 per share. As of June 30, 2026 and December 31, 2025, there were 8,107 and 8,207 shares outstanding, respectively. Holders are entitled to dividends of 8% per annum, payable in cash or shares of Common Stock at the Company's election. For the six months ended June 30, 2026 and 2025, the Company paid dividends of $411 and $328, respectively, in shares of Common Stock.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 w:hAnsi="Times New Roman"/>
          <w:b w:val="false"/>
          <w:i/>
          <w:caps w:val="false"/>
          <w:smallCaps w:val="false"/>
          <w:sz w:val="20"/>
          <w:u w:val="single"/>
        </w:rPr>
      </w:pPr>
      <w:r>
        <w:rPr>
          <w:rFonts w:ascii="Times New Roman" w:hAnsi="Times New Roman"/>
          <w:b w:val="false"/>
          <w:i/>
          <w:caps w:val="false"/>
          <w:smallCaps w:val="false"/>
          <w:sz w:val="20"/>
          <w:u w:val="single"/>
        </w:rPr>
        <w:t>Series B Preferred Stock</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August 18, 2025, the Company issued 4,500 shares of Series B Preferred Stock (stated value $1,000 per share) convertible up to 3,000,000 shares of Common Stock at an initial conversion price of $1.50 per share. As of June 30, 2026 and December 31, 2025, there were 3,600 and 4,500 shares outstanding, respectively. Holders are entitled to dividends when and as declared by the Board, payable in cash or shares of the Company's securities.</w:t>
      </w:r>
      <w:r>
        <w:rPr>
          <w:rFonts w:ascii="Times New Roman" w:hAnsi="Times New Roman"/>
          <w:b w:val="false"/>
          <w:i w:val="false"/>
          <w:caps w:val="false"/>
          <w:smallCaps w:val="false"/>
          <w:sz w:val="20"/>
          <w:shd w:fill="FFFFFF" w:val="clear"/>
        </w:rPr>
        <w:t xml:space="preserve"> No dividends were declared or paid during the six months ended June 30, 2026.</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13</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11. SHARE-BASED COMPENSATION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maintains the Wrap Technologies, Inc. 2017 Equity Incentive Plan (the "2017 Plan"), which was most recently amended on December 12, 2025 to authorize up to 20,500,000 shares of Common Stock for issuance as equity awards under the 2017 Plan.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June 30, 2026, there were 4,223,775 shares of Common Stock remaining available for grant under the 2017 Plan.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u w:val="single"/>
        </w:rPr>
      </w:pPr>
      <w:r>
        <w:rPr>
          <w:rFonts w:ascii="Times New Roman" w:hAnsi="Times New Roman"/>
          <w:b w:val="false"/>
          <w:i w:val="false"/>
          <w:caps w:val="false"/>
          <w:smallCaps w:val="false"/>
          <w:sz w:val="20"/>
          <w:u w:val="single"/>
        </w:rPr>
        <w:t>Stock Options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summarizes stock option activity for the six months ended June 30, 2026:</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14"/>
        <w:gridCol w:w="90"/>
        <w:gridCol w:w="90"/>
        <w:gridCol w:w="1862"/>
        <w:gridCol w:w="185"/>
        <w:gridCol w:w="90"/>
        <w:gridCol w:w="170"/>
        <w:gridCol w:w="1145"/>
        <w:gridCol w:w="90"/>
        <w:gridCol w:w="90"/>
        <w:gridCol w:w="90"/>
        <w:gridCol w:w="2055"/>
        <w:gridCol w:w="90"/>
        <w:gridCol w:w="90"/>
        <w:gridCol w:w="170"/>
        <w:gridCol w:w="1746"/>
        <w:gridCol w:w="138"/>
      </w:tblGrid>
      <w:tr>
        <w:trPr/>
        <w:tc>
          <w:tcPr>
            <w:tcW w:w="201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30" w:type="dxa"/>
            <w:gridSpan w:val="7"/>
            <w:tcBorders>
              <w:bottom w:val="single" w:sz="6" w:space="0" w:color="000000"/>
            </w:tcBorders>
            <w:tcMar>
              <w:bottom w:w="28" w:type="dxa"/>
            </w:tcMar>
            <w:vAlign w:val="center"/>
          </w:tcPr>
          <w:p>
            <w:pPr>
              <w:pStyle w:val="TableContents"/>
              <w:bidi w:val="0"/>
              <w:spacing w:before="0" w:after="283"/>
              <w:jc w:val="center"/>
              <w:rPr>
                <w:b/>
              </w:rPr>
            </w:pPr>
            <w:r>
              <w:rPr>
                <w:b/>
              </w:rPr>
              <w:t>Weighted Average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746"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r>
      <w:tr>
        <w:trPr/>
        <w:tc>
          <w:tcPr>
            <w:tcW w:w="201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1862" w:type="dxa"/>
            <w:tcBorders>
              <w:bottom w:val="single" w:sz="6" w:space="0" w:color="000000"/>
            </w:tcBorders>
            <w:tcMar>
              <w:bottom w:w="28" w:type="dxa"/>
            </w:tcMar>
            <w:vAlign w:val="center"/>
          </w:tcPr>
          <w:p>
            <w:pPr>
              <w:pStyle w:val="TableContents"/>
              <w:bidi w:val="0"/>
              <w:spacing w:before="0" w:after="283"/>
              <w:jc w:val="center"/>
              <w:rPr>
                <w:b/>
              </w:rPr>
            </w:pPr>
            <w:r>
              <w:rPr>
                <w:b/>
              </w:rPr>
              <w:t>Options on Common Shares</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45" w:type="dxa"/>
            <w:tcBorders>
              <w:bottom w:val="single" w:sz="6" w:space="0" w:color="000000"/>
            </w:tcBorders>
            <w:tcMar>
              <w:bottom w:w="28" w:type="dxa"/>
            </w:tcMar>
            <w:vAlign w:val="center"/>
          </w:tcPr>
          <w:p>
            <w:pPr>
              <w:pStyle w:val="TableContents"/>
              <w:bidi w:val="0"/>
              <w:spacing w:before="0" w:after="283"/>
              <w:jc w:val="center"/>
              <w:rPr>
                <w:b/>
              </w:rPr>
            </w:pPr>
            <w:r>
              <w:rPr>
                <w:b/>
              </w:rPr>
              <w:t>Exercise Price</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2055" w:type="dxa"/>
            <w:tcBorders>
              <w:bottom w:val="single" w:sz="6" w:space="0" w:color="000000"/>
            </w:tcBorders>
            <w:tcMar>
              <w:bottom w:w="28" w:type="dxa"/>
            </w:tcMar>
            <w:vAlign w:val="center"/>
          </w:tcPr>
          <w:p>
            <w:pPr>
              <w:pStyle w:val="TableContents"/>
              <w:bidi w:val="0"/>
              <w:spacing w:before="0" w:after="283"/>
              <w:jc w:val="center"/>
              <w:rPr>
                <w:b/>
              </w:rPr>
            </w:pPr>
            <w:r>
              <w:rPr>
                <w:b/>
              </w:rPr>
              <w:t>Remaining Contractual Terms</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746" w:type="dxa"/>
            <w:tcBorders>
              <w:bottom w:val="single" w:sz="6" w:space="0" w:color="000000"/>
            </w:tcBorders>
            <w:tcMar>
              <w:bottom w:w="28" w:type="dxa"/>
            </w:tcMar>
            <w:vAlign w:val="center"/>
          </w:tcPr>
          <w:p>
            <w:pPr>
              <w:pStyle w:val="TableContents"/>
              <w:bidi w:val="0"/>
              <w:spacing w:before="0" w:after="283"/>
              <w:jc w:val="center"/>
              <w:rPr>
                <w:b/>
              </w:rPr>
            </w:pPr>
            <w:r>
              <w:rPr>
                <w:b/>
              </w:rPr>
              <w:t>Aggregate Intrinsic Value</w:t>
            </w:r>
          </w:p>
        </w:tc>
        <w:tc>
          <w:tcPr>
            <w:tcW w:w="138"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01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746"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r>
      <w:tr>
        <w:trPr/>
        <w:tc>
          <w:tcPr>
            <w:tcW w:w="2014" w:type="dxa"/>
            <w:tcBorders/>
            <w:shd w:fill="CCEEFF" w:val="clear"/>
            <w:vAlign w:val="center"/>
          </w:tcPr>
          <w:p>
            <w:pPr>
              <w:pStyle w:val="TableContents"/>
              <w:bidi w:val="0"/>
              <w:spacing w:before="0" w:after="283"/>
              <w:jc w:val="left"/>
              <w:rPr/>
            </w:pPr>
            <w:r>
              <w:rPr/>
              <w:t>Outstanding December 31, 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2" w:type="dxa"/>
            <w:tcBorders/>
            <w:shd w:fill="CCEEFF" w:val="clear"/>
            <w:vAlign w:val="center"/>
          </w:tcPr>
          <w:p>
            <w:pPr>
              <w:pStyle w:val="TableContents"/>
              <w:bidi w:val="0"/>
              <w:spacing w:before="0" w:after="283"/>
              <w:jc w:val="right"/>
              <w:rPr/>
            </w:pPr>
            <w:r>
              <w:rPr/>
              <w:t>6,449,534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45" w:type="dxa"/>
            <w:tcBorders/>
            <w:shd w:fill="CCEEFF" w:val="clear"/>
            <w:vAlign w:val="center"/>
          </w:tcPr>
          <w:p>
            <w:pPr>
              <w:pStyle w:val="TableContents"/>
              <w:bidi w:val="0"/>
              <w:spacing w:before="0" w:after="283"/>
              <w:jc w:val="right"/>
              <w:rPr/>
            </w:pPr>
            <w:r>
              <w:rPr/>
              <w:t>2.05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55" w:type="dxa"/>
            <w:tcBorders/>
            <w:shd w:fill="CCEEFF" w:val="clear"/>
            <w:vAlign w:val="center"/>
          </w:tcPr>
          <w:p>
            <w:pPr>
              <w:pStyle w:val="TableContents"/>
              <w:bidi w:val="0"/>
              <w:spacing w:before="0" w:after="283"/>
              <w:jc w:val="right"/>
              <w:rPr/>
            </w:pPr>
            <w:r>
              <w:rPr/>
              <w:t>8.56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746" w:type="dxa"/>
            <w:tcBorders/>
            <w:shd w:fill="CCEEFF" w:val="clear"/>
            <w:vAlign w:val="center"/>
          </w:tcPr>
          <w:p>
            <w:pPr>
              <w:pStyle w:val="TableContents"/>
              <w:bidi w:val="0"/>
              <w:spacing w:before="0" w:after="283"/>
              <w:jc w:val="right"/>
              <w:rPr/>
            </w:pPr>
            <w:r>
              <w:rPr/>
              <w:t>3,706</w:t>
            </w:r>
          </w:p>
        </w:tc>
        <w:tc>
          <w:tcPr>
            <w:tcW w:w="138" w:type="dxa"/>
            <w:tcBorders/>
            <w:shd w:fill="CCEEFF" w:val="clear"/>
            <w:vAlign w:val="center"/>
          </w:tcPr>
          <w:p>
            <w:pPr>
              <w:pStyle w:val="TableContents"/>
              <w:bidi w:val="0"/>
              <w:spacing w:before="0" w:after="283"/>
              <w:jc w:val="left"/>
              <w:rPr/>
            </w:pPr>
            <w:r>
              <w:rPr/>
              <w:t> </w:t>
            </w:r>
          </w:p>
        </w:tc>
      </w:tr>
      <w:tr>
        <w:trPr/>
        <w:tc>
          <w:tcPr>
            <w:tcW w:w="2014"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2" w:type="dxa"/>
            <w:tcBorders/>
            <w:vAlign w:val="center"/>
          </w:tcPr>
          <w:p>
            <w:pPr>
              <w:pStyle w:val="TableContents"/>
              <w:bidi w:val="0"/>
              <w:spacing w:before="0" w:after="283"/>
              <w:jc w:val="right"/>
              <w:rPr/>
            </w:pPr>
            <w:r>
              <w:rPr/>
              <w:t>4,818,500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2.12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55"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746" w:type="dxa"/>
            <w:tcBorders/>
            <w:vAlign w:val="center"/>
          </w:tcPr>
          <w:p>
            <w:pPr>
              <w:pStyle w:val="TableContents"/>
              <w:bidi w:val="0"/>
              <w:spacing w:before="0" w:after="283"/>
              <w:jc w:val="right"/>
              <w:rPr/>
            </w:pPr>
            <w:r>
              <w:rPr/>
              <w:t xml:space="preserve">- </w:t>
            </w:r>
          </w:p>
        </w:tc>
        <w:tc>
          <w:tcPr>
            <w:tcW w:w="138" w:type="dxa"/>
            <w:tcBorders/>
            <w:vAlign w:val="center"/>
          </w:tcPr>
          <w:p>
            <w:pPr>
              <w:pStyle w:val="TableContents"/>
              <w:bidi w:val="0"/>
              <w:spacing w:before="0" w:after="283"/>
              <w:jc w:val="left"/>
              <w:rPr/>
            </w:pPr>
            <w:r>
              <w:rPr/>
              <w:t> </w:t>
            </w:r>
          </w:p>
        </w:tc>
      </w:tr>
      <w:tr>
        <w:trPr/>
        <w:tc>
          <w:tcPr>
            <w:tcW w:w="2014" w:type="dxa"/>
            <w:tcBorders/>
            <w:shd w:fill="CCEEFF" w:val="clear"/>
            <w:vAlign w:val="center"/>
          </w:tcPr>
          <w:p>
            <w:pPr>
              <w:pStyle w:val="TableContents"/>
              <w:bidi w:val="0"/>
              <w:spacing w:before="0" w:after="283"/>
              <w:jc w:val="left"/>
              <w:rPr/>
            </w:pPr>
            <w:r>
              <w:rPr/>
              <w:t>Exercised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2"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55"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 xml:space="preserve">- </w:t>
            </w:r>
          </w:p>
        </w:tc>
        <w:tc>
          <w:tcPr>
            <w:tcW w:w="138" w:type="dxa"/>
            <w:tcBorders/>
            <w:shd w:fill="CCEEFF" w:val="clear"/>
            <w:vAlign w:val="center"/>
          </w:tcPr>
          <w:p>
            <w:pPr>
              <w:pStyle w:val="TableContents"/>
              <w:bidi w:val="0"/>
              <w:spacing w:before="0" w:after="283"/>
              <w:jc w:val="left"/>
              <w:rPr/>
            </w:pPr>
            <w:r>
              <w:rPr/>
              <w:t> </w:t>
            </w:r>
          </w:p>
        </w:tc>
      </w:tr>
      <w:tr>
        <w:trPr/>
        <w:tc>
          <w:tcPr>
            <w:tcW w:w="2014" w:type="dxa"/>
            <w:tcBorders/>
            <w:vAlign w:val="center"/>
          </w:tcPr>
          <w:p>
            <w:pPr>
              <w:pStyle w:val="TableContents"/>
              <w:bidi w:val="0"/>
              <w:spacing w:before="0" w:after="283"/>
              <w:jc w:val="left"/>
              <w:rPr/>
            </w:pPr>
            <w:r>
              <w:rPr/>
              <w:t>Forfeited, cancelled, expired</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1862" w:type="dxa"/>
            <w:tcBorders>
              <w:bottom w:val="single" w:sz="6" w:space="0" w:color="000000"/>
            </w:tcBorders>
            <w:tcMar>
              <w:bottom w:w="28" w:type="dxa"/>
            </w:tcMar>
            <w:vAlign w:val="center"/>
          </w:tcPr>
          <w:p>
            <w:pPr>
              <w:pStyle w:val="TableContents"/>
              <w:bidi w:val="0"/>
              <w:spacing w:before="0" w:after="283"/>
              <w:jc w:val="right"/>
              <w:rPr/>
            </w:pPr>
            <w:r>
              <w:rPr/>
              <w:t>(1,219,917</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2.38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55"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746" w:type="dxa"/>
            <w:tcBorders/>
            <w:vAlign w:val="center"/>
          </w:tcPr>
          <w:p>
            <w:pPr>
              <w:pStyle w:val="TableContents"/>
              <w:bidi w:val="0"/>
              <w:spacing w:before="0" w:after="283"/>
              <w:jc w:val="right"/>
              <w:rPr/>
            </w:pPr>
            <w:r>
              <w:rPr/>
              <w:t xml:space="preserve">- </w:t>
            </w:r>
          </w:p>
        </w:tc>
        <w:tc>
          <w:tcPr>
            <w:tcW w:w="138" w:type="dxa"/>
            <w:tcBorders/>
            <w:vAlign w:val="center"/>
          </w:tcPr>
          <w:p>
            <w:pPr>
              <w:pStyle w:val="TableContents"/>
              <w:bidi w:val="0"/>
              <w:spacing w:before="0" w:after="283"/>
              <w:jc w:val="left"/>
              <w:rPr/>
            </w:pPr>
            <w:r>
              <w:rPr/>
              <w:t> </w:t>
            </w:r>
          </w:p>
        </w:tc>
      </w:tr>
      <w:tr>
        <w:trPr/>
        <w:tc>
          <w:tcPr>
            <w:tcW w:w="2014" w:type="dxa"/>
            <w:tcBorders/>
            <w:shd w:fill="CCEEFF" w:val="clear"/>
            <w:vAlign w:val="center"/>
          </w:tcPr>
          <w:p>
            <w:pPr>
              <w:pStyle w:val="TableContents"/>
              <w:bidi w:val="0"/>
              <w:spacing w:before="0" w:after="283"/>
              <w:jc w:val="left"/>
              <w:rPr/>
            </w:pPr>
            <w:r>
              <w:rPr/>
              <w:t>Outstanding June 30, 2026</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862" w:type="dxa"/>
            <w:tcBorders>
              <w:bottom w:val="double" w:sz="6" w:space="0" w:color="000000"/>
            </w:tcBorders>
            <w:shd w:fill="CCEEFF" w:val="clear"/>
            <w:tcMar>
              <w:bottom w:w="28" w:type="dxa"/>
            </w:tcMar>
            <w:vAlign w:val="center"/>
          </w:tcPr>
          <w:p>
            <w:pPr>
              <w:pStyle w:val="TableContents"/>
              <w:bidi w:val="0"/>
              <w:spacing w:before="0" w:after="283"/>
              <w:jc w:val="right"/>
              <w:rPr/>
            </w:pPr>
            <w:r>
              <w:rPr/>
              <w:t>10,048,117</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2.04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55" w:type="dxa"/>
            <w:tcBorders/>
            <w:shd w:fill="CCEEFF" w:val="clear"/>
            <w:vAlign w:val="center"/>
          </w:tcPr>
          <w:p>
            <w:pPr>
              <w:pStyle w:val="TableContents"/>
              <w:bidi w:val="0"/>
              <w:spacing w:before="0" w:after="283"/>
              <w:jc w:val="right"/>
              <w:rPr/>
            </w:pPr>
            <w:r>
              <w:rPr/>
              <w:t>8.72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6</w:t>
            </w:r>
          </w:p>
        </w:tc>
        <w:tc>
          <w:tcPr>
            <w:tcW w:w="138" w:type="dxa"/>
            <w:tcBorders/>
            <w:shd w:fill="CCEEFF" w:val="clear"/>
            <w:vAlign w:val="center"/>
          </w:tcPr>
          <w:p>
            <w:pPr>
              <w:pStyle w:val="TableContents"/>
              <w:bidi w:val="0"/>
              <w:spacing w:before="0" w:after="283"/>
              <w:jc w:val="left"/>
              <w:rPr/>
            </w:pPr>
            <w:r>
              <w:rPr/>
              <w:t> </w:t>
            </w:r>
          </w:p>
        </w:tc>
      </w:tr>
      <w:tr>
        <w:trPr/>
        <w:tc>
          <w:tcPr>
            <w:tcW w:w="2014" w:type="dxa"/>
            <w:tcBorders/>
            <w:vAlign w:val="center"/>
          </w:tcPr>
          <w:p>
            <w:pPr>
              <w:pStyle w:val="TableContents"/>
              <w:bidi w:val="0"/>
              <w:spacing w:before="0" w:after="283"/>
              <w:jc w:val="left"/>
              <w:rPr/>
            </w:pPr>
            <w:r>
              <w:rPr/>
              <w:t>Exercisable June 30, 2026</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1862" w:type="dxa"/>
            <w:tcBorders>
              <w:bottom w:val="double" w:sz="6" w:space="0" w:color="000000"/>
            </w:tcBorders>
            <w:tcMar>
              <w:bottom w:w="28" w:type="dxa"/>
            </w:tcMar>
            <w:vAlign w:val="center"/>
          </w:tcPr>
          <w:p>
            <w:pPr>
              <w:pStyle w:val="TableContents"/>
              <w:bidi w:val="0"/>
              <w:spacing w:before="0" w:after="283"/>
              <w:jc w:val="right"/>
              <w:rPr/>
            </w:pPr>
            <w:r>
              <w:rPr/>
              <w:t>2,994,159</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jc w:val="right"/>
              <w:rPr/>
            </w:pPr>
            <w:r>
              <w:rPr/>
              <w:t>2.16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55" w:type="dxa"/>
            <w:tcBorders/>
            <w:vAlign w:val="center"/>
          </w:tcPr>
          <w:p>
            <w:pPr>
              <w:pStyle w:val="TableContents"/>
              <w:bidi w:val="0"/>
              <w:spacing w:before="0" w:after="283"/>
              <w:jc w:val="right"/>
              <w:rPr/>
            </w:pPr>
            <w:r>
              <w:rPr/>
              <w:t>8.02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746" w:type="dxa"/>
            <w:tcBorders/>
            <w:vAlign w:val="center"/>
          </w:tcPr>
          <w:p>
            <w:pPr>
              <w:pStyle w:val="TableContents"/>
              <w:bidi w:val="0"/>
              <w:spacing w:before="0" w:after="283"/>
              <w:jc w:val="right"/>
              <w:rPr/>
            </w:pPr>
            <w:r>
              <w:rPr/>
              <w:t xml:space="preserve">- </w:t>
            </w:r>
          </w:p>
        </w:tc>
        <w:tc>
          <w:tcPr>
            <w:tcW w:w="138"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June 30, 2026 there were 8,682,951 service-based stock options outstanding, and 1,365,166 performance-based stock options outstanding. For the performance-based options, 1,290,166 were granted in October 2023 to the Company's current Chief Executive Officer, subject to vesting based on future market capitalization targets, and 75,000 were granted to a consultant, subject to vesting upon the Company's execution of a specified customer contract.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uses the Black-Scholes option pricing model to determine the fair value of the service-based options that have been granted. The following table summarizes the assumptions used to compute the fair value of options granted to employees and non-employees:</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SCHEDULE OF STOCK OPTION ACTIVITY, FAIR VALUE OF ASSUMPTIONS</w:t>
      </w:r>
    </w:p>
    <w:tbl>
      <w:tblPr>
        <w:tblW w:w="7492" w:type="dxa"/>
        <w:jc w:val="left"/>
        <w:tblInd w:w="0" w:type="dxa"/>
        <w:tblLayout w:type="fixed"/>
        <w:tblCellMar>
          <w:top w:w="0" w:type="dxa"/>
          <w:left w:w="0" w:type="dxa"/>
          <w:bottom w:w="0" w:type="dxa"/>
          <w:right w:w="0" w:type="dxa"/>
        </w:tblCellMar>
      </w:tblPr>
      <w:tblGrid>
        <w:gridCol w:w="4505"/>
        <w:gridCol w:w="90"/>
        <w:gridCol w:w="243"/>
        <w:gridCol w:w="759"/>
        <w:gridCol w:w="350"/>
        <w:gridCol w:w="128"/>
        <w:gridCol w:w="243"/>
        <w:gridCol w:w="759"/>
        <w:gridCol w:w="415"/>
      </w:tblGrid>
      <w:tr>
        <w:trPr/>
        <w:tc>
          <w:tcPr>
            <w:tcW w:w="450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4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7" w:type="dxa"/>
            <w:gridSpan w:val="7"/>
            <w:tcBorders>
              <w:bottom w:val="single" w:sz="6" w:space="0" w:color="000000"/>
            </w:tcBorders>
            <w:tcMar>
              <w:bottom w:w="28" w:type="dxa"/>
            </w:tcMar>
            <w:vAlign w:val="center"/>
          </w:tcPr>
          <w:p>
            <w:pPr>
              <w:pStyle w:val="TableContents"/>
              <w:bidi w:val="0"/>
              <w:spacing w:before="0" w:after="283"/>
              <w:jc w:val="center"/>
              <w:rPr>
                <w:b/>
              </w:rPr>
            </w:pPr>
            <w:r>
              <w:rPr>
                <w:b/>
              </w:rPr>
              <w:t>Six Months Ended June 30,</w:t>
            </w:r>
          </w:p>
        </w:tc>
      </w:tr>
      <w:tr>
        <w:trPr/>
        <w:tc>
          <w:tcPr>
            <w:tcW w:w="4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bottom w:val="single" w:sz="6" w:space="0" w:color="000000"/>
            </w:tcBorders>
            <w:tcMar>
              <w:bottom w:w="28" w:type="dxa"/>
            </w:tcMar>
            <w:vAlign w:val="center"/>
          </w:tcPr>
          <w:p>
            <w:pPr>
              <w:pStyle w:val="TableContents"/>
              <w:bidi w:val="0"/>
              <w:spacing w:before="0" w:after="283"/>
              <w:jc w:val="left"/>
              <w:rPr/>
            </w:pPr>
            <w:r>
              <w:rPr/>
              <w:t> </w:t>
            </w:r>
          </w:p>
        </w:tc>
        <w:tc>
          <w:tcPr>
            <w:tcW w:w="759"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350" w:type="dxa"/>
            <w:tcBorders>
              <w:bottom w:val="single" w:sz="6" w:space="0" w:color="000000"/>
            </w:tcBorders>
            <w:tcMar>
              <w:bottom w:w="28" w:type="dxa"/>
            </w:tcMar>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243" w:type="dxa"/>
            <w:tcBorders>
              <w:bottom w:val="single" w:sz="6" w:space="0" w:color="000000"/>
            </w:tcBorders>
            <w:tcMar>
              <w:bottom w:w="28" w:type="dxa"/>
            </w:tcMar>
            <w:vAlign w:val="center"/>
          </w:tcPr>
          <w:p>
            <w:pPr>
              <w:pStyle w:val="TableContents"/>
              <w:bidi w:val="0"/>
              <w:spacing w:before="0" w:after="283"/>
              <w:jc w:val="left"/>
              <w:rPr/>
            </w:pPr>
            <w:r>
              <w:rPr/>
              <w:t> </w:t>
            </w:r>
          </w:p>
        </w:tc>
        <w:tc>
          <w:tcPr>
            <w:tcW w:w="759"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41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Expected stock price volatility</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76</w:t>
            </w:r>
          </w:p>
        </w:tc>
        <w:tc>
          <w:tcPr>
            <w:tcW w:w="350" w:type="dxa"/>
            <w:tcBorders/>
            <w:shd w:fill="CCEEFF" w:val="clear"/>
            <w:vAlign w:val="center"/>
          </w:tcPr>
          <w:p>
            <w:pPr>
              <w:pStyle w:val="TableContents"/>
              <w:bidi w:val="0"/>
              <w:spacing w:before="0" w:after="283"/>
              <w:jc w:val="left"/>
              <w:rPr/>
            </w:pPr>
            <w:r>
              <w:rPr/>
              <w:t>%</w:t>
            </w:r>
          </w:p>
        </w:tc>
        <w:tc>
          <w:tcPr>
            <w:tcW w:w="12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76</w:t>
            </w:r>
          </w:p>
        </w:tc>
        <w:tc>
          <w:tcPr>
            <w:tcW w:w="415" w:type="dxa"/>
            <w:tcBorders/>
            <w:shd w:fill="CCEEFF" w:val="clear"/>
            <w:vAlign w:val="center"/>
          </w:tcPr>
          <w:p>
            <w:pPr>
              <w:pStyle w:val="TableContents"/>
              <w:bidi w:val="0"/>
              <w:spacing w:before="0" w:after="283"/>
              <w:jc w:val="left"/>
              <w:rPr/>
            </w:pPr>
            <w:r>
              <w:rPr/>
              <w:t>%</w:t>
            </w:r>
          </w:p>
        </w:tc>
      </w:tr>
      <w:tr>
        <w:trPr/>
        <w:tc>
          <w:tcPr>
            <w:tcW w:w="4505" w:type="dxa"/>
            <w:tcBorders/>
            <w:vAlign w:val="center"/>
          </w:tcPr>
          <w:p>
            <w:pPr>
              <w:pStyle w:val="TableContents"/>
              <w:bidi w:val="0"/>
              <w:spacing w:before="0" w:after="283"/>
              <w:jc w:val="left"/>
              <w:rPr/>
            </w:pPr>
            <w:r>
              <w:rPr/>
              <w:t>Risk-free interest rate</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right"/>
              <w:rPr/>
            </w:pPr>
            <w:r>
              <w:rPr/>
              <w:t>3.90</w:t>
            </w:r>
          </w:p>
        </w:tc>
        <w:tc>
          <w:tcPr>
            <w:tcW w:w="350" w:type="dxa"/>
            <w:tcBorders/>
            <w:vAlign w:val="center"/>
          </w:tcPr>
          <w:p>
            <w:pPr>
              <w:pStyle w:val="TableContents"/>
              <w:bidi w:val="0"/>
              <w:spacing w:before="0" w:after="283"/>
              <w:jc w:val="left"/>
              <w:rPr/>
            </w:pPr>
            <w:r>
              <w:rPr/>
              <w:t>%</w:t>
            </w:r>
          </w:p>
        </w:tc>
        <w:tc>
          <w:tcPr>
            <w:tcW w:w="128"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right"/>
              <w:rPr/>
            </w:pPr>
            <w:r>
              <w:rPr/>
              <w:t>4.06</w:t>
            </w:r>
          </w:p>
        </w:tc>
        <w:tc>
          <w:tcPr>
            <w:tcW w:w="415" w:type="dxa"/>
            <w:tcBorders/>
            <w:vAlign w:val="center"/>
          </w:tcPr>
          <w:p>
            <w:pPr>
              <w:pStyle w:val="TableContents"/>
              <w:bidi w:val="0"/>
              <w:spacing w:before="0" w:after="283"/>
              <w:jc w:val="left"/>
              <w:rPr/>
            </w:pPr>
            <w:r>
              <w:rPr/>
              <w:t>%</w:t>
            </w:r>
          </w:p>
        </w:tc>
      </w:tr>
      <w:tr>
        <w:trPr/>
        <w:tc>
          <w:tcPr>
            <w:tcW w:w="4505" w:type="dxa"/>
            <w:tcBorders/>
            <w:shd w:fill="CCEEFF" w:val="clear"/>
            <w:vAlign w:val="center"/>
          </w:tcPr>
          <w:p>
            <w:pPr>
              <w:pStyle w:val="TableContents"/>
              <w:bidi w:val="0"/>
              <w:spacing w:before="0" w:after="283"/>
              <w:jc w:val="left"/>
              <w:rPr/>
            </w:pPr>
            <w:r>
              <w:rPr/>
              <w:t>Expected dividend yield</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0</w:t>
            </w:r>
          </w:p>
        </w:tc>
        <w:tc>
          <w:tcPr>
            <w:tcW w:w="350" w:type="dxa"/>
            <w:tcBorders/>
            <w:shd w:fill="CCEEFF" w:val="clear"/>
            <w:vAlign w:val="center"/>
          </w:tcPr>
          <w:p>
            <w:pPr>
              <w:pStyle w:val="TableContents"/>
              <w:bidi w:val="0"/>
              <w:spacing w:before="0" w:after="283"/>
              <w:jc w:val="left"/>
              <w:rPr/>
            </w:pPr>
            <w:r>
              <w:rPr/>
              <w:t>%</w:t>
            </w:r>
          </w:p>
        </w:tc>
        <w:tc>
          <w:tcPr>
            <w:tcW w:w="12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0</w:t>
            </w:r>
          </w:p>
        </w:tc>
        <w:tc>
          <w:tcPr>
            <w:tcW w:w="415" w:type="dxa"/>
            <w:tcBorders/>
            <w:shd w:fill="CCEEFF" w:val="clear"/>
            <w:vAlign w:val="center"/>
          </w:tcPr>
          <w:p>
            <w:pPr>
              <w:pStyle w:val="TableContents"/>
              <w:bidi w:val="0"/>
              <w:spacing w:before="0" w:after="283"/>
              <w:jc w:val="left"/>
              <w:rPr/>
            </w:pPr>
            <w:r>
              <w:rPr/>
              <w:t>%</w:t>
            </w:r>
          </w:p>
        </w:tc>
      </w:tr>
      <w:tr>
        <w:trPr/>
        <w:tc>
          <w:tcPr>
            <w:tcW w:w="4505" w:type="dxa"/>
            <w:tcBorders/>
            <w:vAlign w:val="center"/>
          </w:tcPr>
          <w:p>
            <w:pPr>
              <w:pStyle w:val="TableContents"/>
              <w:bidi w:val="0"/>
              <w:spacing w:before="0" w:after="283"/>
              <w:jc w:val="left"/>
              <w:rPr/>
            </w:pPr>
            <w:r>
              <w:rPr/>
              <w:t>Expected life of options</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right"/>
              <w:rPr/>
            </w:pPr>
            <w:r>
              <w:rPr/>
              <w:t>5.91</w:t>
            </w:r>
          </w:p>
        </w:tc>
        <w:tc>
          <w:tcPr>
            <w:tcW w:w="35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right"/>
              <w:rPr/>
            </w:pPr>
            <w:r>
              <w:rPr/>
              <w:t>6.00</w:t>
            </w:r>
          </w:p>
        </w:tc>
        <w:tc>
          <w:tcPr>
            <w:tcW w:w="415"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Weighted-average fair value of options granted</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p>
        </w:tc>
        <w:tc>
          <w:tcPr>
            <w:tcW w:w="759" w:type="dxa"/>
            <w:tcBorders/>
            <w:shd w:fill="CCEEFF" w:val="clear"/>
            <w:vAlign w:val="center"/>
          </w:tcPr>
          <w:p>
            <w:pPr>
              <w:pStyle w:val="TableContents"/>
              <w:bidi w:val="0"/>
              <w:spacing w:before="0" w:after="283"/>
              <w:jc w:val="right"/>
              <w:rPr/>
            </w:pPr>
            <w:r>
              <w:rPr/>
              <w:t>1.47</w:t>
            </w:r>
          </w:p>
        </w:tc>
        <w:tc>
          <w:tcPr>
            <w:tcW w:w="35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p>
        </w:tc>
        <w:tc>
          <w:tcPr>
            <w:tcW w:w="759" w:type="dxa"/>
            <w:tcBorders/>
            <w:shd w:fill="CCEEFF" w:val="clear"/>
            <w:vAlign w:val="center"/>
          </w:tcPr>
          <w:p>
            <w:pPr>
              <w:pStyle w:val="TableContents"/>
              <w:bidi w:val="0"/>
              <w:spacing w:before="0" w:after="283"/>
              <w:jc w:val="right"/>
              <w:rPr/>
            </w:pPr>
            <w:r>
              <w:rPr/>
              <w:t>1.05</w:t>
            </w:r>
          </w:p>
        </w:tc>
        <w:tc>
          <w:tcPr>
            <w:tcW w:w="41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Estimated volatility is a measure of the amount by which the Company’s stock price is expected to fluctuate each year during the expected life of awards. The Company’s estimated volatility was based on an average of the historical volatility of peer entities whose stock prices were publicly available. The Company’s calculation of estimated volatility is based on the historical stock prices of these peer entities over a period equal to the expected life of the awards. The Company uses the historical volatility of peer entities due to the lack of sufficient historical data of its stock price. The Company records forfeitures as they are incurred.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risk-free interest rate assumption is based upon observed interest rates on zero coupon U.S. Treasury bonds whose maturity period is appropriate for the term of the options. The dividend yield of 0% is based on the fact that the Company has never paid cash dividends and has no present intention of paying cash dividends. The Company calculates the expected life of the options using the Simplified Method for the employee stock options as the Company does not have sufficient historical exercise data.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Stock option expense was $843 and $477 for the three months ended June 30, 2026 and 2025, respectively, and $2,876 and $864 for the six months ended June 30, 2026 and 2025, respectively. </w:t>
      </w:r>
    </w:p>
    <w:p>
      <w:pPr>
        <w:pStyle w:val="TextBody"/>
        <w:bidi w:val="0"/>
        <w:spacing w:before="0" w:after="0"/>
        <w:jc w:val="both"/>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14</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b w:val="false"/>
          <w:i w:val="false"/>
          <w:caps w:val="false"/>
          <w:smallCaps w:val="false"/>
          <w:sz w:val="20"/>
          <w:u w:val="single"/>
        </w:rPr>
      </w:pPr>
      <w:r>
        <w:rPr>
          <w:rFonts w:ascii="Times New Roman" w:hAnsi="Times New Roman"/>
          <w:b w:val="false"/>
          <w:i w:val="false"/>
          <w:caps w:val="false"/>
          <w:smallCaps w:val="false"/>
          <w:sz w:val="20"/>
          <w:u w:val="single"/>
        </w:rPr>
        <w:t>Restricted Stock Units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2017 Plan provides for the grant of restricted stock units (“RSUs”). RSUs are settled in shares of the Company’s Common Stock as the RSUs vest. The following table summarizes RSU activity for the six months ended June 30, 2026:</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49"/>
        <w:gridCol w:w="90"/>
        <w:gridCol w:w="90"/>
        <w:gridCol w:w="2034"/>
        <w:gridCol w:w="185"/>
        <w:gridCol w:w="90"/>
        <w:gridCol w:w="170"/>
        <w:gridCol w:w="2135"/>
        <w:gridCol w:w="90"/>
        <w:gridCol w:w="90"/>
        <w:gridCol w:w="90"/>
        <w:gridCol w:w="2155"/>
        <w:gridCol w:w="137"/>
      </w:tblGrid>
      <w:tr>
        <w:trPr/>
        <w:tc>
          <w:tcPr>
            <w:tcW w:w="2849"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r>
      <w:tr>
        <w:trPr/>
        <w:tc>
          <w:tcPr>
            <w:tcW w:w="284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67" w:type="dxa"/>
            <w:gridSpan w:val="7"/>
            <w:tcBorders>
              <w:bottom w:val="single" w:sz="6" w:space="0" w:color="000000"/>
            </w:tcBorders>
            <w:tcMar>
              <w:bottom w:w="28" w:type="dxa"/>
            </w:tcMar>
            <w:vAlign w:val="center"/>
          </w:tcPr>
          <w:p>
            <w:pPr>
              <w:pStyle w:val="TableContents"/>
              <w:bidi w:val="0"/>
              <w:spacing w:before="0" w:after="283"/>
              <w:jc w:val="center"/>
              <w:rPr>
                <w:b/>
              </w:rPr>
            </w:pPr>
            <w:r>
              <w:rPr>
                <w:b/>
              </w:rPr>
              <w:t>Weighted Average</w:t>
            </w:r>
          </w:p>
        </w:tc>
      </w:tr>
      <w:tr>
        <w:trPr/>
        <w:tc>
          <w:tcPr>
            <w:tcW w:w="284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2034" w:type="dxa"/>
            <w:tcBorders>
              <w:bottom w:val="single" w:sz="6" w:space="0" w:color="000000"/>
            </w:tcBorders>
            <w:tcMar>
              <w:bottom w:w="28" w:type="dxa"/>
            </w:tcMar>
            <w:vAlign w:val="center"/>
          </w:tcPr>
          <w:p>
            <w:pPr>
              <w:pStyle w:val="TableContents"/>
              <w:bidi w:val="0"/>
              <w:spacing w:before="0" w:after="283"/>
              <w:jc w:val="center"/>
              <w:rPr>
                <w:b/>
              </w:rPr>
            </w:pPr>
            <w:r>
              <w:rPr>
                <w:b/>
              </w:rPr>
              <w:t>Service-Based RSUs</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2135" w:type="dxa"/>
            <w:tcBorders>
              <w:bottom w:val="single" w:sz="6" w:space="0" w:color="000000"/>
            </w:tcBorders>
            <w:tcMar>
              <w:bottom w:w="28" w:type="dxa"/>
            </w:tcMar>
            <w:vAlign w:val="center"/>
          </w:tcPr>
          <w:p>
            <w:pPr>
              <w:pStyle w:val="TableContents"/>
              <w:bidi w:val="0"/>
              <w:spacing w:before="0" w:after="283"/>
              <w:jc w:val="center"/>
              <w:rPr>
                <w:b/>
              </w:rPr>
            </w:pPr>
            <w:r>
              <w:rPr>
                <w:b/>
              </w:rPr>
              <w:t>Grant Date Fair Value</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2155" w:type="dxa"/>
            <w:tcBorders>
              <w:bottom w:val="single" w:sz="6" w:space="0" w:color="000000"/>
            </w:tcBorders>
            <w:tcMar>
              <w:bottom w:w="28" w:type="dxa"/>
            </w:tcMar>
            <w:vAlign w:val="center"/>
          </w:tcPr>
          <w:p>
            <w:pPr>
              <w:pStyle w:val="TableContents"/>
              <w:bidi w:val="0"/>
              <w:spacing w:before="0" w:after="283"/>
              <w:jc w:val="center"/>
              <w:rPr>
                <w:b/>
              </w:rPr>
            </w:pPr>
            <w:r>
              <w:rPr>
                <w:b/>
              </w:rPr>
              <w:t>Vesting Period (Years)</w:t>
            </w:r>
          </w:p>
        </w:tc>
        <w:tc>
          <w:tcPr>
            <w:tcW w:w="137"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84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5"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r>
      <w:tr>
        <w:trPr/>
        <w:tc>
          <w:tcPr>
            <w:tcW w:w="2849" w:type="dxa"/>
            <w:tcBorders/>
            <w:shd w:fill="CCEEFF" w:val="clear"/>
            <w:vAlign w:val="center"/>
          </w:tcPr>
          <w:p>
            <w:pPr>
              <w:pStyle w:val="TableContents"/>
              <w:bidi w:val="0"/>
              <w:spacing w:before="0" w:after="283"/>
              <w:jc w:val="left"/>
              <w:rPr/>
            </w:pPr>
            <w:r>
              <w:rPr/>
              <w:t>Unvested at December 31, 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4" w:type="dxa"/>
            <w:tcBorders/>
            <w:shd w:fill="CCEEFF" w:val="clear"/>
            <w:vAlign w:val="center"/>
          </w:tcPr>
          <w:p>
            <w:pPr>
              <w:pStyle w:val="TableContents"/>
              <w:bidi w:val="0"/>
              <w:spacing w:before="0" w:after="283"/>
              <w:jc w:val="right"/>
              <w:rPr/>
            </w:pPr>
            <w:r>
              <w:rPr/>
              <w:t>1,014,563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2135" w:type="dxa"/>
            <w:tcBorders/>
            <w:shd w:fill="CCEEFF" w:val="clear"/>
            <w:vAlign w:val="center"/>
          </w:tcPr>
          <w:p>
            <w:pPr>
              <w:pStyle w:val="TableContents"/>
              <w:bidi w:val="0"/>
              <w:spacing w:before="0" w:after="283"/>
              <w:jc w:val="right"/>
              <w:rPr/>
            </w:pPr>
            <w:r>
              <w:rPr/>
              <w:t>2.23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5" w:type="dxa"/>
            <w:tcBorders/>
            <w:shd w:fill="CCEEFF" w:val="clear"/>
            <w:vAlign w:val="center"/>
          </w:tcPr>
          <w:p>
            <w:pPr>
              <w:pStyle w:val="TableContents"/>
              <w:bidi w:val="0"/>
              <w:spacing w:before="0" w:after="283"/>
              <w:jc w:val="right"/>
              <w:rPr/>
            </w:pPr>
            <w:r>
              <w:rPr/>
              <w:t>3.62</w:t>
            </w:r>
          </w:p>
        </w:tc>
        <w:tc>
          <w:tcPr>
            <w:tcW w:w="137" w:type="dxa"/>
            <w:tcBorders/>
            <w:shd w:fill="CCEEFF" w:val="clear"/>
            <w:vAlign w:val="center"/>
          </w:tcPr>
          <w:p>
            <w:pPr>
              <w:pStyle w:val="TableContents"/>
              <w:bidi w:val="0"/>
              <w:spacing w:before="0" w:after="283"/>
              <w:jc w:val="left"/>
              <w:rPr/>
            </w:pPr>
            <w:r>
              <w:rPr/>
              <w:t> </w:t>
            </w:r>
          </w:p>
        </w:tc>
      </w:tr>
      <w:tr>
        <w:trPr/>
        <w:tc>
          <w:tcPr>
            <w:tcW w:w="2849" w:type="dxa"/>
            <w:tcBorders/>
            <w:vAlign w:val="center"/>
          </w:tcPr>
          <w:p>
            <w:pPr>
              <w:pStyle w:val="TableContents"/>
              <w:bidi w:val="0"/>
              <w:spacing w:before="0" w:after="283"/>
              <w:jc w:val="left"/>
              <w:rPr/>
            </w:pPr>
            <w:r>
              <w:rPr/>
              <w:t>Granted service based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4" w:type="dxa"/>
            <w:tcBorders/>
            <w:vAlign w:val="center"/>
          </w:tcPr>
          <w:p>
            <w:pPr>
              <w:pStyle w:val="TableContents"/>
              <w:bidi w:val="0"/>
              <w:spacing w:before="0" w:after="283"/>
              <w:jc w:val="right"/>
              <w:rPr/>
            </w:pPr>
            <w:r>
              <w:rPr/>
              <w:t>179,267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283"/>
              <w:jc w:val="right"/>
              <w:rPr/>
            </w:pPr>
            <w:r>
              <w:rPr/>
              <w:t>1.96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5" w:type="dxa"/>
            <w:tcBorders/>
            <w:vAlign w:val="center"/>
          </w:tcPr>
          <w:p>
            <w:pPr>
              <w:pStyle w:val="TableContents"/>
              <w:bidi w:val="0"/>
              <w:spacing w:before="0" w:after="283"/>
              <w:jc w:val="right"/>
              <w:rPr/>
            </w:pPr>
            <w:r>
              <w:rPr/>
              <w:t xml:space="preserve">- </w:t>
            </w:r>
          </w:p>
        </w:tc>
        <w:tc>
          <w:tcPr>
            <w:tcW w:w="137" w:type="dxa"/>
            <w:tcBorders/>
            <w:vAlign w:val="center"/>
          </w:tcPr>
          <w:p>
            <w:pPr>
              <w:pStyle w:val="TableContents"/>
              <w:bidi w:val="0"/>
              <w:spacing w:before="0" w:after="283"/>
              <w:jc w:val="left"/>
              <w:rPr/>
            </w:pPr>
            <w:r>
              <w:rPr/>
              <w:t> </w:t>
            </w:r>
          </w:p>
        </w:tc>
      </w:tr>
      <w:tr>
        <w:trPr/>
        <w:tc>
          <w:tcPr>
            <w:tcW w:w="2849" w:type="dxa"/>
            <w:tcBorders/>
            <w:shd w:fill="CCEEFF" w:val="clear"/>
            <w:vAlign w:val="center"/>
          </w:tcPr>
          <w:p>
            <w:pPr>
              <w:pStyle w:val="TableContents"/>
              <w:bidi w:val="0"/>
              <w:spacing w:before="0" w:after="283"/>
              <w:jc w:val="left"/>
              <w:rPr/>
            </w:pPr>
            <w:r>
              <w:rPr/>
              <w:t>Vested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4" w:type="dxa"/>
            <w:tcBorders/>
            <w:shd w:fill="CCEEFF" w:val="clear"/>
            <w:vAlign w:val="center"/>
          </w:tcPr>
          <w:p>
            <w:pPr>
              <w:pStyle w:val="TableContents"/>
              <w:bidi w:val="0"/>
              <w:spacing w:before="0" w:after="283"/>
              <w:jc w:val="right"/>
              <w:rPr/>
            </w:pPr>
            <w:r>
              <w:rPr/>
              <w:t>(164,518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2135" w:type="dxa"/>
            <w:tcBorders/>
            <w:shd w:fill="CCEEFF" w:val="clear"/>
            <w:vAlign w:val="center"/>
          </w:tcPr>
          <w:p>
            <w:pPr>
              <w:pStyle w:val="TableContents"/>
              <w:bidi w:val="0"/>
              <w:spacing w:before="0" w:after="283"/>
              <w:jc w:val="right"/>
              <w:rPr/>
            </w:pPr>
            <w:r>
              <w:rPr/>
              <w:t>1.96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5" w:type="dxa"/>
            <w:tcBorders/>
            <w:shd w:fill="CCEEFF" w:val="clear"/>
            <w:vAlign w:val="center"/>
          </w:tcPr>
          <w:p>
            <w:pPr>
              <w:pStyle w:val="TableContents"/>
              <w:bidi w:val="0"/>
              <w:spacing w:before="0" w:after="283"/>
              <w:jc w:val="right"/>
              <w:rPr/>
            </w:pPr>
            <w:r>
              <w:rPr/>
              <w:t xml:space="preserve">- </w:t>
            </w:r>
          </w:p>
        </w:tc>
        <w:tc>
          <w:tcPr>
            <w:tcW w:w="137" w:type="dxa"/>
            <w:tcBorders/>
            <w:shd w:fill="CCEEFF" w:val="clear"/>
            <w:vAlign w:val="center"/>
          </w:tcPr>
          <w:p>
            <w:pPr>
              <w:pStyle w:val="TableContents"/>
              <w:bidi w:val="0"/>
              <w:spacing w:before="0" w:after="283"/>
              <w:jc w:val="left"/>
              <w:rPr/>
            </w:pPr>
            <w:r>
              <w:rPr/>
              <w:t> </w:t>
            </w:r>
          </w:p>
        </w:tc>
      </w:tr>
      <w:tr>
        <w:trPr/>
        <w:tc>
          <w:tcPr>
            <w:tcW w:w="2849" w:type="dxa"/>
            <w:tcBorders/>
            <w:vAlign w:val="center"/>
          </w:tcPr>
          <w:p>
            <w:pPr>
              <w:pStyle w:val="TableContents"/>
              <w:bidi w:val="0"/>
              <w:spacing w:before="0" w:after="283"/>
              <w:jc w:val="left"/>
              <w:rPr/>
            </w:pPr>
            <w:r>
              <w:rPr/>
              <w:t>Forfeited and cancelled</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2034"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2135"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5" w:type="dxa"/>
            <w:tcBorders/>
            <w:vAlign w:val="center"/>
          </w:tcPr>
          <w:p>
            <w:pPr>
              <w:pStyle w:val="TableContents"/>
              <w:bidi w:val="0"/>
              <w:spacing w:before="0" w:after="283"/>
              <w:jc w:val="right"/>
              <w:rPr/>
            </w:pPr>
            <w:r>
              <w:rPr/>
              <w:t xml:space="preserve">- </w:t>
            </w:r>
          </w:p>
        </w:tc>
        <w:tc>
          <w:tcPr>
            <w:tcW w:w="137" w:type="dxa"/>
            <w:tcBorders/>
            <w:vAlign w:val="center"/>
          </w:tcPr>
          <w:p>
            <w:pPr>
              <w:pStyle w:val="TableContents"/>
              <w:bidi w:val="0"/>
              <w:spacing w:before="0" w:after="283"/>
              <w:jc w:val="left"/>
              <w:rPr/>
            </w:pPr>
            <w:r>
              <w:rPr/>
              <w:t> </w:t>
            </w:r>
          </w:p>
        </w:tc>
      </w:tr>
      <w:tr>
        <w:trPr/>
        <w:tc>
          <w:tcPr>
            <w:tcW w:w="2849" w:type="dxa"/>
            <w:tcBorders/>
            <w:shd w:fill="CCEEFF" w:val="clear"/>
            <w:vAlign w:val="center"/>
          </w:tcPr>
          <w:p>
            <w:pPr>
              <w:pStyle w:val="TableContents"/>
              <w:bidi w:val="0"/>
              <w:spacing w:before="0" w:after="283"/>
              <w:jc w:val="left"/>
              <w:rPr/>
            </w:pPr>
            <w:r>
              <w:rPr/>
              <w:t>Unvested at June 30, 2026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4" w:type="dxa"/>
            <w:tcBorders/>
            <w:shd w:fill="CCEEFF" w:val="clear"/>
            <w:vAlign w:val="center"/>
          </w:tcPr>
          <w:p>
            <w:pPr>
              <w:pStyle w:val="TableContents"/>
              <w:bidi w:val="0"/>
              <w:spacing w:before="0" w:after="283"/>
              <w:jc w:val="right"/>
              <w:rPr/>
            </w:pPr>
            <w:r>
              <w:rPr/>
              <w:t>1,029,312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135" w:type="dxa"/>
            <w:tcBorders>
              <w:bottom w:val="double" w:sz="6" w:space="0" w:color="000000"/>
            </w:tcBorders>
            <w:shd w:fill="CCEEFF" w:val="clear"/>
            <w:tcMar>
              <w:bottom w:w="28" w:type="dxa"/>
            </w:tcMar>
            <w:vAlign w:val="center"/>
          </w:tcPr>
          <w:p>
            <w:pPr>
              <w:pStyle w:val="TableContents"/>
              <w:bidi w:val="0"/>
              <w:spacing w:before="0" w:after="283"/>
              <w:jc w:val="right"/>
              <w:rPr/>
            </w:pPr>
            <w:r>
              <w:rPr/>
              <w:t>2.23</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5" w:type="dxa"/>
            <w:tcBorders/>
            <w:shd w:fill="CCEEFF" w:val="clear"/>
            <w:vAlign w:val="center"/>
          </w:tcPr>
          <w:p>
            <w:pPr>
              <w:pStyle w:val="TableContents"/>
              <w:bidi w:val="0"/>
              <w:spacing w:before="0" w:after="283"/>
              <w:jc w:val="right"/>
              <w:rPr/>
            </w:pPr>
            <w:r>
              <w:rPr/>
              <w:t>3.57</w:t>
            </w:r>
          </w:p>
        </w:tc>
        <w:tc>
          <w:tcPr>
            <w:tcW w:w="137"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SCHEDULE OF RESTRICTED STOCK UNITS ACTIVITY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used the Monte Carlo Simulation Model to value at the grant date the aggregate of 632,911 market condition performance RSUs granted in January 2024 to the Company’s Chief Executive Officer. The assumptions used in the Monte Carlo Simulation were stock price on the date of grant equal to $3.40, a contract term of 10 years, expected volatility of 78% and risk-free interest rate of 4.10%. Vesting is based on sustained market capitalization of $1 billion, and the derived service period is 4.3 years.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RSU expense was $176 and $293 for the three months ended June 30, 2026 and 2025, respectively, and $527 and $1,571 for the six months ended June 30, 2026 and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u w:val="single"/>
        </w:rPr>
      </w:pPr>
      <w:r>
        <w:rPr>
          <w:rFonts w:ascii="Times New Roman" w:hAnsi="Times New Roman"/>
          <w:b w:val="false"/>
          <w:i w:val="false"/>
          <w:caps w:val="false"/>
          <w:smallCaps w:val="false"/>
          <w:sz w:val="20"/>
          <w:u w:val="single"/>
        </w:rPr>
        <w:t>Share-Based Compensation Expense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recorded share-based compensation for options and RSUs in its statements of operations for the relevant periods as follows:</w:t>
      </w:r>
    </w:p>
    <w:p>
      <w:pPr>
        <w:pStyle w:val="TextBody"/>
        <w:bidi w:val="0"/>
        <w:spacing w:before="0" w:after="0"/>
        <w:jc w:val="both"/>
        <w:rPr>
          <w:caps w:val="false"/>
          <w:smallCaps w:val="false"/>
        </w:rPr>
      </w:pPr>
      <w:r>
        <w:rPr>
          <w:caps w:val="false"/>
          <w:smallCaps w:val="false"/>
        </w:rPr>
        <w:t> </w:t>
      </w:r>
    </w:p>
    <w:tbl>
      <w:tblPr>
        <w:tblW w:w="9550" w:type="dxa"/>
        <w:jc w:val="left"/>
        <w:tblInd w:w="0" w:type="dxa"/>
        <w:tblLayout w:type="fixed"/>
        <w:tblCellMar>
          <w:top w:w="0" w:type="dxa"/>
          <w:left w:w="0" w:type="dxa"/>
          <w:bottom w:w="0" w:type="dxa"/>
          <w:right w:w="0" w:type="dxa"/>
        </w:tblCellMar>
      </w:tblPr>
      <w:tblGrid>
        <w:gridCol w:w="3320"/>
        <w:gridCol w:w="90"/>
        <w:gridCol w:w="310"/>
        <w:gridCol w:w="1075"/>
        <w:gridCol w:w="164"/>
        <w:gridCol w:w="164"/>
        <w:gridCol w:w="310"/>
        <w:gridCol w:w="966"/>
        <w:gridCol w:w="164"/>
        <w:gridCol w:w="90"/>
        <w:gridCol w:w="268"/>
        <w:gridCol w:w="932"/>
        <w:gridCol w:w="142"/>
        <w:gridCol w:w="142"/>
        <w:gridCol w:w="268"/>
        <w:gridCol w:w="932"/>
        <w:gridCol w:w="213"/>
      </w:tblGrid>
      <w:tr>
        <w:trPr/>
        <w:tc>
          <w:tcPr>
            <w:tcW w:w="33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53" w:type="dxa"/>
            <w:gridSpan w:val="7"/>
            <w:tcBorders>
              <w:bottom w:val="single" w:sz="6" w:space="0" w:color="000000"/>
            </w:tcBorders>
            <w:tcMar>
              <w:bottom w:w="28" w:type="dxa"/>
            </w:tcMar>
            <w:vAlign w:val="center"/>
          </w:tcPr>
          <w:p>
            <w:pPr>
              <w:pStyle w:val="TableContents"/>
              <w:bidi w:val="0"/>
              <w:spacing w:before="0" w:after="283"/>
              <w:jc w:val="center"/>
              <w:rPr>
                <w:b/>
              </w:rPr>
            </w:pPr>
            <w:r>
              <w:rPr>
                <w:b/>
              </w:rPr>
              <w:t>Three Months Ended June 30,</w:t>
            </w:r>
          </w:p>
        </w:tc>
        <w:tc>
          <w:tcPr>
            <w:tcW w:w="90" w:type="dxa"/>
            <w:tcBorders/>
            <w:vAlign w:val="center"/>
          </w:tcPr>
          <w:p>
            <w:pPr>
              <w:pStyle w:val="TableContents"/>
              <w:bidi w:val="0"/>
              <w:spacing w:before="0" w:after="283"/>
              <w:jc w:val="left"/>
              <w:rPr>
                <w:sz w:val="4"/>
                <w:szCs w:val="4"/>
              </w:rPr>
            </w:pPr>
            <w:r>
              <w:rPr>
                <w:sz w:val="4"/>
                <w:szCs w:val="4"/>
              </w:rPr>
            </w:r>
          </w:p>
        </w:tc>
        <w:tc>
          <w:tcPr>
            <w:tcW w:w="2897" w:type="dxa"/>
            <w:gridSpan w:val="7"/>
            <w:tcBorders>
              <w:bottom w:val="single" w:sz="6" w:space="0" w:color="000000"/>
            </w:tcBorders>
            <w:tcMar>
              <w:bottom w:w="28" w:type="dxa"/>
            </w:tcMar>
            <w:vAlign w:val="center"/>
          </w:tcPr>
          <w:p>
            <w:pPr>
              <w:pStyle w:val="TableContents"/>
              <w:bidi w:val="0"/>
              <w:spacing w:before="0" w:after="283"/>
              <w:jc w:val="center"/>
              <w:rPr>
                <w:b/>
              </w:rPr>
            </w:pPr>
            <w:r>
              <w:rPr>
                <w:b/>
              </w:rPr>
              <w:t>Six Months Ended June 30,</w:t>
            </w:r>
          </w:p>
        </w:tc>
      </w:tr>
      <w:tr>
        <w:trPr/>
        <w:tc>
          <w:tcPr>
            <w:tcW w:w="3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0" w:type="dxa"/>
            <w:tcBorders>
              <w:bottom w:val="single" w:sz="6" w:space="0" w:color="000000"/>
            </w:tcBorders>
            <w:tcMar>
              <w:bottom w:w="28" w:type="dxa"/>
            </w:tcMar>
            <w:vAlign w:val="center"/>
          </w:tcPr>
          <w:p>
            <w:pPr>
              <w:pStyle w:val="TableContents"/>
              <w:bidi w:val="0"/>
              <w:spacing w:before="0" w:after="283"/>
              <w:jc w:val="left"/>
              <w:rPr/>
            </w:pPr>
            <w:r>
              <w:rPr/>
              <w:t> </w:t>
            </w:r>
          </w:p>
        </w:tc>
        <w:tc>
          <w:tcPr>
            <w:tcW w:w="1075"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164" w:type="dxa"/>
            <w:tcBorders>
              <w:bottom w:val="single" w:sz="6" w:space="0" w:color="000000"/>
            </w:tcBorders>
            <w:tcMar>
              <w:bottom w:w="28" w:type="dxa"/>
            </w:tcMar>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310" w:type="dxa"/>
            <w:tcBorders>
              <w:bottom w:val="single" w:sz="6" w:space="0" w:color="000000"/>
            </w:tcBorders>
            <w:tcMar>
              <w:bottom w:w="28" w:type="dxa"/>
            </w:tcMar>
            <w:vAlign w:val="center"/>
          </w:tcPr>
          <w:p>
            <w:pPr>
              <w:pStyle w:val="TableContents"/>
              <w:bidi w:val="0"/>
              <w:spacing w:before="0" w:after="283"/>
              <w:jc w:val="left"/>
              <w:rPr/>
            </w:pPr>
            <w:r>
              <w:rPr/>
              <w:t> </w:t>
            </w:r>
          </w:p>
        </w:tc>
        <w:tc>
          <w:tcPr>
            <w:tcW w:w="966"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164"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268" w:type="dxa"/>
            <w:tcBorders>
              <w:bottom w:val="single" w:sz="6" w:space="0" w:color="000000"/>
            </w:tcBorders>
            <w:tcMar>
              <w:bottom w:w="28" w:type="dxa"/>
            </w:tcMar>
            <w:vAlign w:val="center"/>
          </w:tcPr>
          <w:p>
            <w:pPr>
              <w:pStyle w:val="TableContents"/>
              <w:bidi w:val="0"/>
              <w:spacing w:before="0" w:after="283"/>
              <w:jc w:val="center"/>
              <w:rPr/>
            </w:pPr>
            <w:r>
              <w:rPr/>
              <w:t> </w:t>
            </w:r>
          </w:p>
        </w:tc>
        <w:tc>
          <w:tcPr>
            <w:tcW w:w="932"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142" w:type="dxa"/>
            <w:tcBorders>
              <w:bottom w:val="single" w:sz="6" w:space="0" w:color="000000"/>
            </w:tcBorders>
            <w:tcMar>
              <w:bottom w:w="28" w:type="dxa"/>
            </w:tcMar>
            <w:vAlign w:val="center"/>
          </w:tcPr>
          <w:p>
            <w:pPr>
              <w:pStyle w:val="TableContents"/>
              <w:bidi w:val="0"/>
              <w:spacing w:before="0" w:after="283"/>
              <w:jc w:val="center"/>
              <w:rPr/>
            </w:pPr>
            <w:r>
              <w:rPr/>
              <w:t> </w:t>
            </w:r>
          </w:p>
        </w:tc>
        <w:tc>
          <w:tcPr>
            <w:tcW w:w="142" w:type="dxa"/>
            <w:tcBorders/>
            <w:vAlign w:val="center"/>
          </w:tcPr>
          <w:p>
            <w:pPr>
              <w:pStyle w:val="TableContents"/>
              <w:bidi w:val="0"/>
              <w:spacing w:before="0" w:after="283"/>
              <w:jc w:val="left"/>
              <w:rPr>
                <w:sz w:val="4"/>
                <w:szCs w:val="4"/>
              </w:rPr>
            </w:pPr>
            <w:r>
              <w:rPr>
                <w:sz w:val="4"/>
                <w:szCs w:val="4"/>
              </w:rPr>
            </w:r>
          </w:p>
        </w:tc>
        <w:tc>
          <w:tcPr>
            <w:tcW w:w="268" w:type="dxa"/>
            <w:tcBorders>
              <w:bottom w:val="single" w:sz="6" w:space="0" w:color="000000"/>
            </w:tcBorders>
            <w:tcMar>
              <w:bottom w:w="28" w:type="dxa"/>
            </w:tcMar>
            <w:vAlign w:val="center"/>
          </w:tcPr>
          <w:p>
            <w:pPr>
              <w:pStyle w:val="TableContents"/>
              <w:bidi w:val="0"/>
              <w:spacing w:before="0" w:after="283"/>
              <w:jc w:val="center"/>
              <w:rPr/>
            </w:pPr>
            <w:r>
              <w:rPr/>
              <w:t> </w:t>
            </w:r>
          </w:p>
        </w:tc>
        <w:tc>
          <w:tcPr>
            <w:tcW w:w="932"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213"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3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Selling, general and administrative</w:t>
            </w:r>
          </w:p>
        </w:tc>
        <w:tc>
          <w:tcPr>
            <w:tcW w:w="9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w:t>
            </w:r>
          </w:p>
        </w:tc>
        <w:tc>
          <w:tcPr>
            <w:tcW w:w="1075" w:type="dxa"/>
            <w:tcBorders/>
            <w:shd w:fill="CCEEFF" w:val="clear"/>
            <w:vAlign w:val="center"/>
          </w:tcPr>
          <w:p>
            <w:pPr>
              <w:pStyle w:val="TableContents"/>
              <w:bidi w:val="0"/>
              <w:spacing w:before="0" w:after="283"/>
              <w:jc w:val="right"/>
              <w:rPr/>
            </w:pPr>
            <w:r>
              <w:rPr/>
              <w:t>1,019</w:t>
            </w:r>
          </w:p>
        </w:tc>
        <w:tc>
          <w:tcPr>
            <w:tcW w:w="164"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w:t>
            </w:r>
          </w:p>
        </w:tc>
        <w:tc>
          <w:tcPr>
            <w:tcW w:w="966" w:type="dxa"/>
            <w:tcBorders/>
            <w:shd w:fill="CCEEFF" w:val="clear"/>
            <w:vAlign w:val="center"/>
          </w:tcPr>
          <w:p>
            <w:pPr>
              <w:pStyle w:val="TableContents"/>
              <w:bidi w:val="0"/>
              <w:spacing w:before="0" w:after="283"/>
              <w:jc w:val="right"/>
              <w:rPr/>
            </w:pPr>
            <w:r>
              <w:rPr/>
              <w:t>755</w:t>
            </w:r>
          </w:p>
        </w:tc>
        <w:tc>
          <w:tcPr>
            <w:tcW w:w="16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268" w:type="dxa"/>
            <w:tcBorders/>
            <w:shd w:fill="CCEEFF" w:val="clear"/>
            <w:vAlign w:val="center"/>
          </w:tcPr>
          <w:p>
            <w:pPr>
              <w:pStyle w:val="TableContents"/>
              <w:bidi w:val="0"/>
              <w:spacing w:before="0" w:after="283"/>
              <w:jc w:val="left"/>
              <w:rPr/>
            </w:pPr>
            <w:r>
              <w:rPr/>
              <w:t>$</w:t>
            </w:r>
          </w:p>
        </w:tc>
        <w:tc>
          <w:tcPr>
            <w:tcW w:w="932" w:type="dxa"/>
            <w:tcBorders/>
            <w:shd w:fill="CCEEFF" w:val="clear"/>
            <w:vAlign w:val="center"/>
          </w:tcPr>
          <w:p>
            <w:pPr>
              <w:pStyle w:val="TableContents"/>
              <w:bidi w:val="0"/>
              <w:spacing w:before="0" w:after="283"/>
              <w:jc w:val="right"/>
              <w:rPr/>
            </w:pPr>
            <w:r>
              <w:rPr/>
              <w:t>3,403</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268" w:type="dxa"/>
            <w:tcBorders/>
            <w:shd w:fill="CCEEFF" w:val="clear"/>
            <w:vAlign w:val="center"/>
          </w:tcPr>
          <w:p>
            <w:pPr>
              <w:pStyle w:val="TableContents"/>
              <w:bidi w:val="0"/>
              <w:spacing w:before="0" w:after="283"/>
              <w:jc w:val="left"/>
              <w:rPr/>
            </w:pPr>
            <w:r>
              <w:rPr/>
              <w:t>$</w:t>
            </w:r>
          </w:p>
        </w:tc>
        <w:tc>
          <w:tcPr>
            <w:tcW w:w="932" w:type="dxa"/>
            <w:tcBorders/>
            <w:shd w:fill="CCEEFF" w:val="clear"/>
            <w:vAlign w:val="center"/>
          </w:tcPr>
          <w:p>
            <w:pPr>
              <w:pStyle w:val="TableContents"/>
              <w:bidi w:val="0"/>
              <w:spacing w:before="0" w:after="283"/>
              <w:jc w:val="right"/>
              <w:rPr/>
            </w:pPr>
            <w:r>
              <w:rPr/>
              <w:t>2,358</w:t>
            </w:r>
          </w:p>
        </w:tc>
        <w:tc>
          <w:tcPr>
            <w:tcW w:w="213"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Research and development</w:t>
            </w:r>
          </w:p>
        </w:tc>
        <w:tc>
          <w:tcPr>
            <w:tcW w:w="90" w:type="dxa"/>
            <w:tcBorders/>
            <w:vAlign w:val="center"/>
          </w:tcPr>
          <w:p>
            <w:pPr>
              <w:pStyle w:val="TableContents"/>
              <w:bidi w:val="0"/>
              <w:spacing w:before="0" w:after="283"/>
              <w:jc w:val="left"/>
              <w:rPr/>
            </w:pPr>
            <w:r>
              <w:rPr/>
              <w:t> </w:t>
            </w:r>
          </w:p>
        </w:tc>
        <w:tc>
          <w:tcPr>
            <w:tcW w:w="310" w:type="dxa"/>
            <w:tcBorders>
              <w:bottom w:val="single" w:sz="6" w:space="0" w:color="000000"/>
            </w:tcBorders>
            <w:tcMar>
              <w:bottom w:w="28" w:type="dxa"/>
            </w:tcMar>
            <w:vAlign w:val="center"/>
          </w:tcPr>
          <w:p>
            <w:pPr>
              <w:pStyle w:val="TableContents"/>
              <w:bidi w:val="0"/>
              <w:spacing w:before="0" w:after="283"/>
              <w:jc w:val="left"/>
              <w:rPr/>
            </w:pPr>
            <w:r>
              <w:rPr/>
              <w:t> </w:t>
            </w:r>
          </w:p>
        </w:tc>
        <w:tc>
          <w:tcPr>
            <w:tcW w:w="1075"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164" w:type="dxa"/>
            <w:tcBorders>
              <w:bottom w:val="single" w:sz="6" w:space="0" w:color="000000"/>
            </w:tcBorders>
            <w:tcMar>
              <w:bottom w:w="28" w:type="dxa"/>
            </w:tcMar>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310" w:type="dxa"/>
            <w:tcBorders>
              <w:bottom w:val="single" w:sz="6" w:space="0" w:color="000000"/>
            </w:tcBorders>
            <w:tcMar>
              <w:bottom w:w="28" w:type="dxa"/>
            </w:tcMar>
            <w:vAlign w:val="center"/>
          </w:tcPr>
          <w:p>
            <w:pPr>
              <w:pStyle w:val="TableContents"/>
              <w:bidi w:val="0"/>
              <w:spacing w:before="0" w:after="283"/>
              <w:jc w:val="left"/>
              <w:rPr/>
            </w:pPr>
            <w:r>
              <w:rPr/>
              <w:t> </w:t>
            </w:r>
          </w:p>
        </w:tc>
        <w:tc>
          <w:tcPr>
            <w:tcW w:w="966" w:type="dxa"/>
            <w:tcBorders>
              <w:bottom w:val="single" w:sz="6" w:space="0" w:color="000000"/>
            </w:tcBorders>
            <w:tcMar>
              <w:bottom w:w="28" w:type="dxa"/>
            </w:tcMar>
            <w:vAlign w:val="center"/>
          </w:tcPr>
          <w:p>
            <w:pPr>
              <w:pStyle w:val="TableContents"/>
              <w:bidi w:val="0"/>
              <w:spacing w:before="0" w:after="283"/>
              <w:jc w:val="right"/>
              <w:rPr/>
            </w:pPr>
            <w:r>
              <w:rPr/>
              <w:t>15</w:t>
            </w:r>
          </w:p>
        </w:tc>
        <w:tc>
          <w:tcPr>
            <w:tcW w:w="164"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268" w:type="dxa"/>
            <w:tcBorders>
              <w:bottom w:val="single" w:sz="6" w:space="0" w:color="000000"/>
            </w:tcBorders>
            <w:tcMar>
              <w:bottom w:w="28" w:type="dxa"/>
            </w:tcMar>
            <w:vAlign w:val="center"/>
          </w:tcPr>
          <w:p>
            <w:pPr>
              <w:pStyle w:val="TableContents"/>
              <w:bidi w:val="0"/>
              <w:spacing w:before="0" w:after="283"/>
              <w:jc w:val="left"/>
              <w:rPr/>
            </w:pPr>
            <w:r>
              <w:rPr/>
              <w:t> </w:t>
            </w:r>
          </w:p>
        </w:tc>
        <w:tc>
          <w:tcPr>
            <w:tcW w:w="932"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142" w:type="dxa"/>
            <w:tcBorders>
              <w:bottom w:val="single" w:sz="6" w:space="0" w:color="000000"/>
            </w:tcBorders>
            <w:tcMar>
              <w:bottom w:w="28" w:type="dxa"/>
            </w:tcMar>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sz w:val="4"/>
                <w:szCs w:val="4"/>
              </w:rPr>
            </w:pPr>
            <w:r>
              <w:rPr>
                <w:sz w:val="4"/>
                <w:szCs w:val="4"/>
              </w:rPr>
            </w:r>
          </w:p>
        </w:tc>
        <w:tc>
          <w:tcPr>
            <w:tcW w:w="268" w:type="dxa"/>
            <w:tcBorders>
              <w:bottom w:val="single" w:sz="6" w:space="0" w:color="000000"/>
            </w:tcBorders>
            <w:tcMar>
              <w:bottom w:w="28" w:type="dxa"/>
            </w:tcMar>
            <w:vAlign w:val="center"/>
          </w:tcPr>
          <w:p>
            <w:pPr>
              <w:pStyle w:val="TableContents"/>
              <w:bidi w:val="0"/>
              <w:spacing w:before="0" w:after="283"/>
              <w:jc w:val="left"/>
              <w:rPr/>
            </w:pPr>
            <w:r>
              <w:rPr/>
              <w:t> </w:t>
            </w:r>
          </w:p>
        </w:tc>
        <w:tc>
          <w:tcPr>
            <w:tcW w:w="932" w:type="dxa"/>
            <w:tcBorders>
              <w:bottom w:val="single" w:sz="6" w:space="0" w:color="000000"/>
            </w:tcBorders>
            <w:tcMar>
              <w:bottom w:w="28" w:type="dxa"/>
            </w:tcMar>
            <w:vAlign w:val="center"/>
          </w:tcPr>
          <w:p>
            <w:pPr>
              <w:pStyle w:val="TableContents"/>
              <w:bidi w:val="0"/>
              <w:spacing w:before="0" w:after="283"/>
              <w:jc w:val="right"/>
              <w:rPr/>
            </w:pPr>
            <w:r>
              <w:rPr/>
              <w:t>77</w:t>
            </w:r>
          </w:p>
        </w:tc>
        <w:tc>
          <w:tcPr>
            <w:tcW w:w="213"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Total share-based expense</w:t>
            </w:r>
          </w:p>
        </w:tc>
        <w:tc>
          <w:tcPr>
            <w:tcW w:w="90" w:type="dxa"/>
            <w:tcBorders/>
            <w:shd w:fill="CCEEFF" w:val="clear"/>
            <w:vAlign w:val="center"/>
          </w:tcPr>
          <w:p>
            <w:pPr>
              <w:pStyle w:val="TableContents"/>
              <w:bidi w:val="0"/>
              <w:spacing w:before="0" w:after="283"/>
              <w:jc w:val="left"/>
              <w:rPr/>
            </w:pPr>
            <w:r>
              <w:rPr/>
              <w:t> </w:t>
            </w:r>
          </w:p>
        </w:tc>
        <w:tc>
          <w:tcPr>
            <w:tcW w:w="31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75" w:type="dxa"/>
            <w:tcBorders>
              <w:bottom w:val="double" w:sz="6" w:space="0" w:color="000000"/>
            </w:tcBorders>
            <w:shd w:fill="CCEEFF" w:val="clear"/>
            <w:tcMar>
              <w:bottom w:w="28" w:type="dxa"/>
            </w:tcMar>
            <w:vAlign w:val="center"/>
          </w:tcPr>
          <w:p>
            <w:pPr>
              <w:pStyle w:val="TableContents"/>
              <w:bidi w:val="0"/>
              <w:spacing w:before="0" w:after="283"/>
              <w:jc w:val="right"/>
              <w:rPr/>
            </w:pPr>
            <w:r>
              <w:rPr/>
              <w:t>1,019</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31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66" w:type="dxa"/>
            <w:tcBorders>
              <w:bottom w:val="double" w:sz="6" w:space="0" w:color="000000"/>
            </w:tcBorders>
            <w:shd w:fill="CCEEFF" w:val="clear"/>
            <w:tcMar>
              <w:bottom w:w="28" w:type="dxa"/>
            </w:tcMar>
            <w:vAlign w:val="center"/>
          </w:tcPr>
          <w:p>
            <w:pPr>
              <w:pStyle w:val="TableContents"/>
              <w:bidi w:val="0"/>
              <w:spacing w:before="0" w:after="283"/>
              <w:jc w:val="right"/>
              <w:rPr/>
            </w:pPr>
            <w:r>
              <w:rPr/>
              <w:t>770</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26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jc w:val="right"/>
              <w:rPr/>
            </w:pPr>
            <w:r>
              <w:rPr/>
              <w:t>3,403</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26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jc w:val="right"/>
              <w:rPr/>
            </w:pPr>
            <w:r>
              <w:rPr/>
              <w:t>2,435</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r>
        <w:rPr>
          <w:rFonts w:ascii="Times New Roman" w:hAnsi="Times New Roman"/>
          <w:b w:val="false"/>
          <w:i w:val="false"/>
          <w:caps w:val="false"/>
          <w:smallCaps w:val="false"/>
          <w:sz w:val="20"/>
        </w:rPr>
        <w:t>SCHEDULE OF SHARE-BASED COMPENSATION FOR OPTIONS AND RESTRICTED STOCK UNITS</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June 30, 2026, total estimated compensation cost of stock options granted and outstanding but not yet vested was $7,620 which is expected to be recognized over the weighted average period of 2.67 years.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June 30, 2026, total estimated compensation cost of RSUs granted and outstanding but not yet vested was $867, which is expected to be recognized over the weighted average period of 1.67 years.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12. DEFINED CONTRIBUTION PLAN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has a defined contribution savings plan for all eligible U.S. employees established under the provisions of Section 401(k) of the Internal Revenue Code. This plan was formed on January 1, 2022. Eligible employees may contribute a percentage of their salary subject to certain limitations. The Company’s matching contributions were $24 and $23 for the six months ended June 30, 2026 and 2025, respectively.</w:t>
      </w:r>
    </w:p>
    <w:p>
      <w:pPr>
        <w:pStyle w:val="TextBody"/>
        <w:bidi w:val="0"/>
        <w:spacing w:before="0" w:after="0"/>
        <w:jc w:val="both"/>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15</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13. COMMITMENTS AND CONTINGENCIES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u w:val="single"/>
        </w:rPr>
      </w:pPr>
      <w:r>
        <w:rPr>
          <w:rFonts w:ascii="Times New Roman" w:hAnsi="Times New Roman"/>
          <w:b w:val="false"/>
          <w:i w:val="false"/>
          <w:caps w:val="false"/>
          <w:smallCaps w:val="false"/>
          <w:sz w:val="20"/>
          <w:u w:val="single"/>
        </w:rPr>
        <w:t>Purchase Commitments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June 30, 2026, the Company was committed for approximately $536 for future component deliveries that are generally subject to modification or rescheduling in the normal course of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u w:val="single"/>
        </w:rPr>
      </w:pPr>
      <w:r>
        <w:rPr>
          <w:rFonts w:ascii="Times New Roman" w:hAnsi="Times New Roman"/>
          <w:b w:val="false"/>
          <w:i w:val="false"/>
          <w:caps w:val="false"/>
          <w:smallCaps w:val="false"/>
          <w:sz w:val="20"/>
          <w:u w:val="single"/>
        </w:rPr>
        <w:t>Indemnifications and Guarantees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officers and directors are indemnified as to personal liability as provided by Delaware law and the Company’s certificate of incorporation and bylaws. The Company may also undertake indemnification obligations in the ordinary course of business related to its operations. The Company is unable to estimate with any reasonable accuracy the liability that may be incurred pursuant to any such indemnification obligations now or in the future. Because of the uncertainty surrounding these circumstances, the Company’s current or future indemnification obligations could range from immaterial to having a material adverse impact on its financial position and its ability to continue in the ordinary course of business. The Company has no liabilities recorded for such indemnities.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u w:val="single"/>
        </w:rPr>
      </w:pPr>
      <w:r>
        <w:rPr>
          <w:rFonts w:ascii="Times New Roman" w:hAnsi="Times New Roman"/>
          <w:b w:val="false"/>
          <w:i w:val="false"/>
          <w:caps w:val="false"/>
          <w:smallCaps w:val="false"/>
          <w:sz w:val="20"/>
          <w:u w:val="single"/>
        </w:rPr>
        <w:t>Litigation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is subject to litigation and other claims in the ordinary course of business. The Company records a provision for a liability relating to legal matters when it is both probable that a liability has been incurred and the amount of the loss can be reasonably estimated. These provisions are reviewed and adjusted to include the impacts of negotiations, estimated settlements, legal rulings, advice of legal counsel, and other information and events pertaining to a particular matter. As of June 30, 2026, the Company had no provision for liability under existing litigation.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14. RELATED PARTY TRANSACTIONS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Series A Preferred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Scot Cohen, the Company's Executive Chairman and Chief Executive Officer, holds directly and through V4 Global LLC ("V4"), an entity he controls, shares of Series A Preferred Stock and related warrants. For the six months ended June 30, 2026, Mr. Cohen earned dividends totaling</w:t>
      </w:r>
      <w:r>
        <w:rPr>
          <w:rFonts w:ascii="Times New Roman" w:hAnsi="Times New Roman"/>
          <w:b w:val="false"/>
          <w:i w:val="false"/>
          <w:caps w:val="false"/>
          <w:smallCaps w:val="false"/>
          <w:sz w:val="20"/>
          <w:shd w:fill="FFFFFF" w:val="clear"/>
        </w:rPr>
        <w:t xml:space="preserve"> $151 o</w:t>
      </w:r>
      <w:r>
        <w:rPr>
          <w:rFonts w:ascii="Times New Roman" w:hAnsi="Times New Roman"/>
          <w:b w:val="false"/>
          <w:i w:val="false"/>
          <w:caps w:val="false"/>
          <w:smallCaps w:val="false"/>
          <w:sz w:val="20"/>
        </w:rPr>
        <w:t>n his Series A Preferred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Series B Preferred Stock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the private placement of Series B Preferred Stock completed August 18, 2025, V4 purchased 1,000 shares of Series B Preferred Stock and 666,667 Series B Warrants for gross proceeds of $1,000.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PIPE Warrants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the February 2025 private placement, V4 purchased 1,100,000 shares of Common Stock and 1,100,000 PIPE Warrants for gross proceeds of $1,980; Continuum Ventures, LLC (controlled by Jared Novick, President and Chief Operating Officer) purchased 275,000 shares of Common Stock and 275,000 PIPE Warrants for gross proceeds of $495; and Savbo Investments LLC (controlled by Marc Savas, a Board member) purchased 50,000 shares of Common Stock and 50,000 PIPE Warrants for gross proceeds of $90. In the February 2026 private placement, V4 purchased 475,000 shares of Common Stock and 475,000 February 2026 Common Warrants for gross proceeds of $950; Savbo Investments LLC purchased 25,000 shares of Common Stock and 25,000 February 2026 Common Warrants for gross proceeds of $50; and Juggernaut Management, LLC (controlled by John Shulman, a Board member) purchased 250,000 shares of Common Stock and 250,000 February 2026 Common Warrants for gross proceeds of $500.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Strategic Investment in Frenel Imaging Ltd.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described in Note 17, in July 2026 the Company made a strategic investment in Frenel Imaging Ltd. ("Frenel"). Scot Cohen, the Company's Executive Chairman and Chief Executive Officer, participated as an investor in the same Frenel financing, investing $100 and receiving 3,746 Series A Preferred Shares of Frenel on the same terms as the other investors in the financing. In addition, Mr. Cohen had previously invested $75 in a simple agreement for future equity of Frenel, which converted into 3,512 Series A Preferred Shares of Frenel in connection with the financing. Following these transactions, Mr. Cohen held an aggregate of 7,258 Series A Preferred Shares of Frenel</w:t>
      </w:r>
    </w:p>
    <w:p>
      <w:pPr>
        <w:pStyle w:val="TextBody"/>
        <w:bidi w:val="0"/>
        <w:spacing w:before="0" w:after="0"/>
        <w:jc w:val="both"/>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16</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License Agreement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is party to a royalty license with Syzygy, a company owned by Elwood G. Norris and James A. Barnes, a stockholder. Elwood G. Norris was a 5% or greater stockholder of the Company up and until July 9, 2026, upon which date he sold all of his shares of Common Stock and ceased being a stockholder of the Company.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 payments were made during the three and six months ended June 30,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 w:hAnsi="Times New Roman"/>
          <w:b/>
          <w:i w:val="false"/>
          <w:caps w:val="false"/>
          <w:smallCaps w:val="false"/>
          <w:spacing w:val="0"/>
          <w:sz w:val="20"/>
        </w:rPr>
      </w:pPr>
      <w:r>
        <w:rPr>
          <w:rFonts w:ascii="Times New Roman" w:hAnsi="Times New Roman"/>
          <w:b/>
          <w:i w:val="false"/>
          <w:caps w:val="false"/>
          <w:smallCaps w:val="false"/>
          <w:spacing w:val="0"/>
          <w:sz w:val="20"/>
        </w:rPr>
        <w:t>15. SEGMENT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operates as a single operating and reportable segment in accordance with ASC 280, Segment Reporting. The Company's Chief Operating Decision Maker ("CODM") is Scot Cohen, the Company's Executive Chairman and Chief Executive Officer. The CODM reviews financial information on a consolidated basis for purposes of evaluating financial performance and allocating resources, with the primary measure of segment performance being consolidated loss from operations. Resource allocation decisions are based on consolidated operating results, cash flows, liquidity, and overall strategic priorities rather than discrete financial information at a product line, geography, or functional level.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While the Company monitors certain operating metrics, including revenue by product line, such information is used for operational oversight and forecasting and is not used by the CODM to assess segment performance or allocate resources among components of the business. Accordingly, the Company has determined that it operates as one operating and one reportable segment.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presents the significant expense categories and amounts for the three and six months ended June 30, 2026 and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94"/>
        <w:gridCol w:w="235"/>
        <w:gridCol w:w="922"/>
        <w:gridCol w:w="256"/>
        <w:gridCol w:w="124"/>
        <w:gridCol w:w="235"/>
        <w:gridCol w:w="922"/>
        <w:gridCol w:w="256"/>
        <w:gridCol w:w="90"/>
        <w:gridCol w:w="211"/>
        <w:gridCol w:w="884"/>
        <w:gridCol w:w="230"/>
        <w:gridCol w:w="111"/>
        <w:gridCol w:w="211"/>
        <w:gridCol w:w="828"/>
        <w:gridCol w:w="296"/>
      </w:tblGrid>
      <w:tr>
        <w:trPr/>
        <w:tc>
          <w:tcPr>
            <w:tcW w:w="4394"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r>
      <w:tr>
        <w:trPr/>
        <w:tc>
          <w:tcPr>
            <w:tcW w:w="4394" w:type="dxa"/>
            <w:tcBorders/>
            <w:vAlign w:val="center"/>
          </w:tcPr>
          <w:p>
            <w:pPr>
              <w:pStyle w:val="TableContents"/>
              <w:bidi w:val="0"/>
              <w:spacing w:before="0" w:after="283"/>
              <w:jc w:val="left"/>
              <w:rPr/>
            </w:pPr>
            <w:r>
              <w:rPr/>
              <w:t> </w:t>
            </w:r>
          </w:p>
        </w:tc>
        <w:tc>
          <w:tcPr>
            <w:tcW w:w="2950" w:type="dxa"/>
            <w:gridSpan w:val="7"/>
            <w:tcBorders>
              <w:bottom w:val="single" w:sz="6" w:space="0" w:color="000000"/>
            </w:tcBorders>
            <w:tcMar>
              <w:bottom w:w="28" w:type="dxa"/>
            </w:tcMar>
            <w:vAlign w:val="center"/>
          </w:tcPr>
          <w:p>
            <w:pPr>
              <w:pStyle w:val="TableContents"/>
              <w:bidi w:val="0"/>
              <w:spacing w:before="0" w:after="283"/>
              <w:jc w:val="center"/>
              <w:rPr>
                <w:b/>
              </w:rPr>
            </w:pPr>
            <w:r>
              <w:rPr>
                <w:b/>
              </w:rPr>
              <w:t>Three Months Ended June 30,</w:t>
            </w:r>
          </w:p>
        </w:tc>
        <w:tc>
          <w:tcPr>
            <w:tcW w:w="90" w:type="dxa"/>
            <w:tcBorders/>
            <w:vAlign w:val="center"/>
          </w:tcPr>
          <w:p>
            <w:pPr>
              <w:pStyle w:val="TableContents"/>
              <w:bidi w:val="0"/>
              <w:spacing w:before="0" w:after="283"/>
              <w:jc w:val="left"/>
              <w:rPr/>
            </w:pPr>
            <w:r>
              <w:rPr/>
              <w:t> </w:t>
            </w:r>
          </w:p>
        </w:tc>
        <w:tc>
          <w:tcPr>
            <w:tcW w:w="2771" w:type="dxa"/>
            <w:gridSpan w:val="7"/>
            <w:tcBorders>
              <w:bottom w:val="single" w:sz="6" w:space="0" w:color="000000"/>
            </w:tcBorders>
            <w:tcMar>
              <w:bottom w:w="28" w:type="dxa"/>
            </w:tcMar>
            <w:vAlign w:val="center"/>
          </w:tcPr>
          <w:p>
            <w:pPr>
              <w:pStyle w:val="TableContents"/>
              <w:bidi w:val="0"/>
              <w:spacing w:before="0" w:after="283"/>
              <w:jc w:val="center"/>
              <w:rPr>
                <w:b/>
              </w:rPr>
            </w:pPr>
            <w:r>
              <w:rPr>
                <w:b/>
              </w:rPr>
              <w:t>Six Months Ended June 30,</w:t>
            </w:r>
          </w:p>
        </w:tc>
      </w:tr>
      <w:tr>
        <w:trPr/>
        <w:tc>
          <w:tcPr>
            <w:tcW w:w="4394" w:type="dxa"/>
            <w:tcBorders/>
            <w:vAlign w:val="center"/>
          </w:tcPr>
          <w:p>
            <w:pPr>
              <w:pStyle w:val="TableContents"/>
              <w:bidi w:val="0"/>
              <w:spacing w:before="0" w:after="283"/>
              <w:jc w:val="left"/>
              <w:rPr/>
            </w:pPr>
            <w:r>
              <w:rPr/>
              <w:t> </w:t>
            </w:r>
          </w:p>
        </w:tc>
        <w:tc>
          <w:tcPr>
            <w:tcW w:w="235" w:type="dxa"/>
            <w:tcBorders>
              <w:bottom w:val="single" w:sz="6" w:space="0" w:color="000000"/>
            </w:tcBorders>
            <w:tcMar>
              <w:bottom w:w="28" w:type="dxa"/>
            </w:tcMar>
            <w:vAlign w:val="center"/>
          </w:tcPr>
          <w:p>
            <w:pPr>
              <w:pStyle w:val="TableContents"/>
              <w:bidi w:val="0"/>
              <w:spacing w:before="0" w:after="283"/>
              <w:jc w:val="center"/>
              <w:rPr/>
            </w:pPr>
            <w:r>
              <w:rPr/>
              <w:t> </w:t>
            </w:r>
          </w:p>
        </w:tc>
        <w:tc>
          <w:tcPr>
            <w:tcW w:w="922"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256"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4" w:type="dxa"/>
            <w:tcBorders/>
            <w:vAlign w:val="center"/>
          </w:tcPr>
          <w:p>
            <w:pPr>
              <w:pStyle w:val="TableContents"/>
              <w:bidi w:val="0"/>
              <w:spacing w:before="0" w:after="283"/>
              <w:jc w:val="left"/>
              <w:rPr/>
            </w:pPr>
            <w:r>
              <w:rPr/>
              <w:t> </w:t>
            </w:r>
          </w:p>
        </w:tc>
        <w:tc>
          <w:tcPr>
            <w:tcW w:w="235" w:type="dxa"/>
            <w:tcBorders>
              <w:bottom w:val="single" w:sz="6" w:space="0" w:color="000000"/>
            </w:tcBorders>
            <w:tcMar>
              <w:bottom w:w="28" w:type="dxa"/>
            </w:tcMar>
            <w:vAlign w:val="center"/>
          </w:tcPr>
          <w:p>
            <w:pPr>
              <w:pStyle w:val="TableContents"/>
              <w:bidi w:val="0"/>
              <w:spacing w:before="0" w:after="283"/>
              <w:jc w:val="center"/>
              <w:rPr/>
            </w:pPr>
            <w:r>
              <w:rPr/>
              <w:t> </w:t>
            </w:r>
          </w:p>
        </w:tc>
        <w:tc>
          <w:tcPr>
            <w:tcW w:w="922"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256"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11" w:type="dxa"/>
            <w:tcBorders>
              <w:bottom w:val="single" w:sz="6" w:space="0" w:color="000000"/>
            </w:tcBorders>
            <w:tcMar>
              <w:bottom w:w="28" w:type="dxa"/>
            </w:tcMar>
            <w:vAlign w:val="center"/>
          </w:tcPr>
          <w:p>
            <w:pPr>
              <w:pStyle w:val="TableContents"/>
              <w:bidi w:val="0"/>
              <w:spacing w:before="0" w:after="283"/>
              <w:jc w:val="center"/>
              <w:rPr/>
            </w:pPr>
            <w:r>
              <w:rPr/>
              <w:t> </w:t>
            </w:r>
          </w:p>
        </w:tc>
        <w:tc>
          <w:tcPr>
            <w:tcW w:w="884"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23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1" w:type="dxa"/>
            <w:tcBorders/>
            <w:vAlign w:val="center"/>
          </w:tcPr>
          <w:p>
            <w:pPr>
              <w:pStyle w:val="TableContents"/>
              <w:bidi w:val="0"/>
              <w:spacing w:before="0" w:after="283"/>
              <w:jc w:val="left"/>
              <w:rPr/>
            </w:pPr>
            <w:r>
              <w:rPr/>
              <w:t> </w:t>
            </w:r>
          </w:p>
        </w:tc>
        <w:tc>
          <w:tcPr>
            <w:tcW w:w="211" w:type="dxa"/>
            <w:tcBorders>
              <w:bottom w:val="single" w:sz="6" w:space="0" w:color="000000"/>
            </w:tcBorders>
            <w:tcMar>
              <w:bottom w:w="28" w:type="dxa"/>
            </w:tcMar>
            <w:vAlign w:val="center"/>
          </w:tcPr>
          <w:p>
            <w:pPr>
              <w:pStyle w:val="TableContents"/>
              <w:bidi w:val="0"/>
              <w:spacing w:before="0" w:after="283"/>
              <w:jc w:val="center"/>
              <w:rPr/>
            </w:pPr>
            <w:r>
              <w:rPr/>
              <w:t> </w:t>
            </w:r>
          </w:p>
        </w:tc>
        <w:tc>
          <w:tcPr>
            <w:tcW w:w="828"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296"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4394"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r>
      <w:tr>
        <w:trPr/>
        <w:tc>
          <w:tcPr>
            <w:tcW w:w="4394" w:type="dxa"/>
            <w:tcBorders/>
            <w:shd w:fill="CCEEFF" w:val="clear"/>
            <w:vAlign w:val="center"/>
          </w:tcPr>
          <w:p>
            <w:pPr>
              <w:pStyle w:val="TableContents"/>
              <w:bidi w:val="0"/>
              <w:spacing w:before="0" w:after="283"/>
              <w:jc w:val="left"/>
              <w:rPr/>
            </w:pPr>
            <w:r>
              <w:rPr/>
              <w:t>Total revenues</w:t>
            </w:r>
          </w:p>
        </w:tc>
        <w:tc>
          <w:tcPr>
            <w:tcW w:w="235" w:type="dxa"/>
            <w:tcBorders/>
            <w:shd w:fill="CCEEFF" w:val="clear"/>
            <w:vAlign w:val="center"/>
          </w:tcPr>
          <w:p>
            <w:pPr>
              <w:pStyle w:val="TableContents"/>
              <w:bidi w:val="0"/>
              <w:spacing w:before="0" w:after="283"/>
              <w:jc w:val="left"/>
              <w:rPr/>
            </w:pPr>
            <w:r>
              <w:rPr/>
              <w:t>$</w:t>
            </w:r>
          </w:p>
        </w:tc>
        <w:tc>
          <w:tcPr>
            <w:tcW w:w="922" w:type="dxa"/>
            <w:tcBorders/>
            <w:shd w:fill="CCEEFF" w:val="clear"/>
            <w:vAlign w:val="center"/>
          </w:tcPr>
          <w:p>
            <w:pPr>
              <w:pStyle w:val="TableContents"/>
              <w:bidi w:val="0"/>
              <w:spacing w:before="0" w:after="283"/>
              <w:jc w:val="right"/>
              <w:rPr/>
            </w:pPr>
            <w:r>
              <w:rPr/>
              <w:t>2,052</w:t>
            </w:r>
          </w:p>
        </w:tc>
        <w:tc>
          <w:tcPr>
            <w:tcW w:w="256"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922" w:type="dxa"/>
            <w:tcBorders/>
            <w:shd w:fill="CCEEFF" w:val="clear"/>
            <w:vAlign w:val="center"/>
          </w:tcPr>
          <w:p>
            <w:pPr>
              <w:pStyle w:val="TableContents"/>
              <w:bidi w:val="0"/>
              <w:spacing w:before="0" w:after="283"/>
              <w:jc w:val="right"/>
              <w:rPr/>
            </w:pPr>
            <w:r>
              <w:rPr/>
              <w:t>1,012</w:t>
            </w:r>
          </w:p>
        </w:tc>
        <w:tc>
          <w:tcPr>
            <w:tcW w:w="25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884" w:type="dxa"/>
            <w:tcBorders/>
            <w:shd w:fill="CCEEFF" w:val="clear"/>
            <w:vAlign w:val="center"/>
          </w:tcPr>
          <w:p>
            <w:pPr>
              <w:pStyle w:val="TableContents"/>
              <w:bidi w:val="0"/>
              <w:spacing w:before="0" w:after="283"/>
              <w:jc w:val="right"/>
              <w:rPr/>
            </w:pPr>
            <w:r>
              <w:rPr/>
              <w:t>3,163</w:t>
            </w:r>
          </w:p>
        </w:tc>
        <w:tc>
          <w:tcPr>
            <w:tcW w:w="23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828" w:type="dxa"/>
            <w:tcBorders/>
            <w:shd w:fill="CCEEFF" w:val="clear"/>
            <w:vAlign w:val="center"/>
          </w:tcPr>
          <w:p>
            <w:pPr>
              <w:pStyle w:val="TableContents"/>
              <w:bidi w:val="0"/>
              <w:spacing w:before="0" w:after="283"/>
              <w:jc w:val="right"/>
              <w:rPr/>
            </w:pPr>
            <w:r>
              <w:rPr/>
              <w:t>1,778</w:t>
            </w:r>
          </w:p>
        </w:tc>
        <w:tc>
          <w:tcPr>
            <w:tcW w:w="296" w:type="dxa"/>
            <w:tcBorders/>
            <w:shd w:fill="CCEEFF" w:val="clear"/>
            <w:vAlign w:val="center"/>
          </w:tcPr>
          <w:p>
            <w:pPr>
              <w:pStyle w:val="TableContents"/>
              <w:bidi w:val="0"/>
              <w:spacing w:before="0" w:after="283"/>
              <w:jc w:val="left"/>
              <w:rPr/>
            </w:pPr>
            <w:r>
              <w:rPr/>
              <w:t> </w:t>
            </w:r>
          </w:p>
        </w:tc>
      </w:tr>
      <w:tr>
        <w:trPr/>
        <w:tc>
          <w:tcPr>
            <w:tcW w:w="4394" w:type="dxa"/>
            <w:tcBorders/>
            <w:vAlign w:val="center"/>
          </w:tcPr>
          <w:p>
            <w:pPr>
              <w:pStyle w:val="TableContents"/>
              <w:bidi w:val="0"/>
              <w:spacing w:before="0" w:after="283"/>
              <w:jc w:val="left"/>
              <w:rPr/>
            </w:pPr>
            <w:r>
              <w:rPr/>
              <w:t>Less: Significant segment expenses:</w:t>
            </w:r>
          </w:p>
        </w:tc>
        <w:tc>
          <w:tcPr>
            <w:tcW w:w="235"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r>
      <w:tr>
        <w:trPr/>
        <w:tc>
          <w:tcPr>
            <w:tcW w:w="4394" w:type="dxa"/>
            <w:tcBorders/>
            <w:shd w:fill="CCEEFF" w:val="clear"/>
            <w:vAlign w:val="center"/>
          </w:tcPr>
          <w:p>
            <w:pPr>
              <w:pStyle w:val="TableContents"/>
              <w:bidi w:val="0"/>
              <w:spacing w:before="0" w:after="283"/>
              <w:jc w:val="left"/>
              <w:rPr/>
            </w:pPr>
            <w:r>
              <w:rPr/>
              <w:t>Cost of revenues</w:t>
            </w:r>
          </w:p>
        </w:tc>
        <w:tc>
          <w:tcPr>
            <w:tcW w:w="235"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507</w:t>
            </w:r>
          </w:p>
        </w:tc>
        <w:tc>
          <w:tcPr>
            <w:tcW w:w="256"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525</w:t>
            </w:r>
          </w:p>
        </w:tc>
        <w:tc>
          <w:tcPr>
            <w:tcW w:w="25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927</w:t>
            </w:r>
          </w:p>
        </w:tc>
        <w:tc>
          <w:tcPr>
            <w:tcW w:w="23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695</w:t>
            </w:r>
          </w:p>
        </w:tc>
        <w:tc>
          <w:tcPr>
            <w:tcW w:w="296" w:type="dxa"/>
            <w:tcBorders/>
            <w:shd w:fill="CCEEFF" w:val="clear"/>
            <w:vAlign w:val="center"/>
          </w:tcPr>
          <w:p>
            <w:pPr>
              <w:pStyle w:val="TableContents"/>
              <w:bidi w:val="0"/>
              <w:spacing w:before="0" w:after="283"/>
              <w:jc w:val="left"/>
              <w:rPr/>
            </w:pPr>
            <w:r>
              <w:rPr/>
              <w:t> </w:t>
            </w:r>
          </w:p>
        </w:tc>
      </w:tr>
      <w:tr>
        <w:trPr/>
        <w:tc>
          <w:tcPr>
            <w:tcW w:w="4394" w:type="dxa"/>
            <w:tcBorders/>
            <w:vAlign w:val="center"/>
          </w:tcPr>
          <w:p>
            <w:pPr>
              <w:pStyle w:val="TableContents"/>
              <w:bidi w:val="0"/>
              <w:spacing w:before="0" w:after="283"/>
              <w:jc w:val="left"/>
              <w:rPr/>
            </w:pPr>
            <w:r>
              <w:rPr/>
              <w:t>Research and development</w:t>
            </w:r>
          </w:p>
        </w:tc>
        <w:tc>
          <w:tcPr>
            <w:tcW w:w="235"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152</w:t>
            </w:r>
          </w:p>
        </w:tc>
        <w:tc>
          <w:tcPr>
            <w:tcW w:w="256"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162</w:t>
            </w:r>
          </w:p>
        </w:tc>
        <w:tc>
          <w:tcPr>
            <w:tcW w:w="25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257</w:t>
            </w:r>
          </w:p>
        </w:tc>
        <w:tc>
          <w:tcPr>
            <w:tcW w:w="23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594</w:t>
            </w:r>
          </w:p>
        </w:tc>
        <w:tc>
          <w:tcPr>
            <w:tcW w:w="296" w:type="dxa"/>
            <w:tcBorders/>
            <w:vAlign w:val="center"/>
          </w:tcPr>
          <w:p>
            <w:pPr>
              <w:pStyle w:val="TableContents"/>
              <w:bidi w:val="0"/>
              <w:spacing w:before="0" w:after="283"/>
              <w:jc w:val="left"/>
              <w:rPr/>
            </w:pPr>
            <w:r>
              <w:rPr/>
              <w:t> </w:t>
            </w:r>
          </w:p>
        </w:tc>
      </w:tr>
      <w:tr>
        <w:trPr/>
        <w:tc>
          <w:tcPr>
            <w:tcW w:w="4394" w:type="dxa"/>
            <w:tcBorders/>
            <w:shd w:fill="CCEEFF" w:val="clear"/>
            <w:vAlign w:val="center"/>
          </w:tcPr>
          <w:p>
            <w:pPr>
              <w:pStyle w:val="TableContents"/>
              <w:bidi w:val="0"/>
              <w:spacing w:before="0" w:after="283"/>
              <w:jc w:val="left"/>
              <w:rPr/>
            </w:pPr>
            <w:r>
              <w:rPr/>
              <w:t>Salaries and burden</w:t>
            </w:r>
          </w:p>
        </w:tc>
        <w:tc>
          <w:tcPr>
            <w:tcW w:w="235"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861</w:t>
            </w:r>
          </w:p>
        </w:tc>
        <w:tc>
          <w:tcPr>
            <w:tcW w:w="256"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1,143</w:t>
            </w:r>
          </w:p>
        </w:tc>
        <w:tc>
          <w:tcPr>
            <w:tcW w:w="25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1,819</w:t>
            </w:r>
          </w:p>
        </w:tc>
        <w:tc>
          <w:tcPr>
            <w:tcW w:w="23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2,205</w:t>
            </w:r>
          </w:p>
        </w:tc>
        <w:tc>
          <w:tcPr>
            <w:tcW w:w="296" w:type="dxa"/>
            <w:tcBorders/>
            <w:shd w:fill="CCEEFF" w:val="clear"/>
            <w:vAlign w:val="center"/>
          </w:tcPr>
          <w:p>
            <w:pPr>
              <w:pStyle w:val="TableContents"/>
              <w:bidi w:val="0"/>
              <w:spacing w:before="0" w:after="283"/>
              <w:jc w:val="left"/>
              <w:rPr/>
            </w:pPr>
            <w:r>
              <w:rPr/>
              <w:t> </w:t>
            </w:r>
          </w:p>
        </w:tc>
      </w:tr>
      <w:tr>
        <w:trPr/>
        <w:tc>
          <w:tcPr>
            <w:tcW w:w="4394" w:type="dxa"/>
            <w:tcBorders/>
            <w:vAlign w:val="center"/>
          </w:tcPr>
          <w:p>
            <w:pPr>
              <w:pStyle w:val="TableContents"/>
              <w:bidi w:val="0"/>
              <w:spacing w:before="0" w:after="283"/>
              <w:jc w:val="left"/>
              <w:rPr/>
            </w:pPr>
            <w:r>
              <w:rPr/>
              <w:t>Share-based compensation</w:t>
            </w:r>
          </w:p>
        </w:tc>
        <w:tc>
          <w:tcPr>
            <w:tcW w:w="235"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1,019</w:t>
            </w:r>
          </w:p>
        </w:tc>
        <w:tc>
          <w:tcPr>
            <w:tcW w:w="256"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770</w:t>
            </w:r>
          </w:p>
        </w:tc>
        <w:tc>
          <w:tcPr>
            <w:tcW w:w="25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3,403</w:t>
            </w:r>
          </w:p>
        </w:tc>
        <w:tc>
          <w:tcPr>
            <w:tcW w:w="23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2,435</w:t>
            </w:r>
          </w:p>
        </w:tc>
        <w:tc>
          <w:tcPr>
            <w:tcW w:w="296" w:type="dxa"/>
            <w:tcBorders/>
            <w:vAlign w:val="center"/>
          </w:tcPr>
          <w:p>
            <w:pPr>
              <w:pStyle w:val="TableContents"/>
              <w:bidi w:val="0"/>
              <w:spacing w:before="0" w:after="283"/>
              <w:jc w:val="left"/>
              <w:rPr/>
            </w:pPr>
            <w:r>
              <w:rPr/>
              <w:t> </w:t>
            </w:r>
          </w:p>
        </w:tc>
      </w:tr>
      <w:tr>
        <w:trPr/>
        <w:tc>
          <w:tcPr>
            <w:tcW w:w="4394" w:type="dxa"/>
            <w:tcBorders/>
            <w:shd w:fill="CCEEFF" w:val="clear"/>
            <w:vAlign w:val="center"/>
          </w:tcPr>
          <w:p>
            <w:pPr>
              <w:pStyle w:val="TableContents"/>
              <w:bidi w:val="0"/>
              <w:spacing w:before="0" w:after="283"/>
              <w:jc w:val="left"/>
              <w:rPr/>
            </w:pPr>
            <w:r>
              <w:rPr/>
              <w:t>Consulting and professional fees</w:t>
            </w:r>
          </w:p>
        </w:tc>
        <w:tc>
          <w:tcPr>
            <w:tcW w:w="235"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863</w:t>
            </w:r>
          </w:p>
        </w:tc>
        <w:tc>
          <w:tcPr>
            <w:tcW w:w="256"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519</w:t>
            </w:r>
          </w:p>
        </w:tc>
        <w:tc>
          <w:tcPr>
            <w:tcW w:w="25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1,987</w:t>
            </w:r>
          </w:p>
        </w:tc>
        <w:tc>
          <w:tcPr>
            <w:tcW w:w="23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1,262</w:t>
            </w:r>
          </w:p>
        </w:tc>
        <w:tc>
          <w:tcPr>
            <w:tcW w:w="296" w:type="dxa"/>
            <w:tcBorders/>
            <w:shd w:fill="CCEEFF" w:val="clear"/>
            <w:vAlign w:val="center"/>
          </w:tcPr>
          <w:p>
            <w:pPr>
              <w:pStyle w:val="TableContents"/>
              <w:bidi w:val="0"/>
              <w:spacing w:before="0" w:after="283"/>
              <w:jc w:val="left"/>
              <w:rPr/>
            </w:pPr>
            <w:r>
              <w:rPr/>
              <w:t> </w:t>
            </w:r>
          </w:p>
        </w:tc>
      </w:tr>
      <w:tr>
        <w:trPr/>
        <w:tc>
          <w:tcPr>
            <w:tcW w:w="4394" w:type="dxa"/>
            <w:tcBorders/>
            <w:vAlign w:val="center"/>
          </w:tcPr>
          <w:p>
            <w:pPr>
              <w:pStyle w:val="TableContents"/>
              <w:bidi w:val="0"/>
              <w:spacing w:before="0" w:after="283"/>
              <w:jc w:val="left"/>
              <w:rPr/>
            </w:pPr>
            <w:r>
              <w:rPr/>
              <w:t>Depreciation and amortization</w:t>
            </w:r>
          </w:p>
        </w:tc>
        <w:tc>
          <w:tcPr>
            <w:tcW w:w="235"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55</w:t>
            </w:r>
          </w:p>
        </w:tc>
        <w:tc>
          <w:tcPr>
            <w:tcW w:w="256"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149</w:t>
            </w:r>
          </w:p>
        </w:tc>
        <w:tc>
          <w:tcPr>
            <w:tcW w:w="25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111</w:t>
            </w:r>
          </w:p>
        </w:tc>
        <w:tc>
          <w:tcPr>
            <w:tcW w:w="23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304</w:t>
            </w:r>
          </w:p>
        </w:tc>
        <w:tc>
          <w:tcPr>
            <w:tcW w:w="296" w:type="dxa"/>
            <w:tcBorders/>
            <w:vAlign w:val="center"/>
          </w:tcPr>
          <w:p>
            <w:pPr>
              <w:pStyle w:val="TableContents"/>
              <w:bidi w:val="0"/>
              <w:spacing w:before="0" w:after="283"/>
              <w:jc w:val="left"/>
              <w:rPr/>
            </w:pPr>
            <w:r>
              <w:rPr/>
              <w:t> </w:t>
            </w:r>
          </w:p>
        </w:tc>
      </w:tr>
      <w:tr>
        <w:trPr/>
        <w:tc>
          <w:tcPr>
            <w:tcW w:w="4394" w:type="dxa"/>
            <w:tcBorders/>
            <w:shd w:fill="CCEEFF" w:val="clear"/>
            <w:vAlign w:val="center"/>
          </w:tcPr>
          <w:p>
            <w:pPr>
              <w:pStyle w:val="TableContents"/>
              <w:bidi w:val="0"/>
              <w:spacing w:before="0" w:after="283"/>
              <w:jc w:val="left"/>
              <w:rPr/>
            </w:pPr>
            <w:r>
              <w:rPr/>
              <w:t>Other selling, general and administrative expenses (1)</w:t>
            </w:r>
          </w:p>
        </w:tc>
        <w:tc>
          <w:tcPr>
            <w:tcW w:w="23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22" w:type="dxa"/>
            <w:tcBorders>
              <w:bottom w:val="single" w:sz="6" w:space="0" w:color="000000"/>
            </w:tcBorders>
            <w:shd w:fill="CCEEFF" w:val="clear"/>
            <w:tcMar>
              <w:bottom w:w="28" w:type="dxa"/>
            </w:tcMar>
            <w:vAlign w:val="center"/>
          </w:tcPr>
          <w:p>
            <w:pPr>
              <w:pStyle w:val="TableContents"/>
              <w:bidi w:val="0"/>
              <w:spacing w:before="0" w:after="283"/>
              <w:jc w:val="right"/>
              <w:rPr/>
            </w:pPr>
            <w:r>
              <w:rPr/>
              <w:t>846</w:t>
            </w:r>
          </w:p>
        </w:tc>
        <w:tc>
          <w:tcPr>
            <w:tcW w:w="256"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3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22" w:type="dxa"/>
            <w:tcBorders>
              <w:bottom w:val="single" w:sz="6" w:space="0" w:color="000000"/>
            </w:tcBorders>
            <w:shd w:fill="CCEEFF" w:val="clear"/>
            <w:tcMar>
              <w:bottom w:w="28" w:type="dxa"/>
            </w:tcMar>
            <w:vAlign w:val="center"/>
          </w:tcPr>
          <w:p>
            <w:pPr>
              <w:pStyle w:val="TableContents"/>
              <w:bidi w:val="0"/>
              <w:spacing w:before="0" w:after="283"/>
              <w:jc w:val="right"/>
              <w:rPr/>
            </w:pPr>
            <w:r>
              <w:rPr/>
              <w:t>600</w:t>
            </w:r>
          </w:p>
        </w:tc>
        <w:tc>
          <w:tcPr>
            <w:tcW w:w="256"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single" w:sz="6" w:space="0" w:color="000000"/>
            </w:tcBorders>
            <w:shd w:fill="CCEEFF" w:val="clear"/>
            <w:tcMar>
              <w:bottom w:w="28" w:type="dxa"/>
            </w:tcMar>
            <w:vAlign w:val="center"/>
          </w:tcPr>
          <w:p>
            <w:pPr>
              <w:pStyle w:val="TableContents"/>
              <w:bidi w:val="0"/>
              <w:spacing w:before="0" w:after="283"/>
              <w:jc w:val="right"/>
              <w:rPr/>
            </w:pPr>
            <w:r>
              <w:rPr/>
              <w:t>1,679</w:t>
            </w:r>
          </w:p>
        </w:tc>
        <w:tc>
          <w:tcPr>
            <w:tcW w:w="23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11"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28" w:type="dxa"/>
            <w:tcBorders>
              <w:bottom w:val="single" w:sz="6" w:space="0" w:color="000000"/>
            </w:tcBorders>
            <w:shd w:fill="CCEEFF" w:val="clear"/>
            <w:tcMar>
              <w:bottom w:w="28" w:type="dxa"/>
            </w:tcMar>
            <w:vAlign w:val="center"/>
          </w:tcPr>
          <w:p>
            <w:pPr>
              <w:pStyle w:val="TableContents"/>
              <w:bidi w:val="0"/>
              <w:spacing w:before="0" w:after="283"/>
              <w:jc w:val="right"/>
              <w:rPr/>
            </w:pPr>
            <w:r>
              <w:rPr/>
              <w:t>1,060</w:t>
            </w:r>
          </w:p>
        </w:tc>
        <w:tc>
          <w:tcPr>
            <w:tcW w:w="296"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4394" w:type="dxa"/>
            <w:tcBorders/>
            <w:vAlign w:val="center"/>
          </w:tcPr>
          <w:p>
            <w:pPr>
              <w:pStyle w:val="TableContents"/>
              <w:bidi w:val="0"/>
              <w:spacing w:before="0" w:after="283"/>
              <w:jc w:val="left"/>
              <w:rPr/>
            </w:pPr>
            <w:r>
              <w:rPr/>
              <w:t>Total significant segment expenses</w:t>
            </w:r>
          </w:p>
        </w:tc>
        <w:tc>
          <w:tcPr>
            <w:tcW w:w="235"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4,303</w:t>
            </w:r>
          </w:p>
        </w:tc>
        <w:tc>
          <w:tcPr>
            <w:tcW w:w="256"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3,868</w:t>
            </w:r>
          </w:p>
        </w:tc>
        <w:tc>
          <w:tcPr>
            <w:tcW w:w="25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10,183</w:t>
            </w:r>
          </w:p>
        </w:tc>
        <w:tc>
          <w:tcPr>
            <w:tcW w:w="23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8,555</w:t>
            </w:r>
          </w:p>
        </w:tc>
        <w:tc>
          <w:tcPr>
            <w:tcW w:w="296" w:type="dxa"/>
            <w:tcBorders/>
            <w:vAlign w:val="center"/>
          </w:tcPr>
          <w:p>
            <w:pPr>
              <w:pStyle w:val="TableContents"/>
              <w:bidi w:val="0"/>
              <w:spacing w:before="0" w:after="283"/>
              <w:jc w:val="left"/>
              <w:rPr/>
            </w:pPr>
            <w:r>
              <w:rPr/>
              <w:t> </w:t>
            </w:r>
          </w:p>
        </w:tc>
      </w:tr>
      <w:tr>
        <w:trPr/>
        <w:tc>
          <w:tcPr>
            <w:tcW w:w="4394" w:type="dxa"/>
            <w:tcBorders/>
            <w:shd w:fill="CCEEFF" w:val="clear"/>
            <w:vAlign w:val="center"/>
          </w:tcPr>
          <w:p>
            <w:pPr>
              <w:pStyle w:val="TableContents"/>
              <w:bidi w:val="0"/>
              <w:spacing w:before="0" w:after="283"/>
              <w:jc w:val="left"/>
              <w:rPr/>
            </w:pPr>
            <w:r>
              <w:rPr/>
              <w:t>Other segment items (2)</w:t>
            </w:r>
          </w:p>
        </w:tc>
        <w:tc>
          <w:tcPr>
            <w:tcW w:w="23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22" w:type="dxa"/>
            <w:tcBorders>
              <w:bottom w:val="single" w:sz="6" w:space="0" w:color="000000"/>
            </w:tcBorders>
            <w:shd w:fill="CCEEFF" w:val="clear"/>
            <w:tcMar>
              <w:bottom w:w="28" w:type="dxa"/>
            </w:tcMar>
            <w:vAlign w:val="center"/>
          </w:tcPr>
          <w:p>
            <w:pPr>
              <w:pStyle w:val="TableContents"/>
              <w:bidi w:val="0"/>
              <w:spacing w:before="0" w:after="283"/>
              <w:jc w:val="right"/>
              <w:rPr/>
            </w:pPr>
            <w:r>
              <w:rPr/>
              <w:t xml:space="preserve">- </w:t>
            </w:r>
          </w:p>
        </w:tc>
        <w:tc>
          <w:tcPr>
            <w:tcW w:w="256"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3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22" w:type="dxa"/>
            <w:tcBorders>
              <w:bottom w:val="single" w:sz="6" w:space="0" w:color="000000"/>
            </w:tcBorders>
            <w:shd w:fill="CCEEFF" w:val="clear"/>
            <w:tcMar>
              <w:bottom w:w="28" w:type="dxa"/>
            </w:tcMar>
            <w:vAlign w:val="center"/>
          </w:tcPr>
          <w:p>
            <w:pPr>
              <w:pStyle w:val="TableContents"/>
              <w:bidi w:val="0"/>
              <w:spacing w:before="0" w:after="283"/>
              <w:jc w:val="right"/>
              <w:rPr/>
            </w:pPr>
            <w:r>
              <w:rPr/>
              <w:t xml:space="preserve">- </w:t>
            </w:r>
          </w:p>
        </w:tc>
        <w:tc>
          <w:tcPr>
            <w:tcW w:w="256"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single" w:sz="6" w:space="0" w:color="000000"/>
            </w:tcBorders>
            <w:shd w:fill="CCEEFF" w:val="clear"/>
            <w:tcMar>
              <w:bottom w:w="28" w:type="dxa"/>
            </w:tcMar>
            <w:vAlign w:val="center"/>
          </w:tcPr>
          <w:p>
            <w:pPr>
              <w:pStyle w:val="TableContents"/>
              <w:bidi w:val="0"/>
              <w:spacing w:before="0" w:after="283"/>
              <w:jc w:val="right"/>
              <w:rPr/>
            </w:pPr>
            <w:r>
              <w:rPr/>
              <w:t xml:space="preserve">- </w:t>
            </w:r>
          </w:p>
        </w:tc>
        <w:tc>
          <w:tcPr>
            <w:tcW w:w="23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11"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28" w:type="dxa"/>
            <w:tcBorders>
              <w:bottom w:val="single" w:sz="6" w:space="0" w:color="000000"/>
            </w:tcBorders>
            <w:shd w:fill="CCEEFF" w:val="clear"/>
            <w:tcMar>
              <w:bottom w:w="28" w:type="dxa"/>
            </w:tcMar>
            <w:vAlign w:val="center"/>
          </w:tcPr>
          <w:p>
            <w:pPr>
              <w:pStyle w:val="TableContents"/>
              <w:bidi w:val="0"/>
              <w:spacing w:before="0" w:after="283"/>
              <w:jc w:val="right"/>
              <w:rPr/>
            </w:pPr>
            <w:r>
              <w:rPr/>
              <w:t xml:space="preserve">- </w:t>
            </w:r>
          </w:p>
        </w:tc>
        <w:tc>
          <w:tcPr>
            <w:tcW w:w="296"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4394" w:type="dxa"/>
            <w:tcBorders/>
            <w:vAlign w:val="center"/>
          </w:tcPr>
          <w:p>
            <w:pPr>
              <w:pStyle w:val="TableContents"/>
              <w:bidi w:val="0"/>
              <w:spacing w:before="0" w:after="283"/>
              <w:jc w:val="left"/>
              <w:rPr/>
            </w:pPr>
            <w:r>
              <w:rPr/>
              <w:t>Segment loss from operations</w:t>
            </w:r>
          </w:p>
        </w:tc>
        <w:tc>
          <w:tcPr>
            <w:tcW w:w="235" w:type="dxa"/>
            <w:tcBorders>
              <w:bottom w:val="double" w:sz="6" w:space="0" w:color="000000"/>
            </w:tcBorders>
            <w:tcMar>
              <w:bottom w:w="28" w:type="dxa"/>
            </w:tcMar>
            <w:vAlign w:val="center"/>
          </w:tcPr>
          <w:p>
            <w:pPr>
              <w:pStyle w:val="TableContents"/>
              <w:bidi w:val="0"/>
              <w:spacing w:before="0" w:after="283"/>
              <w:jc w:val="left"/>
              <w:rPr/>
            </w:pPr>
            <w:r>
              <w:rPr/>
              <w:t>$</w:t>
            </w:r>
          </w:p>
        </w:tc>
        <w:tc>
          <w:tcPr>
            <w:tcW w:w="922" w:type="dxa"/>
            <w:tcBorders>
              <w:bottom w:val="double" w:sz="6" w:space="0" w:color="000000"/>
            </w:tcBorders>
            <w:tcMar>
              <w:bottom w:w="28" w:type="dxa"/>
            </w:tcMar>
            <w:vAlign w:val="center"/>
          </w:tcPr>
          <w:p>
            <w:pPr>
              <w:pStyle w:val="TableContents"/>
              <w:bidi w:val="0"/>
              <w:spacing w:before="0" w:after="283"/>
              <w:jc w:val="right"/>
              <w:rPr/>
            </w:pPr>
            <w:r>
              <w:rPr/>
              <w:t>(2,251</w:t>
            </w:r>
          </w:p>
        </w:tc>
        <w:tc>
          <w:tcPr>
            <w:tcW w:w="256" w:type="dxa"/>
            <w:tcBorders>
              <w:bottom w:val="double" w:sz="6" w:space="0" w:color="000000"/>
            </w:tcBorders>
            <w:tcMar>
              <w:bottom w:w="28" w:type="dxa"/>
            </w:tcMar>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35" w:type="dxa"/>
            <w:tcBorders>
              <w:bottom w:val="double" w:sz="6" w:space="0" w:color="000000"/>
            </w:tcBorders>
            <w:tcMar>
              <w:bottom w:w="28" w:type="dxa"/>
            </w:tcMar>
            <w:vAlign w:val="center"/>
          </w:tcPr>
          <w:p>
            <w:pPr>
              <w:pStyle w:val="TableContents"/>
              <w:bidi w:val="0"/>
              <w:spacing w:before="0" w:after="283"/>
              <w:jc w:val="left"/>
              <w:rPr/>
            </w:pPr>
            <w:r>
              <w:rPr/>
              <w:t>$</w:t>
            </w:r>
          </w:p>
        </w:tc>
        <w:tc>
          <w:tcPr>
            <w:tcW w:w="922" w:type="dxa"/>
            <w:tcBorders>
              <w:bottom w:val="double" w:sz="6" w:space="0" w:color="000000"/>
            </w:tcBorders>
            <w:tcMar>
              <w:bottom w:w="28" w:type="dxa"/>
            </w:tcMar>
            <w:vAlign w:val="center"/>
          </w:tcPr>
          <w:p>
            <w:pPr>
              <w:pStyle w:val="TableContents"/>
              <w:bidi w:val="0"/>
              <w:spacing w:before="0" w:after="283"/>
              <w:jc w:val="right"/>
              <w:rPr/>
            </w:pPr>
            <w:r>
              <w:rPr/>
              <w:t>(2,856</w:t>
            </w:r>
          </w:p>
        </w:tc>
        <w:tc>
          <w:tcPr>
            <w:tcW w:w="256"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bottom w:val="double" w:sz="6" w:space="0" w:color="000000"/>
            </w:tcBorders>
            <w:tcMar>
              <w:bottom w:w="28" w:type="dxa"/>
            </w:tcMar>
            <w:vAlign w:val="center"/>
          </w:tcPr>
          <w:p>
            <w:pPr>
              <w:pStyle w:val="TableContents"/>
              <w:bidi w:val="0"/>
              <w:spacing w:before="0" w:after="283"/>
              <w:jc w:val="left"/>
              <w:rPr/>
            </w:pPr>
            <w:r>
              <w:rPr/>
              <w:t>$</w:t>
            </w:r>
          </w:p>
        </w:tc>
        <w:tc>
          <w:tcPr>
            <w:tcW w:w="884" w:type="dxa"/>
            <w:tcBorders>
              <w:bottom w:val="double" w:sz="6" w:space="0" w:color="000000"/>
            </w:tcBorders>
            <w:tcMar>
              <w:bottom w:w="28" w:type="dxa"/>
            </w:tcMar>
            <w:vAlign w:val="center"/>
          </w:tcPr>
          <w:p>
            <w:pPr>
              <w:pStyle w:val="TableContents"/>
              <w:bidi w:val="0"/>
              <w:spacing w:before="0" w:after="283"/>
              <w:jc w:val="right"/>
              <w:rPr/>
            </w:pPr>
            <w:r>
              <w:rPr/>
              <w:t>(7,020</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11" w:type="dxa"/>
            <w:tcBorders>
              <w:bottom w:val="double" w:sz="6" w:space="0" w:color="000000"/>
            </w:tcBorders>
            <w:tcMar>
              <w:bottom w:w="28" w:type="dxa"/>
            </w:tcMar>
            <w:vAlign w:val="center"/>
          </w:tcPr>
          <w:p>
            <w:pPr>
              <w:pStyle w:val="TableContents"/>
              <w:bidi w:val="0"/>
              <w:spacing w:before="0" w:after="283"/>
              <w:jc w:val="left"/>
              <w:rPr/>
            </w:pPr>
            <w:r>
              <w:rPr/>
              <w:t>$</w:t>
            </w:r>
          </w:p>
        </w:tc>
        <w:tc>
          <w:tcPr>
            <w:tcW w:w="828" w:type="dxa"/>
            <w:tcBorders>
              <w:bottom w:val="double" w:sz="6" w:space="0" w:color="000000"/>
            </w:tcBorders>
            <w:tcMar>
              <w:bottom w:w="28" w:type="dxa"/>
            </w:tcMar>
            <w:vAlign w:val="center"/>
          </w:tcPr>
          <w:p>
            <w:pPr>
              <w:pStyle w:val="TableContents"/>
              <w:bidi w:val="0"/>
              <w:spacing w:before="0" w:after="283"/>
              <w:jc w:val="right"/>
              <w:rPr/>
            </w:pPr>
            <w:r>
              <w:rPr/>
              <w:t>(6,777</w:t>
            </w:r>
          </w:p>
        </w:tc>
        <w:tc>
          <w:tcPr>
            <w:tcW w:w="296"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(1) Other selling, general and administrative expenses represents the aggregate of CODM-reviewed expense categories not considered individually significant, consisting of travel and entertainment, advertising and promotion, training, occupancy and office, public company costs, and other general and administrative costs.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(2) Other segment items consist of items not regularly reviewed by the Company's chief operating decision maker as part of the significant expense categories above and not individually significant. No such items were identified for the periods presented; other segment items reconcile to zero.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measure of segment profit or loss reviewed by the CODM is consolidated loss from operations, which is the same measure presented in the Company's condensed consolidated statements of operations. The CODM does not review segment assets, as such information is not used in allocating resources or assessing performance. Refer to Note 16, Major Customers and Related Information, for entity-wide disclosures regarding revenue by geography and customer concentration.</w:t>
      </w:r>
    </w:p>
    <w:p>
      <w:pPr>
        <w:pStyle w:val="TextBody"/>
        <w:bidi w:val="0"/>
        <w:spacing w:before="0" w:after="0"/>
        <w:jc w:val="both"/>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17</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rFonts w:ascii="Times New Roman" w:hAnsi="Times New Roman"/>
          <w:b/>
          <w:i w:val="false"/>
          <w:caps w:val="false"/>
          <w:smallCaps w:val="false"/>
          <w:sz w:val="20"/>
        </w:rPr>
      </w:pPr>
      <w:r>
        <w:rPr>
          <w:rFonts w:ascii="Times New Roman" w:hAnsi="Times New Roman"/>
          <w:b/>
          <w:i w:val="false"/>
          <w:caps w:val="false"/>
          <w:smallCaps w:val="false"/>
          <w:sz w:val="20"/>
        </w:rPr>
        <w:t>16. MAJOR CUSTOMERS AND RELATED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For the three months ended June 30, 2026, revenue from one distributor accounted for approximately 74% of revenue with no other single customer accounting for more than 10% of total revenue. For the three months ended June 30, 2025, revenue from three customers accounted for approximately 32%, 23% and 10% of revenue, respectively, with no other single customer accounting for more than 10% of total revenue.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the six months ended June 30, 2026, revenue from one distributor accounted for approximately 62% of revenue, with no other single customer accounting for more than 10% of total revenue. For the six months ended June 30, 2025, revenue from one customer accounted for approximately 16% of revenue, with no other single customer accounting for more than 10% of total revenue.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At June 30, 2026, accounts receivable from one distributor accounted for 76% of net accounts receivable with no other single customer accounting for more than 10% of the accounts receivable balance. At December 31, 2025, accounts receivable from two distributors accounted for 71% and 10%, respectively of net accounts receivable and contract assets, with no other single customer accounting for more than 10% of the accounts receivable and contract assets balance.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summarizes revenue by geographic region. Revenue is attributed to countries based on customer’s delivery location:</w:t>
      </w:r>
    </w:p>
    <w:p>
      <w:pPr>
        <w:pStyle w:val="TextBody"/>
        <w:bidi w:val="0"/>
        <w:spacing w:before="0" w:after="0"/>
        <w:jc w:val="both"/>
        <w:rPr>
          <w:caps w:val="false"/>
          <w:smallCaps w:val="false"/>
        </w:rPr>
      </w:pPr>
      <w:r>
        <w:rPr>
          <w:caps w:val="false"/>
          <w:smallCaps w:val="false"/>
        </w:rPr>
        <w:t> </w:t>
      </w:r>
    </w:p>
    <w:tbl>
      <w:tblPr>
        <w:tblW w:w="9270" w:type="dxa"/>
        <w:jc w:val="left"/>
        <w:tblInd w:w="0" w:type="dxa"/>
        <w:tblLayout w:type="fixed"/>
        <w:tblCellMar>
          <w:top w:w="0" w:type="dxa"/>
          <w:left w:w="0" w:type="dxa"/>
          <w:bottom w:w="0" w:type="dxa"/>
          <w:right w:w="0" w:type="dxa"/>
        </w:tblCellMar>
      </w:tblPr>
      <w:tblGrid>
        <w:gridCol w:w="3080"/>
        <w:gridCol w:w="90"/>
        <w:gridCol w:w="299"/>
        <w:gridCol w:w="1039"/>
        <w:gridCol w:w="158"/>
        <w:gridCol w:w="158"/>
        <w:gridCol w:w="299"/>
        <w:gridCol w:w="1039"/>
        <w:gridCol w:w="158"/>
        <w:gridCol w:w="53"/>
        <w:gridCol w:w="274"/>
        <w:gridCol w:w="951"/>
        <w:gridCol w:w="145"/>
        <w:gridCol w:w="85"/>
        <w:gridCol w:w="274"/>
        <w:gridCol w:w="951"/>
        <w:gridCol w:w="217"/>
      </w:tblGrid>
      <w:tr>
        <w:trPr/>
        <w:tc>
          <w:tcPr>
            <w:tcW w:w="308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308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50" w:type="dxa"/>
            <w:gridSpan w:val="7"/>
            <w:tcBorders>
              <w:bottom w:val="single" w:sz="6" w:space="0" w:color="000000"/>
            </w:tcBorders>
            <w:tcMar>
              <w:bottom w:w="28" w:type="dxa"/>
            </w:tcMar>
            <w:vAlign w:val="center"/>
          </w:tcPr>
          <w:p>
            <w:pPr>
              <w:pStyle w:val="TableContents"/>
              <w:bidi w:val="0"/>
              <w:spacing w:before="0" w:after="283"/>
              <w:jc w:val="center"/>
              <w:rPr>
                <w:b/>
              </w:rPr>
            </w:pPr>
            <w:r>
              <w:rPr>
                <w:b/>
              </w:rPr>
              <w:t>Three Months Ended June 30,</w:t>
            </w:r>
          </w:p>
        </w:tc>
        <w:tc>
          <w:tcPr>
            <w:tcW w:w="53" w:type="dxa"/>
            <w:tcBorders/>
            <w:vAlign w:val="center"/>
          </w:tcPr>
          <w:p>
            <w:pPr>
              <w:pStyle w:val="TableContents"/>
              <w:bidi w:val="0"/>
              <w:spacing w:before="0" w:after="283"/>
              <w:jc w:val="left"/>
              <w:rPr>
                <w:sz w:val="4"/>
                <w:szCs w:val="4"/>
              </w:rPr>
            </w:pPr>
            <w:r>
              <w:rPr>
                <w:sz w:val="4"/>
                <w:szCs w:val="4"/>
              </w:rPr>
            </w:r>
          </w:p>
        </w:tc>
        <w:tc>
          <w:tcPr>
            <w:tcW w:w="2897" w:type="dxa"/>
            <w:gridSpan w:val="7"/>
            <w:tcBorders>
              <w:bottom w:val="single" w:sz="6" w:space="0" w:color="000000"/>
            </w:tcBorders>
            <w:tcMar>
              <w:bottom w:w="28" w:type="dxa"/>
            </w:tcMar>
            <w:vAlign w:val="center"/>
          </w:tcPr>
          <w:p>
            <w:pPr>
              <w:pStyle w:val="TableContents"/>
              <w:bidi w:val="0"/>
              <w:spacing w:before="0" w:after="283"/>
              <w:jc w:val="center"/>
              <w:rPr>
                <w:b/>
              </w:rPr>
            </w:pPr>
            <w:r>
              <w:rPr>
                <w:b/>
              </w:rPr>
              <w:t>Six Months Ended June 30,</w:t>
            </w:r>
          </w:p>
        </w:tc>
      </w:tr>
      <w:tr>
        <w:trPr/>
        <w:tc>
          <w:tcPr>
            <w:tcW w:w="30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9"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15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99" w:type="dxa"/>
            <w:tcBorders>
              <w:bottom w:val="single" w:sz="6" w:space="0" w:color="000000"/>
            </w:tcBorders>
            <w:tcMar>
              <w:bottom w:w="28" w:type="dxa"/>
            </w:tcMar>
            <w:vAlign w:val="center"/>
          </w:tcPr>
          <w:p>
            <w:pPr>
              <w:pStyle w:val="TableContents"/>
              <w:bidi w:val="0"/>
              <w:spacing w:before="0" w:after="283"/>
              <w:jc w:val="center"/>
              <w:rPr/>
            </w:pPr>
            <w:r>
              <w:rPr/>
              <w:t> </w:t>
            </w:r>
          </w:p>
        </w:tc>
        <w:tc>
          <w:tcPr>
            <w:tcW w:w="1039"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158" w:type="dxa"/>
            <w:tcBorders>
              <w:bottom w:val="single" w:sz="6" w:space="0" w:color="000000"/>
            </w:tcBorders>
            <w:tcMar>
              <w:bottom w:w="28" w:type="dxa"/>
            </w:tcMar>
            <w:vAlign w:val="center"/>
          </w:tcPr>
          <w:p>
            <w:pPr>
              <w:pStyle w:val="TableContents"/>
              <w:bidi w:val="0"/>
              <w:spacing w:before="0" w:after="283"/>
              <w:jc w:val="center"/>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274" w:type="dxa"/>
            <w:tcBorders>
              <w:bottom w:val="single" w:sz="6" w:space="0" w:color="000000"/>
            </w:tcBorders>
            <w:tcMar>
              <w:bottom w:w="28" w:type="dxa"/>
            </w:tcMar>
            <w:vAlign w:val="center"/>
          </w:tcPr>
          <w:p>
            <w:pPr>
              <w:pStyle w:val="TableContents"/>
              <w:bidi w:val="0"/>
              <w:spacing w:before="0" w:after="283"/>
              <w:jc w:val="center"/>
              <w:rPr/>
            </w:pPr>
            <w:r>
              <w:rPr/>
              <w:t> </w:t>
            </w:r>
          </w:p>
        </w:tc>
        <w:tc>
          <w:tcPr>
            <w:tcW w:w="951"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145" w:type="dxa"/>
            <w:tcBorders>
              <w:bottom w:val="single" w:sz="6" w:space="0" w:color="000000"/>
            </w:tcBorders>
            <w:tcMar>
              <w:bottom w:w="28" w:type="dxa"/>
            </w:tcMar>
            <w:vAlign w:val="center"/>
          </w:tcPr>
          <w:p>
            <w:pPr>
              <w:pStyle w:val="TableContents"/>
              <w:bidi w:val="0"/>
              <w:spacing w:before="0" w:after="283"/>
              <w:jc w:val="center"/>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274" w:type="dxa"/>
            <w:tcBorders>
              <w:bottom w:val="single" w:sz="6" w:space="0" w:color="000000"/>
            </w:tcBorders>
            <w:tcMar>
              <w:bottom w:w="28" w:type="dxa"/>
            </w:tcMar>
            <w:vAlign w:val="center"/>
          </w:tcPr>
          <w:p>
            <w:pPr>
              <w:pStyle w:val="TableContents"/>
              <w:bidi w:val="0"/>
              <w:spacing w:before="0" w:after="283"/>
              <w:jc w:val="center"/>
              <w:rPr/>
            </w:pPr>
            <w:r>
              <w:rPr/>
              <w:t> </w:t>
            </w:r>
          </w:p>
        </w:tc>
        <w:tc>
          <w:tcPr>
            <w:tcW w:w="951"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217"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3080" w:type="dxa"/>
            <w:tcBorders/>
            <w:shd w:fill="CCEEFF" w:val="clear"/>
            <w:vAlign w:val="center"/>
          </w:tcPr>
          <w:p>
            <w:pPr>
              <w:pStyle w:val="TableContents"/>
              <w:bidi w:val="0"/>
              <w:spacing w:before="0" w:after="283"/>
              <w:jc w:val="left"/>
              <w:rPr/>
            </w:pPr>
            <w:r>
              <w:rPr/>
              <w:t>Americas</w:t>
            </w:r>
          </w:p>
        </w:tc>
        <w:tc>
          <w:tcPr>
            <w:tcW w:w="9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w:t>
            </w:r>
          </w:p>
        </w:tc>
        <w:tc>
          <w:tcPr>
            <w:tcW w:w="1039" w:type="dxa"/>
            <w:tcBorders/>
            <w:shd w:fill="CCEEFF" w:val="clear"/>
            <w:vAlign w:val="center"/>
          </w:tcPr>
          <w:p>
            <w:pPr>
              <w:pStyle w:val="TableContents"/>
              <w:bidi w:val="0"/>
              <w:spacing w:before="0" w:after="283"/>
              <w:jc w:val="right"/>
              <w:rPr/>
            </w:pPr>
            <w:r>
              <w:rPr/>
              <w:t>509</w:t>
            </w:r>
          </w:p>
        </w:tc>
        <w:tc>
          <w:tcPr>
            <w:tcW w:w="15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w:t>
            </w:r>
          </w:p>
        </w:tc>
        <w:tc>
          <w:tcPr>
            <w:tcW w:w="1039" w:type="dxa"/>
            <w:tcBorders/>
            <w:shd w:fill="CCEEFF" w:val="clear"/>
            <w:vAlign w:val="center"/>
          </w:tcPr>
          <w:p>
            <w:pPr>
              <w:pStyle w:val="TableContents"/>
              <w:bidi w:val="0"/>
              <w:spacing w:before="0" w:after="283"/>
              <w:jc w:val="right"/>
              <w:rPr/>
            </w:pPr>
            <w:r>
              <w:rPr/>
              <w:t>846</w:t>
            </w:r>
          </w:p>
        </w:tc>
        <w:tc>
          <w:tcPr>
            <w:tcW w:w="158" w:type="dxa"/>
            <w:tcBorders/>
            <w:shd w:fill="CCEEFF" w:val="clear"/>
            <w:vAlign w:val="center"/>
          </w:tcPr>
          <w:p>
            <w:pPr>
              <w:pStyle w:val="TableContents"/>
              <w:bidi w:val="0"/>
              <w:spacing w:before="0" w:after="283"/>
              <w:jc w:val="left"/>
              <w:rPr/>
            </w:pPr>
            <w:r>
              <w:rPr/>
              <w:t> </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274" w:type="dxa"/>
            <w:tcBorders/>
            <w:shd w:fill="CCEEFF" w:val="clear"/>
            <w:vAlign w:val="center"/>
          </w:tcPr>
          <w:p>
            <w:pPr>
              <w:pStyle w:val="TableContents"/>
              <w:bidi w:val="0"/>
              <w:spacing w:before="0" w:after="283"/>
              <w:jc w:val="left"/>
              <w:rPr/>
            </w:pPr>
            <w:r>
              <w:rPr/>
              <w:t>$</w:t>
            </w:r>
          </w:p>
        </w:tc>
        <w:tc>
          <w:tcPr>
            <w:tcW w:w="951" w:type="dxa"/>
            <w:tcBorders/>
            <w:shd w:fill="CCEEFF" w:val="clear"/>
            <w:vAlign w:val="center"/>
          </w:tcPr>
          <w:p>
            <w:pPr>
              <w:pStyle w:val="TableContents"/>
              <w:bidi w:val="0"/>
              <w:spacing w:before="0" w:after="283"/>
              <w:jc w:val="right"/>
              <w:rPr/>
            </w:pPr>
            <w:r>
              <w:rPr/>
              <w:t>1,154</w:t>
            </w:r>
          </w:p>
        </w:tc>
        <w:tc>
          <w:tcPr>
            <w:tcW w:w="14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274" w:type="dxa"/>
            <w:tcBorders/>
            <w:shd w:fill="CCEEFF" w:val="clear"/>
            <w:vAlign w:val="center"/>
          </w:tcPr>
          <w:p>
            <w:pPr>
              <w:pStyle w:val="TableContents"/>
              <w:bidi w:val="0"/>
              <w:spacing w:before="0" w:after="283"/>
              <w:jc w:val="left"/>
              <w:rPr/>
            </w:pPr>
            <w:r>
              <w:rPr/>
              <w:t>$</w:t>
            </w:r>
          </w:p>
        </w:tc>
        <w:tc>
          <w:tcPr>
            <w:tcW w:w="951" w:type="dxa"/>
            <w:tcBorders/>
            <w:shd w:fill="CCEEFF" w:val="clear"/>
            <w:vAlign w:val="center"/>
          </w:tcPr>
          <w:p>
            <w:pPr>
              <w:pStyle w:val="TableContents"/>
              <w:bidi w:val="0"/>
              <w:spacing w:before="0" w:after="283"/>
              <w:jc w:val="right"/>
              <w:rPr/>
            </w:pPr>
            <w:r>
              <w:rPr/>
              <w:t>1,592</w:t>
            </w:r>
          </w:p>
        </w:tc>
        <w:tc>
          <w:tcPr>
            <w:tcW w:w="217" w:type="dxa"/>
            <w:tcBorders/>
            <w:shd w:fill="CCEEFF" w:val="clear"/>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Europe, Middle East and Africa</w:t>
            </w:r>
          </w:p>
        </w:tc>
        <w:tc>
          <w:tcPr>
            <w:tcW w:w="90"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1,533</w:t>
            </w:r>
          </w:p>
        </w:tc>
        <w:tc>
          <w:tcPr>
            <w:tcW w:w="158"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166</w:t>
            </w:r>
          </w:p>
        </w:tc>
        <w:tc>
          <w:tcPr>
            <w:tcW w:w="158" w:type="dxa"/>
            <w:tcBorders/>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1,999</w:t>
            </w:r>
          </w:p>
        </w:tc>
        <w:tc>
          <w:tcPr>
            <w:tcW w:w="14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186</w:t>
            </w:r>
          </w:p>
        </w:tc>
        <w:tc>
          <w:tcPr>
            <w:tcW w:w="217"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pPr>
            <w:r>
              <w:rPr/>
              <w:t>Asia Pacific</w:t>
            </w:r>
          </w:p>
        </w:tc>
        <w:tc>
          <w:tcPr>
            <w:tcW w:w="90" w:type="dxa"/>
            <w:tcBorders/>
            <w:shd w:fill="CCEEFF" w:val="clear"/>
            <w:vAlign w:val="center"/>
          </w:tcPr>
          <w:p>
            <w:pPr>
              <w:pStyle w:val="TableContents"/>
              <w:bidi w:val="0"/>
              <w:spacing w:before="0" w:after="283"/>
              <w:jc w:val="left"/>
              <w:rPr/>
            </w:pPr>
            <w:r>
              <w:rPr/>
              <w:t> </w:t>
            </w:r>
          </w:p>
        </w:tc>
        <w:tc>
          <w:tcPr>
            <w:tcW w:w="299"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039" w:type="dxa"/>
            <w:tcBorders>
              <w:bottom w:val="single" w:sz="6" w:space="0" w:color="000000"/>
            </w:tcBorders>
            <w:shd w:fill="CCEEFF" w:val="clear"/>
            <w:tcMar>
              <w:bottom w:w="28" w:type="dxa"/>
            </w:tcMar>
            <w:vAlign w:val="center"/>
          </w:tcPr>
          <w:p>
            <w:pPr>
              <w:pStyle w:val="TableContents"/>
              <w:bidi w:val="0"/>
              <w:spacing w:before="0" w:after="283"/>
              <w:jc w:val="right"/>
              <w:rPr/>
            </w:pPr>
            <w:r>
              <w:rPr/>
              <w:t>10</w:t>
            </w:r>
          </w:p>
        </w:tc>
        <w:tc>
          <w:tcPr>
            <w:tcW w:w="158"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299"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039" w:type="dxa"/>
            <w:tcBorders>
              <w:bottom w:val="single" w:sz="6" w:space="0" w:color="000000"/>
            </w:tcBorders>
            <w:shd w:fill="CCEEFF" w:val="clear"/>
            <w:tcMar>
              <w:bottom w:w="28" w:type="dxa"/>
            </w:tcMar>
            <w:vAlign w:val="center"/>
          </w:tcPr>
          <w:p>
            <w:pPr>
              <w:pStyle w:val="TableContents"/>
              <w:bidi w:val="0"/>
              <w:spacing w:before="0" w:after="283"/>
              <w:jc w:val="right"/>
              <w:rPr/>
            </w:pPr>
            <w:r>
              <w:rPr/>
              <w:t xml:space="preserve">- </w:t>
            </w:r>
          </w:p>
        </w:tc>
        <w:tc>
          <w:tcPr>
            <w:tcW w:w="158"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274"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single" w:sz="6" w:space="0" w:color="000000"/>
            </w:tcBorders>
            <w:shd w:fill="CCEEFF" w:val="clear"/>
            <w:tcMar>
              <w:bottom w:w="28" w:type="dxa"/>
            </w:tcMar>
            <w:vAlign w:val="center"/>
          </w:tcPr>
          <w:p>
            <w:pPr>
              <w:pStyle w:val="TableContents"/>
              <w:bidi w:val="0"/>
              <w:spacing w:before="0" w:after="283"/>
              <w:jc w:val="right"/>
              <w:rPr/>
            </w:pPr>
            <w:r>
              <w:rPr/>
              <w:t>10</w:t>
            </w:r>
          </w:p>
        </w:tc>
        <w:tc>
          <w:tcPr>
            <w:tcW w:w="14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274"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single" w:sz="6" w:space="0" w:color="000000"/>
            </w:tcBorders>
            <w:shd w:fill="CCEEFF" w:val="clear"/>
            <w:tcMar>
              <w:bottom w:w="28" w:type="dxa"/>
            </w:tcMar>
            <w:vAlign w:val="center"/>
          </w:tcPr>
          <w:p>
            <w:pPr>
              <w:pStyle w:val="TableContents"/>
              <w:bidi w:val="0"/>
              <w:spacing w:before="0" w:after="283"/>
              <w:jc w:val="right"/>
              <w:rPr/>
            </w:pPr>
            <w:r>
              <w:rPr/>
              <w:t xml:space="preserve">- </w:t>
            </w:r>
          </w:p>
        </w:tc>
        <w:tc>
          <w:tcPr>
            <w:tcW w:w="217"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Total revenues</w:t>
            </w:r>
          </w:p>
        </w:tc>
        <w:tc>
          <w:tcPr>
            <w:tcW w:w="90" w:type="dxa"/>
            <w:tcBorders/>
            <w:vAlign w:val="center"/>
          </w:tcPr>
          <w:p>
            <w:pPr>
              <w:pStyle w:val="TableContents"/>
              <w:bidi w:val="0"/>
              <w:spacing w:before="0" w:after="283"/>
              <w:jc w:val="left"/>
              <w:rPr/>
            </w:pPr>
            <w:r>
              <w:rPr/>
              <w:t> </w:t>
            </w:r>
          </w:p>
        </w:tc>
        <w:tc>
          <w:tcPr>
            <w:tcW w:w="299" w:type="dxa"/>
            <w:tcBorders>
              <w:bottom w:val="double" w:sz="6" w:space="0" w:color="000000"/>
            </w:tcBorders>
            <w:tcMar>
              <w:bottom w:w="28" w:type="dxa"/>
            </w:tcMar>
            <w:vAlign w:val="center"/>
          </w:tcPr>
          <w:p>
            <w:pPr>
              <w:pStyle w:val="TableContents"/>
              <w:bidi w:val="0"/>
              <w:spacing w:before="0" w:after="283"/>
              <w:jc w:val="left"/>
              <w:rPr/>
            </w:pPr>
            <w:r>
              <w:rPr/>
              <w:t>$</w:t>
            </w:r>
          </w:p>
        </w:tc>
        <w:tc>
          <w:tcPr>
            <w:tcW w:w="1039" w:type="dxa"/>
            <w:tcBorders>
              <w:bottom w:val="double" w:sz="6" w:space="0" w:color="000000"/>
            </w:tcBorders>
            <w:tcMar>
              <w:bottom w:w="28" w:type="dxa"/>
            </w:tcMar>
            <w:vAlign w:val="center"/>
          </w:tcPr>
          <w:p>
            <w:pPr>
              <w:pStyle w:val="TableContents"/>
              <w:bidi w:val="0"/>
              <w:spacing w:before="0" w:after="283"/>
              <w:jc w:val="right"/>
              <w:rPr/>
            </w:pPr>
            <w:r>
              <w:rPr/>
              <w:t>2,052</w:t>
            </w:r>
          </w:p>
        </w:tc>
        <w:tc>
          <w:tcPr>
            <w:tcW w:w="158" w:type="dxa"/>
            <w:tcBorders>
              <w:bottom w:val="double" w:sz="6" w:space="0" w:color="000000"/>
            </w:tcBorders>
            <w:tcMar>
              <w:bottom w:w="28" w:type="dxa"/>
            </w:tcMar>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299" w:type="dxa"/>
            <w:tcBorders>
              <w:bottom w:val="double" w:sz="6" w:space="0" w:color="000000"/>
            </w:tcBorders>
            <w:tcMar>
              <w:bottom w:w="28" w:type="dxa"/>
            </w:tcMar>
            <w:vAlign w:val="center"/>
          </w:tcPr>
          <w:p>
            <w:pPr>
              <w:pStyle w:val="TableContents"/>
              <w:bidi w:val="0"/>
              <w:spacing w:before="0" w:after="283"/>
              <w:jc w:val="left"/>
              <w:rPr/>
            </w:pPr>
            <w:r>
              <w:rPr/>
              <w:t>$</w:t>
            </w:r>
          </w:p>
        </w:tc>
        <w:tc>
          <w:tcPr>
            <w:tcW w:w="1039" w:type="dxa"/>
            <w:tcBorders>
              <w:bottom w:val="double" w:sz="6" w:space="0" w:color="000000"/>
            </w:tcBorders>
            <w:tcMar>
              <w:bottom w:w="28" w:type="dxa"/>
            </w:tcMar>
            <w:vAlign w:val="center"/>
          </w:tcPr>
          <w:p>
            <w:pPr>
              <w:pStyle w:val="TableContents"/>
              <w:bidi w:val="0"/>
              <w:spacing w:before="0" w:after="283"/>
              <w:jc w:val="right"/>
              <w:rPr/>
            </w:pPr>
            <w:r>
              <w:rPr/>
              <w:t>1,012</w:t>
            </w:r>
          </w:p>
        </w:tc>
        <w:tc>
          <w:tcPr>
            <w:tcW w:w="158" w:type="dxa"/>
            <w:tcBorders>
              <w:bottom w:val="double" w:sz="6" w:space="0" w:color="000000"/>
            </w:tcBorders>
            <w:tcMar>
              <w:bottom w:w="28" w:type="dxa"/>
            </w:tcMar>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274" w:type="dxa"/>
            <w:tcBorders>
              <w:bottom w:val="double" w:sz="6" w:space="0" w:color="000000"/>
            </w:tcBorders>
            <w:tcMar>
              <w:bottom w:w="28" w:type="dxa"/>
            </w:tcMar>
            <w:vAlign w:val="center"/>
          </w:tcPr>
          <w:p>
            <w:pPr>
              <w:pStyle w:val="TableContents"/>
              <w:bidi w:val="0"/>
              <w:spacing w:before="0" w:after="283"/>
              <w:jc w:val="left"/>
              <w:rPr/>
            </w:pPr>
            <w:r>
              <w:rPr/>
              <w:t>$</w:t>
            </w:r>
          </w:p>
        </w:tc>
        <w:tc>
          <w:tcPr>
            <w:tcW w:w="951" w:type="dxa"/>
            <w:tcBorders>
              <w:bottom w:val="double" w:sz="6" w:space="0" w:color="000000"/>
            </w:tcBorders>
            <w:tcMar>
              <w:bottom w:w="28" w:type="dxa"/>
            </w:tcMar>
            <w:vAlign w:val="center"/>
          </w:tcPr>
          <w:p>
            <w:pPr>
              <w:pStyle w:val="TableContents"/>
              <w:bidi w:val="0"/>
              <w:spacing w:before="0" w:after="283"/>
              <w:jc w:val="right"/>
              <w:rPr/>
            </w:pPr>
            <w:r>
              <w:rPr/>
              <w:t>3,163</w:t>
            </w:r>
          </w:p>
        </w:tc>
        <w:tc>
          <w:tcPr>
            <w:tcW w:w="145" w:type="dxa"/>
            <w:tcBorders>
              <w:bottom w:val="double" w:sz="6" w:space="0" w:color="000000"/>
            </w:tcBorders>
            <w:tcMar>
              <w:bottom w:w="28" w:type="dxa"/>
            </w:tcMar>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274" w:type="dxa"/>
            <w:tcBorders>
              <w:bottom w:val="double" w:sz="6" w:space="0" w:color="000000"/>
            </w:tcBorders>
            <w:tcMar>
              <w:bottom w:w="28" w:type="dxa"/>
            </w:tcMar>
            <w:vAlign w:val="center"/>
          </w:tcPr>
          <w:p>
            <w:pPr>
              <w:pStyle w:val="TableContents"/>
              <w:bidi w:val="0"/>
              <w:spacing w:before="0" w:after="283"/>
              <w:jc w:val="left"/>
              <w:rPr/>
            </w:pPr>
            <w:r>
              <w:rPr/>
              <w:t>$</w:t>
            </w:r>
          </w:p>
        </w:tc>
        <w:tc>
          <w:tcPr>
            <w:tcW w:w="951" w:type="dxa"/>
            <w:tcBorders>
              <w:bottom w:val="double" w:sz="6" w:space="0" w:color="000000"/>
            </w:tcBorders>
            <w:tcMar>
              <w:bottom w:w="28" w:type="dxa"/>
            </w:tcMar>
            <w:vAlign w:val="center"/>
          </w:tcPr>
          <w:p>
            <w:pPr>
              <w:pStyle w:val="TableContents"/>
              <w:bidi w:val="0"/>
              <w:spacing w:before="0" w:after="283"/>
              <w:jc w:val="right"/>
              <w:rPr/>
            </w:pPr>
            <w:r>
              <w:rPr/>
              <w:t>1,778</w:t>
            </w:r>
          </w:p>
        </w:tc>
        <w:tc>
          <w:tcPr>
            <w:tcW w:w="217"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17. SUBSEQUENT EVENTS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has evaluated subsequent events through August 11, 2026, the date on which this Quarterly Report on Form 10-Q was filed with the Securities and Exchange Commission. Other than as described below, the Company determined there are no subsequent events requiring disclosure in accordance with ASC 855.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July 2026, the Company made a strategic investment in Frenel, an advanced-sensing company. Pursuant to the agreement, the Company purchased in a private placement 74,918 Series A Preferred Shares of Frenel at a purchase price of $26.6959 per share, for an aggregate purchase price of $2,000, of which $300 had been paid previously under an advance investment and interim limited license agreement in March 2026. The Series A Preferred Shares are convertible into ordinary shares of Frenel at the holder's option. Under the purchase agreement, the Company has the right, but not the obligation, to invest up to an additional $2,500 in Series A-2 Preferred Shares of Frenel at any time within 24 months following the initial closing, based on a pre-money valuation of $18,500 on a fully diluted basis. The Company is evaluating the appropriate accounting for its investment in Frenel, which represents an equity interest in a privately held company, and expects to complete that assessment during the third quarter of 2026.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Additionally, the Company and Frenel entered into an exclusive distribution and license agreement under which Frenel granted the Company an exclusive license to market, sell, distribute, and integrate Frenel's proprietary polarimetric thermal imaging software within the United States, and to NATO agencies and member-state customers through U.S. Department of Defense Foreign Military Financing and Foreign Military Sales channels. The license is exclusive for an initial period of four years, subject to the Company's satisfaction of specified minimum annual commitment milestones, and converts to a non-exclusive license if those milestones are not met following applicable cure periods. The Company has agreed to pay Frenel a base price for products supplied plus a revenue share of 10% of net funds invoiced to end customers. The Company intends to use the licensed technology as part of the detection layer of its WrapShield platform. The arrangement is in an early stage, and the timing and amount of any resulting revenue are uncertain.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July 2026, ATF Ruling 2026-2 became effective, classifying the BolaWrap 150 as an instrument of restraint and determining that it is not a "firearm" under the Gun Control Act or an "any other weapon" under the National Firearms Act. The ruling supersedes prior ATF classifications of the BolaWrap 150 and addresses that product only. The ruling did not affect the Company's financial position or results of operations for the periods presented.</w:t>
      </w:r>
    </w:p>
    <w:p>
      <w:pPr>
        <w:pStyle w:val="TextBody"/>
        <w:bidi w:val="0"/>
        <w:spacing w:before="0" w:after="0"/>
        <w:jc w:val="both"/>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18</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Item 2. Management’s Discussion and Analysis of Financial Condition and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caps w:val="false"/>
          <w:smallCaps w:val="false"/>
          <w:sz w:val="20"/>
        </w:rPr>
        <w:t xml:space="preserve">You should read the following discussion in conjunction with the financial statements and other financial information included elsewhere in this Quarterly Report on Form 10-Q (this </w:t>
      </w:r>
      <w:r>
        <w:rPr>
          <w:rFonts w:ascii="Times New Roman" w:hAnsi="Times New Roman"/>
          <w:b w:val="false"/>
          <w:i w:val="false"/>
          <w:caps w:val="false"/>
          <w:smallCaps w:val="false"/>
          <w:sz w:val="20"/>
        </w:rPr>
        <w:t>“</w:t>
      </w:r>
      <w:r>
        <w:rPr>
          <w:rFonts w:ascii="Times New Roman" w:hAnsi="Times New Roman"/>
          <w:b w:val="false"/>
          <w:i/>
          <w:caps w:val="false"/>
          <w:smallCaps w:val="false"/>
          <w:sz w:val="20"/>
        </w:rPr>
        <w:t>Report</w:t>
      </w:r>
      <w:r>
        <w:rPr>
          <w:rFonts w:ascii="Times New Roman" w:hAnsi="Times New Roman"/>
          <w:b w:val="false"/>
          <w:i w:val="false"/>
          <w:caps w:val="false"/>
          <w:smallCaps w:val="false"/>
          <w:sz w:val="20"/>
        </w:rPr>
        <w:t>”</w:t>
      </w:r>
      <w:r>
        <w:rPr>
          <w:rFonts w:ascii="Times New Roman" w:hAnsi="Times New Roman"/>
          <w:b w:val="false"/>
          <w:i/>
          <w:caps w:val="false"/>
          <w:smallCaps w:val="false"/>
          <w:sz w:val="20"/>
        </w:rPr>
        <w:t xml:space="preserve">) and with our audited financial statements and other information presented in our Annual Report on Form 10-K for the year ended December 31, 2025 (the </w:t>
      </w:r>
      <w:r>
        <w:rPr>
          <w:rFonts w:ascii="Times New Roman" w:hAnsi="Times New Roman"/>
          <w:b w:val="false"/>
          <w:i w:val="false"/>
          <w:caps w:val="false"/>
          <w:smallCaps w:val="false"/>
          <w:sz w:val="20"/>
        </w:rPr>
        <w:t>“</w:t>
      </w:r>
      <w:r>
        <w:rPr>
          <w:rFonts w:ascii="Times New Roman" w:hAnsi="Times New Roman"/>
          <w:b w:val="false"/>
          <w:i/>
          <w:caps w:val="false"/>
          <w:smallCaps w:val="false"/>
          <w:sz w:val="20"/>
        </w:rPr>
        <w:t>Annual Report</w:t>
      </w:r>
      <w:r>
        <w:rPr>
          <w:rFonts w:ascii="Times New Roman" w:hAnsi="Times New Roman"/>
          <w:b w:val="false"/>
          <w:i w:val="false"/>
          <w:caps w:val="false"/>
          <w:smallCaps w:val="false"/>
          <w:sz w:val="20"/>
        </w:rPr>
        <w:t>”</w:t>
      </w:r>
      <w:r>
        <w:rPr>
          <w:rFonts w:ascii="Times New Roman" w:hAnsi="Times New Roman"/>
          <w:b w:val="false"/>
          <w:i/>
          <w:caps w:val="false"/>
          <w:smallCaps w:val="false"/>
          <w:sz w:val="20"/>
        </w:rPr>
        <w:t xml:space="preserve">). This Report may contain or incorporate by reference forward-looking statements within the meaning of Section 27A of the Securities Act of 1933, as amended (the </w:t>
      </w:r>
      <w:r>
        <w:rPr>
          <w:rFonts w:ascii="Times New Roman" w:hAnsi="Times New Roman"/>
          <w:b w:val="false"/>
          <w:i w:val="false"/>
          <w:caps w:val="false"/>
          <w:smallCaps w:val="false"/>
          <w:sz w:val="20"/>
        </w:rPr>
        <w:t>“</w:t>
      </w:r>
      <w:r>
        <w:rPr>
          <w:rFonts w:ascii="Times New Roman" w:hAnsi="Times New Roman"/>
          <w:b w:val="false"/>
          <w:i/>
          <w:caps w:val="false"/>
          <w:smallCaps w:val="false"/>
          <w:sz w:val="20"/>
        </w:rPr>
        <w:t>Securities Act</w:t>
      </w:r>
      <w:r>
        <w:rPr>
          <w:rFonts w:ascii="Times New Roman" w:hAnsi="Times New Roman"/>
          <w:b w:val="false"/>
          <w:i w:val="false"/>
          <w:caps w:val="false"/>
          <w:smallCaps w:val="false"/>
          <w:sz w:val="20"/>
        </w:rPr>
        <w:t>”</w:t>
      </w:r>
      <w:r>
        <w:rPr>
          <w:rFonts w:ascii="Times New Roman" w:hAnsi="Times New Roman"/>
          <w:b w:val="false"/>
          <w:i/>
          <w:caps w:val="false"/>
          <w:smallCaps w:val="false"/>
          <w:sz w:val="20"/>
        </w:rPr>
        <w:t xml:space="preserve">), and Section 21E of the Securities Exchange Act of 1934, as amended (the </w:t>
      </w:r>
      <w:r>
        <w:rPr>
          <w:rFonts w:ascii="Times New Roman" w:hAnsi="Times New Roman"/>
          <w:b w:val="false"/>
          <w:i w:val="false"/>
          <w:caps w:val="false"/>
          <w:smallCaps w:val="false"/>
          <w:sz w:val="20"/>
        </w:rPr>
        <w:t>“</w:t>
      </w:r>
      <w:r>
        <w:rPr>
          <w:rFonts w:ascii="Times New Roman" w:hAnsi="Times New Roman"/>
          <w:b w:val="false"/>
          <w:i/>
          <w:caps w:val="false"/>
          <w:smallCaps w:val="false"/>
          <w:sz w:val="20"/>
        </w:rPr>
        <w:t>Exchange Act</w:t>
      </w:r>
      <w:r>
        <w:rPr>
          <w:rFonts w:ascii="Times New Roman" w:hAnsi="Times New Roman"/>
          <w:b w:val="false"/>
          <w:i w:val="false"/>
          <w:caps w:val="false"/>
          <w:smallCaps w:val="false"/>
          <w:sz w:val="20"/>
        </w:rPr>
        <w:t>”</w:t>
      </w:r>
      <w:r>
        <w:rPr>
          <w:rFonts w:ascii="Times New Roman" w:hAnsi="Times New Roman"/>
          <w:b w:val="false"/>
          <w:i/>
          <w:caps w:val="false"/>
          <w:smallCaps w:val="false"/>
          <w:sz w:val="20"/>
        </w:rPr>
        <w:t>). Such forward-looking statements are based upon management</w:t>
      </w:r>
      <w:r>
        <w:rPr>
          <w:rFonts w:ascii="Times New Roman" w:hAnsi="Times New Roman"/>
          <w:b w:val="false"/>
          <w:i w:val="false"/>
          <w:caps w:val="false"/>
          <w:smallCaps w:val="false"/>
          <w:sz w:val="20"/>
        </w:rPr>
        <w:t>’</w:t>
      </w:r>
      <w:r>
        <w:rPr>
          <w:rFonts w:ascii="Times New Roman" w:hAnsi="Times New Roman"/>
          <w:b w:val="false"/>
          <w:i/>
          <w:caps w:val="false"/>
          <w:smallCaps w:val="false"/>
          <w:sz w:val="20"/>
        </w:rPr>
        <w:t xml:space="preserve">s assumptions, expectations, projections, intentions and beliefs about future events. Except for historical information, the use of predictive, future-tense or forward-looking words such as </w:t>
      </w:r>
      <w:r>
        <w:rPr>
          <w:rFonts w:ascii="Times New Roman" w:hAnsi="Times New Roman"/>
          <w:b w:val="false"/>
          <w:i w:val="false"/>
          <w:caps w:val="false"/>
          <w:smallCaps w:val="false"/>
          <w:sz w:val="20"/>
        </w:rPr>
        <w:t>“</w:t>
      </w:r>
      <w:r>
        <w:rPr>
          <w:rFonts w:ascii="Times New Roman" w:hAnsi="Times New Roman"/>
          <w:b w:val="false"/>
          <w:i/>
          <w:caps w:val="false"/>
          <w:smallCaps w:val="false"/>
          <w:sz w:val="20"/>
        </w:rPr>
        <w:t>expect,</w:t>
      </w:r>
      <w:r>
        <w:rPr>
          <w:rFonts w:ascii="Times New Roman" w:hAnsi="Times New Roman"/>
          <w:b w:val="false"/>
          <w:i w:val="false"/>
          <w:caps w:val="false"/>
          <w:smallCaps w:val="false"/>
          <w:sz w:val="20"/>
        </w:rPr>
        <w:t>” “</w:t>
      </w:r>
      <w:r>
        <w:rPr>
          <w:rFonts w:ascii="Times New Roman" w:hAnsi="Times New Roman"/>
          <w:b w:val="false"/>
          <w:i/>
          <w:caps w:val="false"/>
          <w:smallCaps w:val="false"/>
          <w:sz w:val="20"/>
        </w:rPr>
        <w:t>anticipate,</w:t>
      </w:r>
      <w:r>
        <w:rPr>
          <w:rFonts w:ascii="Times New Roman" w:hAnsi="Times New Roman"/>
          <w:b w:val="false"/>
          <w:i w:val="false"/>
          <w:caps w:val="false"/>
          <w:smallCaps w:val="false"/>
          <w:sz w:val="20"/>
        </w:rPr>
        <w:t>” “</w:t>
      </w:r>
      <w:r>
        <w:rPr>
          <w:rFonts w:ascii="Times New Roman" w:hAnsi="Times New Roman"/>
          <w:b w:val="false"/>
          <w:i/>
          <w:caps w:val="false"/>
          <w:smallCaps w:val="false"/>
          <w:sz w:val="20"/>
        </w:rPr>
        <w:t>intend,</w:t>
      </w:r>
      <w:r>
        <w:rPr>
          <w:rFonts w:ascii="Times New Roman" w:hAnsi="Times New Roman"/>
          <w:b w:val="false"/>
          <w:i w:val="false"/>
          <w:caps w:val="false"/>
          <w:smallCaps w:val="false"/>
          <w:sz w:val="20"/>
        </w:rPr>
        <w:t>” “</w:t>
      </w:r>
      <w:r>
        <w:rPr>
          <w:rFonts w:ascii="Times New Roman" w:hAnsi="Times New Roman"/>
          <w:b w:val="false"/>
          <w:i/>
          <w:caps w:val="false"/>
          <w:smallCaps w:val="false"/>
          <w:sz w:val="20"/>
        </w:rPr>
        <w:t>plan,</w:t>
      </w:r>
      <w:r>
        <w:rPr>
          <w:rFonts w:ascii="Times New Roman" w:hAnsi="Times New Roman"/>
          <w:b w:val="false"/>
          <w:i w:val="false"/>
          <w:caps w:val="false"/>
          <w:smallCaps w:val="false"/>
          <w:sz w:val="20"/>
        </w:rPr>
        <w:t>” “</w:t>
      </w:r>
      <w:r>
        <w:rPr>
          <w:rFonts w:ascii="Times New Roman" w:hAnsi="Times New Roman"/>
          <w:b w:val="false"/>
          <w:i/>
          <w:caps w:val="false"/>
          <w:smallCaps w:val="false"/>
          <w:sz w:val="20"/>
        </w:rPr>
        <w:t>believe,</w:t>
      </w:r>
      <w:r>
        <w:rPr>
          <w:rFonts w:ascii="Times New Roman" w:hAnsi="Times New Roman"/>
          <w:b w:val="false"/>
          <w:i w:val="false"/>
          <w:caps w:val="false"/>
          <w:smallCaps w:val="false"/>
          <w:sz w:val="20"/>
        </w:rPr>
        <w:t>” “</w:t>
      </w:r>
      <w:r>
        <w:rPr>
          <w:rFonts w:ascii="Times New Roman" w:hAnsi="Times New Roman"/>
          <w:b w:val="false"/>
          <w:i/>
          <w:caps w:val="false"/>
          <w:smallCaps w:val="false"/>
          <w:sz w:val="20"/>
        </w:rPr>
        <w:t>seek,</w:t>
      </w:r>
      <w:r>
        <w:rPr>
          <w:rFonts w:ascii="Times New Roman" w:hAnsi="Times New Roman"/>
          <w:b w:val="false"/>
          <w:i w:val="false"/>
          <w:caps w:val="false"/>
          <w:smallCaps w:val="false"/>
          <w:sz w:val="20"/>
        </w:rPr>
        <w:t>” “</w:t>
      </w:r>
      <w:r>
        <w:rPr>
          <w:rFonts w:ascii="Times New Roman" w:hAnsi="Times New Roman"/>
          <w:b w:val="false"/>
          <w:i/>
          <w:caps w:val="false"/>
          <w:smallCaps w:val="false"/>
          <w:sz w:val="20"/>
        </w:rPr>
        <w:t>estimate,</w:t>
      </w:r>
      <w:r>
        <w:rPr>
          <w:rFonts w:ascii="Times New Roman" w:hAnsi="Times New Roman"/>
          <w:b w:val="false"/>
          <w:i w:val="false"/>
          <w:caps w:val="false"/>
          <w:smallCaps w:val="false"/>
          <w:sz w:val="20"/>
        </w:rPr>
        <w:t>” “</w:t>
      </w:r>
      <w:r>
        <w:rPr>
          <w:rFonts w:ascii="Times New Roman" w:hAnsi="Times New Roman"/>
          <w:b w:val="false"/>
          <w:i/>
          <w:caps w:val="false"/>
          <w:smallCaps w:val="false"/>
          <w:sz w:val="20"/>
        </w:rPr>
        <w:t>continue,</w:t>
      </w:r>
      <w:r>
        <w:rPr>
          <w:rFonts w:ascii="Times New Roman" w:hAnsi="Times New Roman"/>
          <w:b w:val="false"/>
          <w:i w:val="false"/>
          <w:caps w:val="false"/>
          <w:smallCaps w:val="false"/>
          <w:sz w:val="20"/>
        </w:rPr>
        <w:t>” “</w:t>
      </w:r>
      <w:r>
        <w:rPr>
          <w:rFonts w:ascii="Times New Roman" w:hAnsi="Times New Roman"/>
          <w:b w:val="false"/>
          <w:i/>
          <w:caps w:val="false"/>
          <w:smallCaps w:val="false"/>
          <w:sz w:val="20"/>
        </w:rPr>
        <w:t>may,</w:t>
      </w:r>
      <w:r>
        <w:rPr>
          <w:rFonts w:ascii="Times New Roman" w:hAnsi="Times New Roman"/>
          <w:b w:val="false"/>
          <w:i w:val="false"/>
          <w:caps w:val="false"/>
          <w:smallCaps w:val="false"/>
          <w:sz w:val="20"/>
        </w:rPr>
        <w:t>” “</w:t>
      </w:r>
      <w:r>
        <w:rPr>
          <w:rFonts w:ascii="Times New Roman" w:hAnsi="Times New Roman"/>
          <w:b w:val="false"/>
          <w:i/>
          <w:caps w:val="false"/>
          <w:smallCaps w:val="false"/>
          <w:sz w:val="20"/>
        </w:rPr>
        <w:t>will,</w:t>
      </w:r>
      <w:r>
        <w:rPr>
          <w:rFonts w:ascii="Times New Roman" w:hAnsi="Times New Roman"/>
          <w:b w:val="false"/>
          <w:i w:val="false"/>
          <w:caps w:val="false"/>
          <w:smallCaps w:val="false"/>
          <w:sz w:val="20"/>
        </w:rPr>
        <w:t>” “</w:t>
      </w:r>
      <w:r>
        <w:rPr>
          <w:rFonts w:ascii="Times New Roman" w:hAnsi="Times New Roman"/>
          <w:b w:val="false"/>
          <w:i/>
          <w:caps w:val="false"/>
          <w:smallCaps w:val="false"/>
          <w:sz w:val="20"/>
        </w:rPr>
        <w:t>could,</w:t>
      </w:r>
      <w:r>
        <w:rPr>
          <w:rFonts w:ascii="Times New Roman" w:hAnsi="Times New Roman"/>
          <w:b w:val="false"/>
          <w:i w:val="false"/>
          <w:caps w:val="false"/>
          <w:smallCaps w:val="false"/>
          <w:sz w:val="20"/>
        </w:rPr>
        <w:t>” “</w:t>
      </w:r>
      <w:r>
        <w:rPr>
          <w:rFonts w:ascii="Times New Roman" w:hAnsi="Times New Roman"/>
          <w:b w:val="false"/>
          <w:i/>
          <w:caps w:val="false"/>
          <w:smallCaps w:val="false"/>
          <w:sz w:val="20"/>
        </w:rPr>
        <w:t>would,</w:t>
      </w:r>
      <w:r>
        <w:rPr>
          <w:rFonts w:ascii="Times New Roman" w:hAnsi="Times New Roman"/>
          <w:b w:val="false"/>
          <w:i w:val="false"/>
          <w:caps w:val="false"/>
          <w:smallCaps w:val="false"/>
          <w:sz w:val="20"/>
        </w:rPr>
        <w:t xml:space="preserve">” </w:t>
      </w:r>
      <w:r>
        <w:rPr>
          <w:rFonts w:ascii="Times New Roman" w:hAnsi="Times New Roman"/>
          <w:b w:val="false"/>
          <w:i/>
          <w:caps w:val="false"/>
          <w:smallCaps w:val="false"/>
          <w:sz w:val="20"/>
        </w:rPr>
        <w:t>or the negative or plural of such words and similar expressions or variations of such words are intended to identify forward-looking statements but are not the only means of identifying forward-looking statements. Such forward-looking statements are subject to several risks, uncertainties, assumptions and other factors that could cause actual results and the timing of certain events to differ materially from future results expressed or implied by the forward-looking statements. Factors that could cause or contribute to these differences include, but are not limited to, those discussed below and elsewhere in this Report and in our other filings with the Securities and Exchange Commission (</w:t>
      </w:r>
      <w:r>
        <w:rPr>
          <w:rFonts w:ascii="Times New Roman" w:hAnsi="Times New Roman"/>
          <w:b w:val="false"/>
          <w:i w:val="false"/>
          <w:caps w:val="false"/>
          <w:smallCaps w:val="false"/>
          <w:sz w:val="20"/>
        </w:rPr>
        <w:t>“</w:t>
      </w:r>
      <w:r>
        <w:rPr>
          <w:rFonts w:ascii="Times New Roman" w:hAnsi="Times New Roman"/>
          <w:b w:val="false"/>
          <w:i/>
          <w:caps w:val="false"/>
          <w:smallCaps w:val="false"/>
          <w:sz w:val="20"/>
        </w:rPr>
        <w:t>SEC</w:t>
      </w:r>
      <w:r>
        <w:rPr>
          <w:rFonts w:ascii="Times New Roman" w:hAnsi="Times New Roman"/>
          <w:b w:val="false"/>
          <w:i w:val="false"/>
          <w:caps w:val="false"/>
          <w:smallCaps w:val="false"/>
          <w:sz w:val="20"/>
        </w:rPr>
        <w:t>”</w:t>
      </w:r>
      <w:r>
        <w:rPr>
          <w:rFonts w:ascii="Times New Roman" w:hAnsi="Times New Roman"/>
          <w:b w:val="false"/>
          <w:i/>
          <w:caps w:val="false"/>
          <w:smallCaps w:val="false"/>
          <w:sz w:val="20"/>
        </w:rPr>
        <w:t>), including particularly matters set forth under Part I, Item 1A (Risk Factors) of the Annual Report. Furthermore, such forward-looking statements speak only as of the date of this Report. Except as required by law, we undertake no obligation to update any forward-looking statements to reflect events or circumstances after the date of such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sz w:val="20"/>
        </w:rPr>
      </w:pPr>
      <w:r>
        <w:rPr>
          <w:rFonts w:ascii="Times New Roman" w:hAnsi="Times New Roman"/>
          <w:i/>
          <w:sz w:val="20"/>
        </w:rPr>
        <w:t>References in this management’s discussion and analysis to “we,” “us,” “our,” “the Company,” “our Company,” or “Wrap” refer to Wrap Technologies, Inc. and its subsidiaries.</w:t>
      </w:r>
    </w:p>
    <w:p>
      <w:pPr>
        <w:pStyle w:val="TextBody"/>
        <w:bidi w:val="0"/>
        <w:jc w:val="left"/>
        <w:rPr/>
      </w:pPr>
      <w:r>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Overview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a global public safety technology company that delivers non-lethal public safety solutions to law enforcement and security personnel worldwide. Management is pursuing a strategy to expand the Company from a provider of individual non-lethal products toward a provider of an integrated public safety platform that the Company refers to as WrapShield™. WrapShield is designed to connect threat detection, AI-assisted decision support, and proportionate response, with human decision-makers remaining in control. The initial focus for the platform is counter-unmanned aircraft system (“counter-UAS”) applications, and management intends to extend the architecture over time to additional public safety, critical infrastructure, and defense applications. The Company’s current commercial foundation remains the BolaWrap® 150 remote restraint device and its related products and services, and is a critical piece of the platform strategy.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product and service portfolio includes the BolaWrap® device, cassettes and related accessories. We also offer technology-enabled services including Wrap Reality VR training simulator, WrapTactics digital training platform, and WrapVision™ body-worn camera and digital evidence management solution, managed services and policy support.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core offerings are designed to provide officers and agencies with integrated non-lethal tools, training, and tactics that support safer outcomes and sustained readiness across the public safety ecosystem. BolaWrap gives officers a proactive, non-lethal tactical option through a tether deployment system sold with recurring consumable cassettes. In July 2026, the U.S. Bureau of Alcohol, Tobacco, Firearms and Explosives (the “ATF”) issued a ruling classifying the BolaWrap® 150 as an instrument of restraint rather than a firearm or an “any other weapon.” Our non-lethal response offerings are designed to function as a family of instruments of restraint. In addition to the handheld BolaWrap® 150, the Company completed a first operational prototype of Wraptor MX™, a multi-shot restraint platform intended for tactical, corrections, and security environments, and is developing the DFR-X™ drone-deployed restraint system. Wraptor MX and DFR-X are in development and are not yet commercially available.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Wrap Reality and WrapTactics are designed to deliver immersive VR and subscription-based digital training focused on decision-making under stress, use of force judgment, and non-lethal response tactics. WrapVision provides a body-worn camera and cloud-based digital evidence management platform designed to meet federal procurement and data-sovereignty requirements.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also expanding our tether deployment technology into counter UAS and defense applications through our MERLIN program, which management expects to advance within the WrapShield platform, and which targets non-lethal drone interdiction capabilities for defense, homeland security, and critical-infrastructure protection missions.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To establish an advanced-sensing detection capability for the platform, in July 2026 the Company made a strategic investment in Frenel and obtained an exclusive license to its thermal-polarimetric imaging technology for the United States and NATO markets, as further described below under Recent Developments. </w:t>
      </w:r>
    </w:p>
    <w:p>
      <w:pPr>
        <w:pStyle w:val="TextBody"/>
        <w:bidi w:val="0"/>
        <w:spacing w:before="0" w:after="0"/>
        <w:jc w:val="both"/>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19</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caps w:val="false"/>
          <w:smallCaps w:val="false"/>
        </w:rPr>
      </w:pPr>
      <w:r>
        <w:rPr>
          <w:caps w:val="false"/>
          <w:smallCaps w:val="false"/>
        </w:rPr>
        <w:t> </w:t>
      </w:r>
      <w:r>
        <w:rPr>
          <w:rFonts w:ascii="Times New Roman" w:hAnsi="Times New Roman"/>
          <w:b/>
          <w:i w:val="false"/>
          <w:caps w:val="false"/>
          <w:smallCaps w:val="false"/>
          <w:sz w:val="20"/>
        </w:rPr>
        <w:t>Recent Developments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pacing w:val="0"/>
          <w:sz w:val="20"/>
        </w:rPr>
      </w:pPr>
      <w:r>
        <w:rPr>
          <w:rFonts w:ascii="Times New Roman" w:hAnsi="Times New Roman"/>
          <w:b w:val="false"/>
          <w:i w:val="false"/>
          <w:caps w:val="false"/>
          <w:smallCaps w:val="false"/>
          <w:spacing w:val="0"/>
          <w:sz w:val="20"/>
        </w:rPr>
        <w:t xml:space="preserve">The following developments occurred subsequent to June 30, 2026. Except as otherwise noted, they did not affect the Company’s financial position or results of operations for the periods presented, and their effect on future results is uncertain.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caps w:val="false"/>
          <w:smallCaps w:val="false"/>
          <w:spacing w:val="0"/>
          <w:sz w:val="20"/>
        </w:rPr>
      </w:pPr>
      <w:r>
        <w:rPr>
          <w:rFonts w:ascii="Times New Roman" w:hAnsi="Times New Roman"/>
          <w:b w:val="false"/>
          <w:i/>
          <w:caps w:val="false"/>
          <w:smallCaps w:val="false"/>
          <w:spacing w:val="0"/>
          <w:sz w:val="20"/>
        </w:rPr>
        <w:t>ATF Ruling 2026-2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pacing w:val="0"/>
          <w:sz w:val="20"/>
        </w:rPr>
      </w:pPr>
      <w:r>
        <w:rPr>
          <w:rFonts w:ascii="Times New Roman" w:hAnsi="Times New Roman"/>
          <w:b w:val="false"/>
          <w:i w:val="false"/>
          <w:caps w:val="false"/>
          <w:smallCaps w:val="false"/>
          <w:spacing w:val="0"/>
          <w:sz w:val="20"/>
        </w:rPr>
        <w:t xml:space="preserve">In July 2026, ATF Ruling 2026-2 became effective, classifying the BolaWrap® 150 as an instrument of restraint and determining that it is neither a “firearm” under the Gun Control Act or an “any other weapon” under the National Firearms Act. The ruling supersedes prior ATF classifications of the BolaWrap 150. Management believes the ruling may reduce federal regulatory ambiguity that has historically complicated BolaWrap procurement in certain corrections, civilian-safety, and international channels, and may support broader adoption. The ruling addresses the BolaWrap 150 only and does not extend to the Company’s other products.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caps w:val="false"/>
          <w:smallCaps w:val="false"/>
          <w:spacing w:val="0"/>
          <w:sz w:val="20"/>
        </w:rPr>
      </w:pPr>
      <w:r>
        <w:rPr>
          <w:rFonts w:ascii="Times New Roman" w:hAnsi="Times New Roman"/>
          <w:b w:val="false"/>
          <w:i/>
          <w:caps w:val="false"/>
          <w:smallCaps w:val="false"/>
          <w:spacing w:val="0"/>
          <w:sz w:val="20"/>
        </w:rPr>
        <w:t xml:space="preserve">Strategic Investment in Frenel Imaging Ltd.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pacing w:val="0"/>
          <w:sz w:val="20"/>
        </w:rPr>
      </w:pPr>
      <w:r>
        <w:rPr>
          <w:rFonts w:ascii="Times New Roman" w:hAnsi="Times New Roman"/>
          <w:b w:val="false"/>
          <w:i w:val="false"/>
          <w:caps w:val="false"/>
          <w:smallCaps w:val="false"/>
          <w:spacing w:val="0"/>
          <w:sz w:val="20"/>
        </w:rPr>
        <w:t xml:space="preserve">In July 2026, the Company made a strategic investment in Frenel, an advanced-sensing company, and obtained an exclusive license to commercialize Frenel’s TPiCore® thermal-polarimetric imaging technology in the United States and NATO markets. The Company intends to use this technology as the detection layer of the WrapShield platform. The investment and license are in an early stage, and the timing and amount of any resulting revenue are uncertain.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caps w:val="false"/>
          <w:smallCaps w:val="false"/>
          <w:spacing w:val="0"/>
          <w:sz w:val="20"/>
        </w:rPr>
      </w:pPr>
      <w:r>
        <w:rPr>
          <w:rFonts w:ascii="Times New Roman" w:hAnsi="Times New Roman"/>
          <w:b w:val="false"/>
          <w:i/>
          <w:caps w:val="false"/>
          <w:smallCaps w:val="false"/>
          <w:spacing w:val="0"/>
          <w:sz w:val="20"/>
        </w:rPr>
        <w:t xml:space="preserve">WrapShield Platform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pacing w:val="0"/>
          <w:sz w:val="20"/>
        </w:rPr>
      </w:pPr>
      <w:r>
        <w:rPr>
          <w:rFonts w:ascii="Times New Roman" w:hAnsi="Times New Roman"/>
          <w:b w:val="false"/>
          <w:i w:val="false"/>
          <w:caps w:val="false"/>
          <w:smallCaps w:val="false"/>
          <w:spacing w:val="0"/>
          <w:sz w:val="20"/>
        </w:rPr>
        <w:t xml:space="preserve">In July 2026, the Company introduced WrapShield™, a platform strategy intended to integrate threat detection, AI-assisted decision support, command-and-control, and proportionate response into a single operating architecture, with an initial application in counter-UAS. WrapShield is in an early stage of development, and its commercialization, integration, and market adoption are subject to significant uncertainty.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caps w:val="false"/>
          <w:smallCaps w:val="false"/>
          <w:spacing w:val="0"/>
          <w:sz w:val="20"/>
        </w:rPr>
      </w:pPr>
      <w:r>
        <w:rPr>
          <w:rFonts w:ascii="Times New Roman" w:hAnsi="Times New Roman"/>
          <w:b w:val="false"/>
          <w:i/>
          <w:caps w:val="false"/>
          <w:smallCaps w:val="false"/>
          <w:spacing w:val="0"/>
          <w:sz w:val="20"/>
        </w:rPr>
        <w:t>Wraptor MX and Early Adopter Program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pacing w:val="0"/>
          <w:sz w:val="20"/>
        </w:rPr>
      </w:pPr>
      <w:r>
        <w:rPr>
          <w:rFonts w:ascii="Times New Roman" w:hAnsi="Times New Roman"/>
          <w:b w:val="false"/>
          <w:i w:val="false"/>
          <w:caps w:val="false"/>
          <w:smallCaps w:val="false"/>
          <w:spacing w:val="0"/>
          <w:sz w:val="20"/>
        </w:rPr>
        <w:t xml:space="preserve">In July 2026, the Company completed a first operational prototype of Wraptor MX™, a multi-shot non-lethal restraint platform, and opened an early adopter program to select a limited number of law enforcement agencies for pre-commercial access. Wraptor MX is a prototype and is not commercially available. Participation in the early adopter program may not result in orders or revenue.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r>
        <w:rPr>
          <w:rFonts w:ascii="Times New Roman" w:hAnsi="Times New Roman"/>
          <w:b/>
          <w:i w:val="false"/>
          <w:caps w:val="false"/>
          <w:smallCaps w:val="false"/>
          <w:sz w:val="20"/>
        </w:rPr>
        <w:t>Business Outlook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pacing w:val="0"/>
          <w:sz w:val="20"/>
        </w:rPr>
      </w:pPr>
      <w:r>
        <w:rPr>
          <w:rFonts w:ascii="Times New Roman" w:hAnsi="Times New Roman"/>
          <w:b w:val="false"/>
          <w:i w:val="false"/>
          <w:caps w:val="false"/>
          <w:smallCaps w:val="false"/>
          <w:spacing w:val="0"/>
          <w:sz w:val="20"/>
        </w:rPr>
        <w:t xml:space="preserve">We believe demand for integrated non-lethal solutions will continue to be influenced by public expectations for proportional and accountable use of force, evolving legal and policy standards, and increased emphasis on officer safety, community trust, and sustained operational readiness. Modern policing operates under continuous public and legal scrutiny, creating a need for tools, training, and tactics that give officers defensible, proportional options in dynamic encounters. Our business outlook is shaped by our ability to increase adoption of our core products, deepen customer relationships through programmatic training and service delivery, expand recurring revenue, and selectively enter adjacent markets while managing costs and capital resources.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pacing w:val="0"/>
          <w:sz w:val="20"/>
        </w:rPr>
      </w:pPr>
      <w:r>
        <w:rPr>
          <w:rFonts w:ascii="Times New Roman" w:hAnsi="Times New Roman"/>
          <w:b w:val="false"/>
          <w:i w:val="false"/>
          <w:caps w:val="false"/>
          <w:smallCaps w:val="false"/>
          <w:spacing w:val="0"/>
          <w:sz w:val="20"/>
        </w:rPr>
        <w:t xml:space="preserve">In 2026, our near-term focus is on expanding agency-wide deployments of BolaWrap, increasing utilization of our training and subscription-based offerings, including Wrap Reality and WrapTactics, and advancing commercialization efforts for WrapVision. Management believes the recent ATF ruling classifying the BolaWrap 150 as an instrument of restraint may support adoption in certain corrections, civilian-safety, and international channels, although the effect on future results is uncertain. Management also intends to advance the WrapShield platform strategy, including the integration of Frenel’s thermal-polarimetric sensing technology and the continued development of the Wraptor MX and DFR-X non-lethal response systems. These initiatives are in early stages, and the timing and scale of any resulting revenue are uncertain and depend on product development, testing, funding, and government procurement decisions. We also expect to continue evaluating development and demonstration opportunities related to our counter UAS initiatives, although the timing and scale of any resulting revenues remain uncertain and dependent on government testing, funding, and procurement decisions.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pacing w:val="0"/>
          <w:sz w:val="20"/>
        </w:rPr>
      </w:pPr>
      <w:r>
        <w:rPr>
          <w:rFonts w:ascii="Times New Roman" w:hAnsi="Times New Roman"/>
          <w:b w:val="false"/>
          <w:i w:val="false"/>
          <w:caps w:val="false"/>
          <w:smallCaps w:val="false"/>
          <w:spacing w:val="0"/>
          <w:sz w:val="20"/>
        </w:rPr>
        <w:t xml:space="preserve">Our results will continue to be influenced by government budget cycles, procurement processes, and the availability of grant funding at the federal, state, and local levels. We also expect international sales to remain uneven due to centralized procurement processes and the timing of large orders. While we have implemented cost containment initiatives and continue to evaluate our operating structure, we expect to continue incurring operating losses until we achieve sufficient scale, margin improvement, and recurring revenue to offset our fixed costs. </w:t>
      </w:r>
    </w:p>
    <w:p>
      <w:pPr>
        <w:pStyle w:val="TextBody"/>
        <w:bidi w:val="0"/>
        <w:spacing w:before="0" w:after="0"/>
        <w:jc w:val="both"/>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20</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Business Trends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pacing w:val="0"/>
          <w:sz w:val="20"/>
        </w:rPr>
      </w:pPr>
      <w:r>
        <w:rPr>
          <w:rFonts w:ascii="Times New Roman" w:hAnsi="Times New Roman"/>
          <w:b w:val="false"/>
          <w:i w:val="false"/>
          <w:caps w:val="false"/>
          <w:smallCaps w:val="false"/>
          <w:spacing w:val="0"/>
          <w:sz w:val="20"/>
        </w:rPr>
        <w:t xml:space="preserve">Our ability to execute our strategy and improve our financial performance is subject to a number of risks and challenges, many of which are outside of our control. A significant portion of our revenues is derived from government customers, which exposes us to extended sales cycles, budget constraints, procurement delays, and changes in public policy or funding priorities. These factors can result in variability in the timing and amount of revenue recognized and may make it difficult to predict future operating results.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pacing w:val="0"/>
          <w:sz w:val="20"/>
        </w:rPr>
      </w:pPr>
      <w:r>
        <w:rPr>
          <w:rFonts w:ascii="Times New Roman" w:hAnsi="Times New Roman"/>
          <w:b w:val="false"/>
          <w:i w:val="false"/>
          <w:caps w:val="false"/>
          <w:smallCaps w:val="false"/>
          <w:spacing w:val="0"/>
          <w:sz w:val="20"/>
        </w:rPr>
        <w:t xml:space="preserve">We are subject to extensive regulation, including firearms classification, export controls, procurement requirements, and data privacy and cybersecurity regulations. In July 2026, the ATF classified the BolaWrap 150 as an instrument of restraint rather than a firearm, which management believes may reduce certain regulatory friction for that product. This classification applies to the BolaWrap 150 only and does not extend to our other products, and our expansion into advanced sensing, counter-UAS, and defense applications may subject us to additional regulatory regimes, including export controls under the International Traffic in Arms Regulations and the Export Administration Regulations and applicable aviation regulations. Changes in regulatory interpretation or enforcement could adversely affect our ability to manufacture, sell, or distribute our products. Our platform strategy also depends in part on technologies developed by third parties, including Frenel, and on our ability to integrate, commercialize, and support new products.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caps w:val="false"/>
          <w:smallCaps w:val="false"/>
          <w:spacing w:val="0"/>
          <w:sz w:val="20"/>
        </w:rPr>
      </w:pPr>
      <w:r>
        <w:rPr>
          <w:rFonts w:ascii="Times New Roman" w:hAnsi="Times New Roman"/>
          <w:b w:val="false"/>
          <w:i/>
          <w:caps w:val="false"/>
          <w:smallCaps w:val="false"/>
          <w:spacing w:val="0"/>
          <w:sz w:val="20"/>
        </w:rPr>
        <w:t xml:space="preserve">Effects of Inflation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pacing w:val="0"/>
          <w:sz w:val="20"/>
        </w:rPr>
      </w:pPr>
      <w:r>
        <w:rPr>
          <w:rFonts w:ascii="Times New Roman" w:hAnsi="Times New Roman"/>
          <w:b w:val="false"/>
          <w:i w:val="false"/>
          <w:caps w:val="false"/>
          <w:smallCaps w:val="false"/>
          <w:spacing w:val="0"/>
          <w:sz w:val="20"/>
        </w:rPr>
        <w:t xml:space="preserve">The Company has experienced increased costs related to labor and materials, which management attributes in part to inflationary pressures. These cost increases have been driven primarily by higher wage rates, competitive labor market conditions, and increased supplier pricing for certain materials and services. The Company has taken steps to mitigate the impact through cost containment initiatives, workforce reductions, supply chain management efforts, and selective pricing actions where appropriate. However, continued inflationary pressures could result in higher operating costs in future periods, and there can be no assurance that the Company will be able to fully offset such increases through operational efficiencies or pricing adjustments.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pacing w:val="0"/>
          <w:sz w:val="20"/>
        </w:rPr>
      </w:pPr>
      <w:r>
        <w:rPr>
          <w:rFonts w:ascii="Times New Roman" w:hAnsi="Times New Roman"/>
          <w:b/>
          <w:i w:val="false"/>
          <w:caps w:val="false"/>
          <w:smallCaps w:val="false"/>
          <w:spacing w:val="0"/>
          <w:sz w:val="20"/>
        </w:rPr>
        <w:t xml:space="preserve">Segment and Related Information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pacing w:val="0"/>
          <w:sz w:val="20"/>
        </w:rPr>
      </w:pPr>
      <w:r>
        <w:rPr>
          <w:rFonts w:ascii="Times New Roman" w:hAnsi="Times New Roman"/>
          <w:b w:val="false"/>
          <w:i w:val="false"/>
          <w:caps w:val="false"/>
          <w:smallCaps w:val="false"/>
          <w:spacing w:val="0"/>
          <w:sz w:val="20"/>
        </w:rPr>
        <w:t>The Company operates as a single segment. The Company's chief operating decision maker is Scot Cohen, the Company's Executive Chairman and Chief Executive Officer, who manages operations for purposes of allocating resources. See Note 15, Segment Information, to the condensed consolidated financial statements for the significant expense categories regularly reviewed by the CODM and the reconciliation to consolidated loss from operations.</w:t>
      </w:r>
    </w:p>
    <w:p>
      <w:pPr>
        <w:pStyle w:val="TextBody"/>
        <w:bidi w:val="0"/>
        <w:jc w:val="left"/>
        <w:rPr/>
      </w:pPr>
      <w:r>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caps w:val="false"/>
          <w:smallCaps w:val="false"/>
          <w:sz w:val="20"/>
        </w:rPr>
      </w:pPr>
      <w:r>
        <w:rPr>
          <w:rFonts w:ascii="Times New Roman" w:hAnsi="Times New Roman"/>
          <w:b/>
          <w:i/>
          <w:caps w:val="false"/>
          <w:smallCaps w:val="false"/>
          <w:sz w:val="20"/>
        </w:rPr>
        <w:t>Three Months Ended June 30, 2026, Compared to Three Months Ended June 30, 2025 (Unaudited)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sets forth for the periods indicated certain items of our condensed consolidated statement of operations. The financial information and the discussion below should be read in conjunction with the financial statements and notes contained in this Quarterly Report on Form 10-Q.</w:t>
      </w:r>
    </w:p>
    <w:p>
      <w:pPr>
        <w:pStyle w:val="TextBody"/>
        <w:bidi w:val="0"/>
        <w:spacing w:before="0" w:after="0"/>
        <w:jc w:val="both"/>
        <w:rPr>
          <w:caps w:val="false"/>
          <w:smallCaps w:val="false"/>
        </w:rPr>
      </w:pPr>
      <w:r>
        <w:rPr>
          <w:caps w:val="false"/>
          <w:smallCaps w:val="false"/>
        </w:rPr>
        <w:t> </w:t>
      </w:r>
    </w:p>
    <w:tbl>
      <w:tblPr>
        <w:tblW w:w="8643" w:type="dxa"/>
        <w:jc w:val="left"/>
        <w:tblInd w:w="0" w:type="dxa"/>
        <w:tblLayout w:type="fixed"/>
        <w:tblCellMar>
          <w:top w:w="0" w:type="dxa"/>
          <w:left w:w="0" w:type="dxa"/>
          <w:bottom w:w="0" w:type="dxa"/>
          <w:right w:w="0" w:type="dxa"/>
        </w:tblCellMar>
      </w:tblPr>
      <w:tblGrid>
        <w:gridCol w:w="3320"/>
        <w:gridCol w:w="251"/>
        <w:gridCol w:w="985"/>
        <w:gridCol w:w="274"/>
        <w:gridCol w:w="133"/>
        <w:gridCol w:w="251"/>
        <w:gridCol w:w="985"/>
        <w:gridCol w:w="274"/>
        <w:gridCol w:w="90"/>
        <w:gridCol w:w="170"/>
        <w:gridCol w:w="590"/>
        <w:gridCol w:w="185"/>
        <w:gridCol w:w="90"/>
        <w:gridCol w:w="90"/>
        <w:gridCol w:w="590"/>
        <w:gridCol w:w="365"/>
      </w:tblGrid>
      <w:tr>
        <w:trPr/>
        <w:tc>
          <w:tcPr>
            <w:tcW w:w="33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320" w:type="dxa"/>
            <w:tcBorders/>
            <w:vAlign w:val="center"/>
          </w:tcPr>
          <w:p>
            <w:pPr>
              <w:pStyle w:val="TableContents"/>
              <w:bidi w:val="0"/>
              <w:spacing w:before="0" w:after="283"/>
              <w:jc w:val="left"/>
              <w:rPr/>
            </w:pPr>
            <w:r>
              <w:rPr/>
              <w:t> </w:t>
            </w:r>
          </w:p>
        </w:tc>
        <w:tc>
          <w:tcPr>
            <w:tcW w:w="3153" w:type="dxa"/>
            <w:gridSpan w:val="7"/>
            <w:tcBorders>
              <w:bottom w:val="single" w:sz="6" w:space="0" w:color="000000"/>
            </w:tcBorders>
            <w:tcMar>
              <w:bottom w:w="28" w:type="dxa"/>
            </w:tcMar>
            <w:vAlign w:val="center"/>
          </w:tcPr>
          <w:p>
            <w:pPr>
              <w:pStyle w:val="TableContents"/>
              <w:bidi w:val="0"/>
              <w:spacing w:before="0" w:after="283"/>
              <w:jc w:val="center"/>
              <w:rPr>
                <w:b/>
              </w:rPr>
            </w:pPr>
            <w:r>
              <w:rPr>
                <w:b/>
              </w:rPr>
              <w:t>Three Months Ended June 30,</w:t>
            </w:r>
          </w:p>
        </w:tc>
        <w:tc>
          <w:tcPr>
            <w:tcW w:w="90" w:type="dxa"/>
            <w:tcBorders/>
            <w:vAlign w:val="center"/>
          </w:tcPr>
          <w:p>
            <w:pPr>
              <w:pStyle w:val="TableContents"/>
              <w:bidi w:val="0"/>
              <w:spacing w:before="0" w:after="283"/>
              <w:jc w:val="left"/>
              <w:rPr/>
            </w:pPr>
            <w:r>
              <w:rPr/>
              <w:t> </w:t>
            </w:r>
          </w:p>
        </w:tc>
        <w:tc>
          <w:tcPr>
            <w:tcW w:w="2080" w:type="dxa"/>
            <w:gridSpan w:val="7"/>
            <w:tcBorders>
              <w:bottom w:val="single" w:sz="6" w:space="0" w:color="000000"/>
            </w:tcBorders>
            <w:tcMar>
              <w:bottom w:w="28" w:type="dxa"/>
            </w:tcMar>
            <w:vAlign w:val="center"/>
          </w:tcPr>
          <w:p>
            <w:pPr>
              <w:pStyle w:val="TableContents"/>
              <w:bidi w:val="0"/>
              <w:spacing w:before="0" w:after="283"/>
              <w:jc w:val="center"/>
              <w:rPr>
                <w:b/>
              </w:rPr>
            </w:pPr>
            <w:r>
              <w:rPr>
                <w:b/>
              </w:rPr>
              <w:t>Change</w:t>
            </w:r>
          </w:p>
        </w:tc>
      </w:tr>
      <w:tr>
        <w:trPr/>
        <w:tc>
          <w:tcPr>
            <w:tcW w:w="3320" w:type="dxa"/>
            <w:tcBorders/>
            <w:vAlign w:val="center"/>
          </w:tcPr>
          <w:p>
            <w:pPr>
              <w:pStyle w:val="TableContents"/>
              <w:bidi w:val="0"/>
              <w:spacing w:before="0" w:after="283"/>
              <w:jc w:val="left"/>
              <w:rPr/>
            </w:pPr>
            <w:r>
              <w:rPr/>
              <w:t> </w:t>
            </w:r>
          </w:p>
        </w:tc>
        <w:tc>
          <w:tcPr>
            <w:tcW w:w="251" w:type="dxa"/>
            <w:tcBorders>
              <w:bottom w:val="single" w:sz="6" w:space="0" w:color="000000"/>
            </w:tcBorders>
            <w:tcMar>
              <w:bottom w:w="28" w:type="dxa"/>
            </w:tcMar>
            <w:vAlign w:val="center"/>
          </w:tcPr>
          <w:p>
            <w:pPr>
              <w:pStyle w:val="TableContents"/>
              <w:bidi w:val="0"/>
              <w:spacing w:before="0" w:after="283"/>
              <w:jc w:val="left"/>
              <w:rPr/>
            </w:pPr>
            <w:r>
              <w:rPr/>
              <w:t> </w:t>
            </w:r>
          </w:p>
        </w:tc>
        <w:tc>
          <w:tcPr>
            <w:tcW w:w="985"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274" w:type="dxa"/>
            <w:tcBorders>
              <w:bottom w:val="single" w:sz="6" w:space="0" w:color="000000"/>
            </w:tcBorders>
            <w:tcMar>
              <w:bottom w:w="28" w:type="dxa"/>
            </w:tcMar>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251" w:type="dxa"/>
            <w:tcBorders>
              <w:bottom w:val="single" w:sz="6" w:space="0" w:color="000000"/>
            </w:tcBorders>
            <w:tcMar>
              <w:bottom w:w="28" w:type="dxa"/>
            </w:tcMar>
            <w:vAlign w:val="center"/>
          </w:tcPr>
          <w:p>
            <w:pPr>
              <w:pStyle w:val="TableContents"/>
              <w:bidi w:val="0"/>
              <w:spacing w:before="0" w:after="283"/>
              <w:jc w:val="left"/>
              <w:rPr/>
            </w:pPr>
            <w:r>
              <w:rPr/>
              <w:t> </w:t>
            </w:r>
          </w:p>
        </w:tc>
        <w:tc>
          <w:tcPr>
            <w:tcW w:w="985"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274"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tcMar>
              <w:bottom w:w="28" w:type="dxa"/>
            </w:tcMar>
            <w:vAlign w:val="center"/>
          </w:tcPr>
          <w:p>
            <w:pPr>
              <w:pStyle w:val="TableContents"/>
              <w:bidi w:val="0"/>
              <w:spacing w:before="0" w:after="283"/>
              <w:jc w:val="center"/>
              <w:rPr>
                <w:b/>
              </w:rPr>
            </w:pPr>
            <w:r>
              <w:rPr>
                <w:b/>
              </w:rPr>
              <w:t>$</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tcMar>
              <w:bottom w:w="28" w:type="dxa"/>
            </w:tcMar>
            <w:vAlign w:val="center"/>
          </w:tcPr>
          <w:p>
            <w:pPr>
              <w:pStyle w:val="TableContents"/>
              <w:bidi w:val="0"/>
              <w:spacing w:before="0" w:after="283"/>
              <w:jc w:val="center"/>
              <w:rPr>
                <w:b/>
              </w:rPr>
            </w:pPr>
            <w:r>
              <w:rPr>
                <w:b/>
              </w:rPr>
              <w:t>%</w:t>
            </w:r>
          </w:p>
        </w:tc>
        <w:tc>
          <w:tcPr>
            <w:tcW w:w="36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center"/>
              <w:rPr/>
            </w:pPr>
            <w:r>
              <w:rPr/>
              <w:t> </w:t>
            </w:r>
          </w:p>
        </w:tc>
        <w:tc>
          <w:tcPr>
            <w:tcW w:w="98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Revenues:</w:t>
            </w:r>
          </w:p>
        </w:tc>
        <w:tc>
          <w:tcPr>
            <w:tcW w:w="251"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Product sales</w:t>
            </w:r>
          </w:p>
        </w:tc>
        <w:tc>
          <w:tcPr>
            <w:tcW w:w="251" w:type="dxa"/>
            <w:tcBorders/>
            <w:shd w:fill="CCEEFF" w:val="clear"/>
            <w:vAlign w:val="center"/>
          </w:tcPr>
          <w:p>
            <w:pPr>
              <w:pStyle w:val="TableContents"/>
              <w:bidi w:val="0"/>
              <w:spacing w:before="0" w:after="283"/>
              <w:jc w:val="left"/>
              <w:rPr/>
            </w:pPr>
            <w:r>
              <w:rPr/>
              <w:t>$</w:t>
            </w:r>
          </w:p>
        </w:tc>
        <w:tc>
          <w:tcPr>
            <w:tcW w:w="985" w:type="dxa"/>
            <w:tcBorders/>
            <w:shd w:fill="CCEEFF" w:val="clear"/>
            <w:vAlign w:val="center"/>
          </w:tcPr>
          <w:p>
            <w:pPr>
              <w:pStyle w:val="TableContents"/>
              <w:bidi w:val="0"/>
              <w:spacing w:before="0" w:after="283"/>
              <w:jc w:val="right"/>
              <w:rPr/>
            </w:pPr>
            <w:r>
              <w:rPr/>
              <w:t>1,747</w:t>
            </w:r>
          </w:p>
        </w:tc>
        <w:tc>
          <w:tcPr>
            <w:tcW w:w="27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985" w:type="dxa"/>
            <w:tcBorders/>
            <w:shd w:fill="CCEEFF" w:val="clear"/>
            <w:vAlign w:val="center"/>
          </w:tcPr>
          <w:p>
            <w:pPr>
              <w:pStyle w:val="TableContents"/>
              <w:bidi w:val="0"/>
              <w:spacing w:before="0" w:after="283"/>
              <w:jc w:val="right"/>
              <w:rPr/>
            </w:pPr>
            <w:r>
              <w:rPr/>
              <w:t>50</w:t>
            </w:r>
          </w:p>
        </w:tc>
        <w:tc>
          <w:tcPr>
            <w:tcW w:w="27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1,697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3,394</w:t>
            </w:r>
          </w:p>
        </w:tc>
        <w:tc>
          <w:tcPr>
            <w:tcW w:w="365" w:type="dxa"/>
            <w:tcBorders/>
            <w:shd w:fill="CCEEFF" w:val="clear"/>
            <w:vAlign w:val="center"/>
          </w:tcPr>
          <w:p>
            <w:pPr>
              <w:pStyle w:val="TableContents"/>
              <w:bidi w:val="0"/>
              <w:spacing w:before="0" w:after="283"/>
              <w:jc w:val="left"/>
              <w:rPr/>
            </w:pPr>
            <w:r>
              <w:rPr/>
              <w:t>%</w:t>
            </w:r>
          </w:p>
        </w:tc>
      </w:tr>
      <w:tr>
        <w:trPr/>
        <w:tc>
          <w:tcPr>
            <w:tcW w:w="3320" w:type="dxa"/>
            <w:tcBorders/>
            <w:vAlign w:val="center"/>
          </w:tcPr>
          <w:p>
            <w:pPr>
              <w:pStyle w:val="TableContents"/>
              <w:bidi w:val="0"/>
              <w:spacing w:before="0" w:after="283"/>
              <w:jc w:val="left"/>
              <w:rPr/>
            </w:pPr>
            <w:r>
              <w:rPr/>
              <w:t>Technology enabled services</w:t>
            </w:r>
          </w:p>
        </w:tc>
        <w:tc>
          <w:tcPr>
            <w:tcW w:w="251" w:type="dxa"/>
            <w:tcBorders>
              <w:bottom w:val="single" w:sz="6" w:space="0" w:color="000000"/>
            </w:tcBorders>
            <w:tcMar>
              <w:bottom w:w="28" w:type="dxa"/>
            </w:tcMar>
            <w:vAlign w:val="center"/>
          </w:tcPr>
          <w:p>
            <w:pPr>
              <w:pStyle w:val="TableContents"/>
              <w:bidi w:val="0"/>
              <w:spacing w:before="0" w:after="283"/>
              <w:jc w:val="left"/>
              <w:rPr/>
            </w:pPr>
            <w:r>
              <w:rPr/>
              <w:t> </w:t>
            </w:r>
          </w:p>
        </w:tc>
        <w:tc>
          <w:tcPr>
            <w:tcW w:w="985" w:type="dxa"/>
            <w:tcBorders>
              <w:bottom w:val="single" w:sz="6" w:space="0" w:color="000000"/>
            </w:tcBorders>
            <w:tcMar>
              <w:bottom w:w="28" w:type="dxa"/>
            </w:tcMar>
            <w:vAlign w:val="center"/>
          </w:tcPr>
          <w:p>
            <w:pPr>
              <w:pStyle w:val="TableContents"/>
              <w:bidi w:val="0"/>
              <w:spacing w:before="0" w:after="283"/>
              <w:jc w:val="right"/>
              <w:rPr/>
            </w:pPr>
            <w:r>
              <w:rPr/>
              <w:t>305</w:t>
            </w:r>
          </w:p>
        </w:tc>
        <w:tc>
          <w:tcPr>
            <w:tcW w:w="274" w:type="dxa"/>
            <w:tcBorders>
              <w:bottom w:val="single" w:sz="6" w:space="0" w:color="000000"/>
            </w:tcBorders>
            <w:tcMar>
              <w:bottom w:w="28" w:type="dxa"/>
            </w:tcMar>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251" w:type="dxa"/>
            <w:tcBorders>
              <w:bottom w:val="single" w:sz="6" w:space="0" w:color="000000"/>
            </w:tcBorders>
            <w:tcMar>
              <w:bottom w:w="28" w:type="dxa"/>
            </w:tcMar>
            <w:vAlign w:val="center"/>
          </w:tcPr>
          <w:p>
            <w:pPr>
              <w:pStyle w:val="TableContents"/>
              <w:bidi w:val="0"/>
              <w:spacing w:before="0" w:after="283"/>
              <w:jc w:val="left"/>
              <w:rPr/>
            </w:pPr>
            <w:r>
              <w:rPr/>
              <w:t> </w:t>
            </w:r>
          </w:p>
        </w:tc>
        <w:tc>
          <w:tcPr>
            <w:tcW w:w="985" w:type="dxa"/>
            <w:tcBorders>
              <w:bottom w:val="single" w:sz="6" w:space="0" w:color="000000"/>
            </w:tcBorders>
            <w:tcMar>
              <w:bottom w:w="28" w:type="dxa"/>
            </w:tcMar>
            <w:vAlign w:val="center"/>
          </w:tcPr>
          <w:p>
            <w:pPr>
              <w:pStyle w:val="TableContents"/>
              <w:bidi w:val="0"/>
              <w:spacing w:before="0" w:after="283"/>
              <w:jc w:val="right"/>
              <w:rPr/>
            </w:pPr>
            <w:r>
              <w:rPr/>
              <w:t>962</w:t>
            </w:r>
          </w:p>
        </w:tc>
        <w:tc>
          <w:tcPr>
            <w:tcW w:w="274"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tcMar>
              <w:bottom w:w="28" w:type="dxa"/>
            </w:tcMar>
            <w:vAlign w:val="center"/>
          </w:tcPr>
          <w:p>
            <w:pPr>
              <w:pStyle w:val="TableContents"/>
              <w:bidi w:val="0"/>
              <w:spacing w:before="0" w:after="283"/>
              <w:jc w:val="right"/>
              <w:rPr/>
            </w:pPr>
            <w:r>
              <w:rPr/>
              <w:t>(657</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(68</w:t>
            </w:r>
          </w:p>
        </w:tc>
        <w:tc>
          <w:tcPr>
            <w:tcW w:w="365" w:type="dxa"/>
            <w:tcBorders/>
            <w:vAlign w:val="center"/>
          </w:tcPr>
          <w:p>
            <w:pPr>
              <w:pStyle w:val="TableContents"/>
              <w:bidi w:val="0"/>
              <w:spacing w:before="0" w:after="283"/>
              <w:jc w:val="left"/>
              <w:rPr/>
            </w:pPr>
            <w:r>
              <w:rPr/>
              <w:t>)%</w:t>
            </w:r>
          </w:p>
        </w:tc>
      </w:tr>
      <w:tr>
        <w:trPr/>
        <w:tc>
          <w:tcPr>
            <w:tcW w:w="3320" w:type="dxa"/>
            <w:tcBorders/>
            <w:shd w:fill="CCEEFF" w:val="clear"/>
            <w:vAlign w:val="center"/>
          </w:tcPr>
          <w:p>
            <w:pPr>
              <w:pStyle w:val="TableContents"/>
              <w:bidi w:val="0"/>
              <w:spacing w:before="0" w:after="283"/>
              <w:jc w:val="left"/>
              <w:rPr/>
            </w:pPr>
            <w:r>
              <w:rPr/>
              <w:t>Total revenues</w:t>
            </w:r>
          </w:p>
        </w:tc>
        <w:tc>
          <w:tcPr>
            <w:tcW w:w="251"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pPr>
            <w:r>
              <w:rPr/>
              <w:t>2,052</w:t>
            </w:r>
          </w:p>
        </w:tc>
        <w:tc>
          <w:tcPr>
            <w:tcW w:w="27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pPr>
            <w:r>
              <w:rPr/>
              <w:t>1,012</w:t>
            </w:r>
          </w:p>
        </w:tc>
        <w:tc>
          <w:tcPr>
            <w:tcW w:w="27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1,040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103</w:t>
            </w:r>
          </w:p>
        </w:tc>
        <w:tc>
          <w:tcPr>
            <w:tcW w:w="365" w:type="dxa"/>
            <w:tcBorders/>
            <w:shd w:fill="CCEEFF" w:val="clear"/>
            <w:vAlign w:val="center"/>
          </w:tcPr>
          <w:p>
            <w:pPr>
              <w:pStyle w:val="TableContents"/>
              <w:bidi w:val="0"/>
              <w:spacing w:before="0" w:after="283"/>
              <w:jc w:val="left"/>
              <w:rPr/>
            </w:pPr>
            <w:r>
              <w:rPr/>
              <w:t>%</w:t>
            </w:r>
          </w:p>
        </w:tc>
      </w:tr>
      <w:tr>
        <w:trPr/>
        <w:tc>
          <w:tcPr>
            <w:tcW w:w="33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Cost of revenues</w:t>
            </w:r>
          </w:p>
        </w:tc>
        <w:tc>
          <w:tcPr>
            <w:tcW w:w="251"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85" w:type="dxa"/>
            <w:tcBorders>
              <w:bottom w:val="single" w:sz="6" w:space="0" w:color="000000"/>
            </w:tcBorders>
            <w:shd w:fill="CCEEFF" w:val="clear"/>
            <w:tcMar>
              <w:bottom w:w="28" w:type="dxa"/>
            </w:tcMar>
            <w:vAlign w:val="center"/>
          </w:tcPr>
          <w:p>
            <w:pPr>
              <w:pStyle w:val="TableContents"/>
              <w:bidi w:val="0"/>
              <w:spacing w:before="0" w:after="283"/>
              <w:jc w:val="right"/>
              <w:rPr/>
            </w:pPr>
            <w:r>
              <w:rPr/>
              <w:t>507</w:t>
            </w:r>
          </w:p>
        </w:tc>
        <w:tc>
          <w:tcPr>
            <w:tcW w:w="274"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51"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85" w:type="dxa"/>
            <w:tcBorders>
              <w:bottom w:val="single" w:sz="6" w:space="0" w:color="000000"/>
            </w:tcBorders>
            <w:shd w:fill="CCEEFF" w:val="clear"/>
            <w:tcMar>
              <w:bottom w:w="28" w:type="dxa"/>
            </w:tcMar>
            <w:vAlign w:val="center"/>
          </w:tcPr>
          <w:p>
            <w:pPr>
              <w:pStyle w:val="TableContents"/>
              <w:bidi w:val="0"/>
              <w:spacing w:before="0" w:after="283"/>
              <w:jc w:val="right"/>
              <w:rPr/>
            </w:pPr>
            <w:r>
              <w:rPr/>
              <w:t>525</w:t>
            </w:r>
          </w:p>
        </w:tc>
        <w:tc>
          <w:tcPr>
            <w:tcW w:w="274"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shd w:fill="CCEEFF" w:val="clear"/>
            <w:tcMar>
              <w:bottom w:w="28" w:type="dxa"/>
            </w:tcMar>
            <w:vAlign w:val="center"/>
          </w:tcPr>
          <w:p>
            <w:pPr>
              <w:pStyle w:val="TableContents"/>
              <w:bidi w:val="0"/>
              <w:spacing w:before="0" w:after="283"/>
              <w:jc w:val="right"/>
              <w:rPr/>
            </w:pPr>
            <w:r>
              <w:rPr/>
              <w:t>(18</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(3</w:t>
            </w:r>
          </w:p>
        </w:tc>
        <w:tc>
          <w:tcPr>
            <w:tcW w:w="365" w:type="dxa"/>
            <w:tcBorders/>
            <w:shd w:fill="CCEEFF" w:val="clear"/>
            <w:vAlign w:val="center"/>
          </w:tcPr>
          <w:p>
            <w:pPr>
              <w:pStyle w:val="TableContents"/>
              <w:bidi w:val="0"/>
              <w:spacing w:before="0" w:after="283"/>
              <w:jc w:val="left"/>
              <w:rPr/>
            </w:pPr>
            <w:r>
              <w:rPr/>
              <w:t>)%</w:t>
            </w:r>
          </w:p>
        </w:tc>
      </w:tr>
      <w:tr>
        <w:trPr/>
        <w:tc>
          <w:tcPr>
            <w:tcW w:w="3320" w:type="dxa"/>
            <w:tcBorders/>
            <w:vAlign w:val="center"/>
          </w:tcPr>
          <w:p>
            <w:pPr>
              <w:pStyle w:val="TableContents"/>
              <w:bidi w:val="0"/>
              <w:spacing w:before="0" w:after="283"/>
              <w:jc w:val="left"/>
              <w:rPr/>
            </w:pPr>
            <w:r>
              <w:rPr/>
              <w:t>Gross profit</w:t>
            </w:r>
          </w:p>
        </w:tc>
        <w:tc>
          <w:tcPr>
            <w:tcW w:w="251"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right"/>
              <w:rPr/>
            </w:pPr>
            <w:r>
              <w:rPr/>
              <w:t>1,545</w:t>
            </w:r>
          </w:p>
        </w:tc>
        <w:tc>
          <w:tcPr>
            <w:tcW w:w="274"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right"/>
              <w:rPr/>
            </w:pPr>
            <w:r>
              <w:rPr/>
              <w:t>487</w:t>
            </w:r>
          </w:p>
        </w:tc>
        <w:tc>
          <w:tcPr>
            <w:tcW w:w="27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1,058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217</w:t>
            </w:r>
          </w:p>
        </w:tc>
        <w:tc>
          <w:tcPr>
            <w:tcW w:w="365" w:type="dxa"/>
            <w:tcBorders/>
            <w:vAlign w:val="center"/>
          </w:tcPr>
          <w:p>
            <w:pPr>
              <w:pStyle w:val="TableContents"/>
              <w:bidi w:val="0"/>
              <w:spacing w:before="0" w:after="283"/>
              <w:jc w:val="left"/>
              <w:rPr/>
            </w:pPr>
            <w:r>
              <w:rPr/>
              <w:t>%</w:t>
            </w:r>
          </w:p>
        </w:tc>
      </w:tr>
      <w:tr>
        <w:trPr/>
        <w:tc>
          <w:tcPr>
            <w:tcW w:w="33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Operating expenses:</w:t>
            </w:r>
          </w:p>
        </w:tc>
        <w:tc>
          <w:tcPr>
            <w:tcW w:w="251"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Selling, general and administrative</w:t>
            </w:r>
          </w:p>
        </w:tc>
        <w:tc>
          <w:tcPr>
            <w:tcW w:w="251"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pPr>
            <w:r>
              <w:rPr/>
              <w:t>3,644</w:t>
            </w:r>
          </w:p>
        </w:tc>
        <w:tc>
          <w:tcPr>
            <w:tcW w:w="27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pPr>
            <w:r>
              <w:rPr/>
              <w:t>3,181</w:t>
            </w:r>
          </w:p>
        </w:tc>
        <w:tc>
          <w:tcPr>
            <w:tcW w:w="27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463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15</w:t>
            </w:r>
          </w:p>
        </w:tc>
        <w:tc>
          <w:tcPr>
            <w:tcW w:w="365" w:type="dxa"/>
            <w:tcBorders/>
            <w:shd w:fill="CCEEFF" w:val="clear"/>
            <w:vAlign w:val="center"/>
          </w:tcPr>
          <w:p>
            <w:pPr>
              <w:pStyle w:val="TableContents"/>
              <w:bidi w:val="0"/>
              <w:spacing w:before="0" w:after="283"/>
              <w:jc w:val="left"/>
              <w:rPr/>
            </w:pPr>
            <w:r>
              <w:rPr/>
              <w:t>%</w:t>
            </w:r>
          </w:p>
        </w:tc>
      </w:tr>
      <w:tr>
        <w:trPr/>
        <w:tc>
          <w:tcPr>
            <w:tcW w:w="3320" w:type="dxa"/>
            <w:tcBorders/>
            <w:vAlign w:val="center"/>
          </w:tcPr>
          <w:p>
            <w:pPr>
              <w:pStyle w:val="TableContents"/>
              <w:bidi w:val="0"/>
              <w:spacing w:before="0" w:after="283"/>
              <w:jc w:val="left"/>
              <w:rPr/>
            </w:pPr>
            <w:r>
              <w:rPr/>
              <w:t>Research and development</w:t>
            </w:r>
          </w:p>
        </w:tc>
        <w:tc>
          <w:tcPr>
            <w:tcW w:w="251" w:type="dxa"/>
            <w:tcBorders>
              <w:bottom w:val="single" w:sz="6" w:space="0" w:color="000000"/>
            </w:tcBorders>
            <w:tcMar>
              <w:bottom w:w="28" w:type="dxa"/>
            </w:tcMar>
            <w:vAlign w:val="center"/>
          </w:tcPr>
          <w:p>
            <w:pPr>
              <w:pStyle w:val="TableContents"/>
              <w:bidi w:val="0"/>
              <w:spacing w:before="0" w:after="283"/>
              <w:jc w:val="left"/>
              <w:rPr/>
            </w:pPr>
            <w:r>
              <w:rPr/>
              <w:t> </w:t>
            </w:r>
          </w:p>
        </w:tc>
        <w:tc>
          <w:tcPr>
            <w:tcW w:w="985" w:type="dxa"/>
            <w:tcBorders>
              <w:bottom w:val="single" w:sz="6" w:space="0" w:color="000000"/>
            </w:tcBorders>
            <w:tcMar>
              <w:bottom w:w="28" w:type="dxa"/>
            </w:tcMar>
            <w:vAlign w:val="center"/>
          </w:tcPr>
          <w:p>
            <w:pPr>
              <w:pStyle w:val="TableContents"/>
              <w:bidi w:val="0"/>
              <w:spacing w:before="0" w:after="283"/>
              <w:jc w:val="right"/>
              <w:rPr/>
            </w:pPr>
            <w:r>
              <w:rPr/>
              <w:t>152</w:t>
            </w:r>
          </w:p>
        </w:tc>
        <w:tc>
          <w:tcPr>
            <w:tcW w:w="274" w:type="dxa"/>
            <w:tcBorders>
              <w:bottom w:val="single" w:sz="6" w:space="0" w:color="000000"/>
            </w:tcBorders>
            <w:tcMar>
              <w:bottom w:w="28" w:type="dxa"/>
            </w:tcMar>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251" w:type="dxa"/>
            <w:tcBorders>
              <w:bottom w:val="single" w:sz="6" w:space="0" w:color="000000"/>
            </w:tcBorders>
            <w:tcMar>
              <w:bottom w:w="28" w:type="dxa"/>
            </w:tcMar>
            <w:vAlign w:val="center"/>
          </w:tcPr>
          <w:p>
            <w:pPr>
              <w:pStyle w:val="TableContents"/>
              <w:bidi w:val="0"/>
              <w:spacing w:before="0" w:after="283"/>
              <w:jc w:val="left"/>
              <w:rPr/>
            </w:pPr>
            <w:r>
              <w:rPr/>
              <w:t> </w:t>
            </w:r>
          </w:p>
        </w:tc>
        <w:tc>
          <w:tcPr>
            <w:tcW w:w="985" w:type="dxa"/>
            <w:tcBorders>
              <w:bottom w:val="single" w:sz="6" w:space="0" w:color="000000"/>
            </w:tcBorders>
            <w:tcMar>
              <w:bottom w:w="28" w:type="dxa"/>
            </w:tcMar>
            <w:vAlign w:val="center"/>
          </w:tcPr>
          <w:p>
            <w:pPr>
              <w:pStyle w:val="TableContents"/>
              <w:bidi w:val="0"/>
              <w:spacing w:before="0" w:after="283"/>
              <w:jc w:val="right"/>
              <w:rPr/>
            </w:pPr>
            <w:r>
              <w:rPr/>
              <w:t>162</w:t>
            </w:r>
          </w:p>
        </w:tc>
        <w:tc>
          <w:tcPr>
            <w:tcW w:w="274"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tcMar>
              <w:bottom w:w="28" w:type="dxa"/>
            </w:tcMar>
            <w:vAlign w:val="center"/>
          </w:tcPr>
          <w:p>
            <w:pPr>
              <w:pStyle w:val="TableContents"/>
              <w:bidi w:val="0"/>
              <w:spacing w:before="0" w:after="283"/>
              <w:jc w:val="right"/>
              <w:rPr/>
            </w:pPr>
            <w:r>
              <w:rPr/>
              <w:t>(10</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(6</w:t>
            </w:r>
          </w:p>
        </w:tc>
        <w:tc>
          <w:tcPr>
            <w:tcW w:w="365" w:type="dxa"/>
            <w:tcBorders/>
            <w:vAlign w:val="center"/>
          </w:tcPr>
          <w:p>
            <w:pPr>
              <w:pStyle w:val="TableContents"/>
              <w:bidi w:val="0"/>
              <w:spacing w:before="0" w:after="283"/>
              <w:jc w:val="left"/>
              <w:rPr/>
            </w:pPr>
            <w:r>
              <w:rPr/>
              <w:t>)%</w:t>
            </w:r>
          </w:p>
        </w:tc>
      </w:tr>
      <w:tr>
        <w:trPr/>
        <w:tc>
          <w:tcPr>
            <w:tcW w:w="3320" w:type="dxa"/>
            <w:tcBorders/>
            <w:shd w:fill="CCEEFF" w:val="clear"/>
            <w:vAlign w:val="center"/>
          </w:tcPr>
          <w:p>
            <w:pPr>
              <w:pStyle w:val="TableContents"/>
              <w:bidi w:val="0"/>
              <w:spacing w:before="0" w:after="283"/>
              <w:jc w:val="left"/>
              <w:rPr/>
            </w:pPr>
            <w:r>
              <w:rPr/>
              <w:t>Total operating expenses</w:t>
            </w:r>
          </w:p>
        </w:tc>
        <w:tc>
          <w:tcPr>
            <w:tcW w:w="251"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85" w:type="dxa"/>
            <w:tcBorders>
              <w:bottom w:val="single" w:sz="6" w:space="0" w:color="000000"/>
            </w:tcBorders>
            <w:shd w:fill="CCEEFF" w:val="clear"/>
            <w:tcMar>
              <w:bottom w:w="28" w:type="dxa"/>
            </w:tcMar>
            <w:vAlign w:val="center"/>
          </w:tcPr>
          <w:p>
            <w:pPr>
              <w:pStyle w:val="TableContents"/>
              <w:bidi w:val="0"/>
              <w:spacing w:before="0" w:after="283"/>
              <w:jc w:val="right"/>
              <w:rPr/>
            </w:pPr>
            <w:r>
              <w:rPr/>
              <w:t>3,796</w:t>
            </w:r>
          </w:p>
        </w:tc>
        <w:tc>
          <w:tcPr>
            <w:tcW w:w="274"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51"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85" w:type="dxa"/>
            <w:tcBorders>
              <w:bottom w:val="single" w:sz="6" w:space="0" w:color="000000"/>
            </w:tcBorders>
            <w:shd w:fill="CCEEFF" w:val="clear"/>
            <w:tcMar>
              <w:bottom w:w="28" w:type="dxa"/>
            </w:tcMar>
            <w:vAlign w:val="center"/>
          </w:tcPr>
          <w:p>
            <w:pPr>
              <w:pStyle w:val="TableContents"/>
              <w:bidi w:val="0"/>
              <w:spacing w:before="0" w:after="283"/>
              <w:jc w:val="right"/>
              <w:rPr/>
            </w:pPr>
            <w:r>
              <w:rPr/>
              <w:t>3,343</w:t>
            </w:r>
          </w:p>
        </w:tc>
        <w:tc>
          <w:tcPr>
            <w:tcW w:w="274"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shd w:fill="CCEEFF" w:val="clear"/>
            <w:tcMar>
              <w:bottom w:w="28" w:type="dxa"/>
            </w:tcMar>
            <w:vAlign w:val="center"/>
          </w:tcPr>
          <w:p>
            <w:pPr>
              <w:pStyle w:val="TableContents"/>
              <w:bidi w:val="0"/>
              <w:spacing w:before="0" w:after="283"/>
              <w:jc w:val="right"/>
              <w:rPr/>
            </w:pPr>
            <w:r>
              <w:rPr/>
              <w:t>453</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14</w:t>
            </w:r>
          </w:p>
        </w:tc>
        <w:tc>
          <w:tcPr>
            <w:tcW w:w="365" w:type="dxa"/>
            <w:tcBorders/>
            <w:shd w:fill="CCEEFF" w:val="clear"/>
            <w:vAlign w:val="center"/>
          </w:tcPr>
          <w:p>
            <w:pPr>
              <w:pStyle w:val="TableContents"/>
              <w:bidi w:val="0"/>
              <w:spacing w:before="0" w:after="283"/>
              <w:jc w:val="left"/>
              <w:rPr/>
            </w:pPr>
            <w:r>
              <w:rPr/>
              <w:t>%</w:t>
            </w:r>
          </w:p>
        </w:tc>
      </w:tr>
      <w:tr>
        <w:trPr/>
        <w:tc>
          <w:tcPr>
            <w:tcW w:w="3320" w:type="dxa"/>
            <w:tcBorders/>
            <w:vAlign w:val="center"/>
          </w:tcPr>
          <w:p>
            <w:pPr>
              <w:pStyle w:val="TableContents"/>
              <w:bidi w:val="0"/>
              <w:spacing w:before="0" w:after="283"/>
              <w:jc w:val="left"/>
              <w:rPr/>
            </w:pPr>
            <w:r>
              <w:rPr/>
              <w:t>Loss from operations</w:t>
            </w:r>
          </w:p>
        </w:tc>
        <w:tc>
          <w:tcPr>
            <w:tcW w:w="251" w:type="dxa"/>
            <w:tcBorders>
              <w:bottom w:val="single" w:sz="6" w:space="0" w:color="000000"/>
            </w:tcBorders>
            <w:tcMar>
              <w:bottom w:w="28" w:type="dxa"/>
            </w:tcMar>
            <w:vAlign w:val="center"/>
          </w:tcPr>
          <w:p>
            <w:pPr>
              <w:pStyle w:val="TableContents"/>
              <w:bidi w:val="0"/>
              <w:spacing w:before="0" w:after="283"/>
              <w:jc w:val="left"/>
              <w:rPr/>
            </w:pPr>
            <w:r>
              <w:rPr/>
              <w:t>$</w:t>
            </w:r>
          </w:p>
        </w:tc>
        <w:tc>
          <w:tcPr>
            <w:tcW w:w="985" w:type="dxa"/>
            <w:tcBorders>
              <w:bottom w:val="single" w:sz="6" w:space="0" w:color="000000"/>
            </w:tcBorders>
            <w:tcMar>
              <w:bottom w:w="28" w:type="dxa"/>
            </w:tcMar>
            <w:vAlign w:val="center"/>
          </w:tcPr>
          <w:p>
            <w:pPr>
              <w:pStyle w:val="TableContents"/>
              <w:bidi w:val="0"/>
              <w:spacing w:before="0" w:after="283"/>
              <w:jc w:val="right"/>
              <w:rPr/>
            </w:pPr>
            <w:r>
              <w:rPr/>
              <w:t>(2,251</w:t>
            </w:r>
          </w:p>
        </w:tc>
        <w:tc>
          <w:tcPr>
            <w:tcW w:w="274" w:type="dxa"/>
            <w:tcBorders>
              <w:bottom w:val="single" w:sz="6" w:space="0" w:color="000000"/>
            </w:tcBorders>
            <w:tcMar>
              <w:bottom w:w="28" w:type="dxa"/>
            </w:tcMar>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251" w:type="dxa"/>
            <w:tcBorders>
              <w:bottom w:val="single" w:sz="6" w:space="0" w:color="000000"/>
            </w:tcBorders>
            <w:tcMar>
              <w:bottom w:w="28" w:type="dxa"/>
            </w:tcMar>
            <w:vAlign w:val="center"/>
          </w:tcPr>
          <w:p>
            <w:pPr>
              <w:pStyle w:val="TableContents"/>
              <w:bidi w:val="0"/>
              <w:spacing w:before="0" w:after="283"/>
              <w:jc w:val="left"/>
              <w:rPr/>
            </w:pPr>
            <w:r>
              <w:rPr/>
              <w:t>$</w:t>
            </w:r>
          </w:p>
        </w:tc>
        <w:tc>
          <w:tcPr>
            <w:tcW w:w="985" w:type="dxa"/>
            <w:tcBorders>
              <w:bottom w:val="single" w:sz="6" w:space="0" w:color="000000"/>
            </w:tcBorders>
            <w:tcMar>
              <w:bottom w:w="28" w:type="dxa"/>
            </w:tcMar>
            <w:vAlign w:val="center"/>
          </w:tcPr>
          <w:p>
            <w:pPr>
              <w:pStyle w:val="TableContents"/>
              <w:bidi w:val="0"/>
              <w:spacing w:before="0" w:after="283"/>
              <w:jc w:val="right"/>
              <w:rPr/>
            </w:pPr>
            <w:r>
              <w:rPr/>
              <w:t>(2,856</w:t>
            </w:r>
          </w:p>
        </w:tc>
        <w:tc>
          <w:tcPr>
            <w:tcW w:w="274"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w:t>
            </w:r>
          </w:p>
        </w:tc>
        <w:tc>
          <w:tcPr>
            <w:tcW w:w="590" w:type="dxa"/>
            <w:tcBorders>
              <w:bottom w:val="single" w:sz="6" w:space="0" w:color="000000"/>
            </w:tcBorders>
            <w:tcMar>
              <w:bottom w:w="28" w:type="dxa"/>
            </w:tcMar>
            <w:vAlign w:val="center"/>
          </w:tcPr>
          <w:p>
            <w:pPr>
              <w:pStyle w:val="TableContents"/>
              <w:bidi w:val="0"/>
              <w:spacing w:before="0" w:after="283"/>
              <w:jc w:val="right"/>
              <w:rPr/>
            </w:pPr>
            <w:r>
              <w:rPr/>
              <w:t>605</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(21</w:t>
            </w:r>
          </w:p>
        </w:tc>
        <w:tc>
          <w:tcPr>
            <w:tcW w:w="365" w:type="dxa"/>
            <w:tcBorders/>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21</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b w:val="false"/>
          <w:i w:val="false"/>
          <w:caps w:val="false"/>
          <w:smallCaps w:val="false"/>
          <w:sz w:val="20"/>
          <w:u w:val="single"/>
        </w:rPr>
      </w:pPr>
      <w:r>
        <w:rPr>
          <w:rFonts w:ascii="Times New Roman" w:hAnsi="Times New Roman"/>
          <w:b w:val="false"/>
          <w:i w:val="false"/>
          <w:caps w:val="false"/>
          <w:smallCaps w:val="false"/>
          <w:sz w:val="20"/>
          <w:u w:val="single"/>
        </w:rPr>
        <w:t>Revenue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reported net revenue of $2.1 million for the three months ended June 30, 2026, as compared to $1.0 million for the three months ended June 30, 2025, representing an increase of $1.0 million, or 103%. The increase reflects higher product sales, partially offset by a decline in technology-enabled services revenue.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Product sales were $1.7 million for the three months ended June 30, 2026, compared to $50 thousand for the three months ended June 30, 2025, an increase of $1.7 million. The increase reflects higher shipments of BolaWrap 150 devices and cassettes to both domestic and international customers, as order flow continued to improve following the transition to a more direct, agency-focused go-to-market approach. Cassettes and consumables represented a growing component of product revenue, consistent with the expanding base of BolaWrap devices in active field use. Product sales for the three months ended June 30, 2025 reflected an unusually low level of shipments as compared to more typical quarterly volumes.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Technology-enabled services revenue was $0.3 million for the three months ended June 30, 2026, compared to $1.0 million for the three months ended June 30, 2025, a decrease of $0.7 million, or 68%. The decrease reflects the continued wind-down of the managed services and advisory arrangements associated with the W1 asset acquisition completed in February 2025, which contributed a higher level of revenue in the prior-year quarter and are not necessarily representative of the ongoing business. This decline was partially offset by growth in WrapVision body-worn camera and related software revenue. The Company continues to focus its technology-enabled services revenue on its higher-margin subscription and software-based offerings, including WrapTactics and Wrap Reality, as well as WrapVision evidence management subscriptions. The timing of subscription renewals and new contract activations also contributed to the year-over-year decline in this revenue category for the three months ended June 30, 2026.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Prior period "Managed services" and "Other revenue" have been reclassified into "Technology enabled services" to conform to the current period presentation.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u w:val="single"/>
        </w:rPr>
      </w:pPr>
      <w:r>
        <w:rPr>
          <w:rFonts w:ascii="Times New Roman" w:hAnsi="Times New Roman"/>
          <w:b w:val="false"/>
          <w:i w:val="false"/>
          <w:caps w:val="false"/>
          <w:smallCaps w:val="false"/>
          <w:sz w:val="20"/>
          <w:u w:val="single"/>
        </w:rPr>
        <w:t>Gross Profit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Gross profit was $1.5 million for the three months ended June 30, 2026, compared to $0.5 million for the three months ended June 30, 2025, an increase of $1.1 million, or 217%. Gross margin was 75.3% for the three months ended June 30, 2026, compared to 48.1% for the three months ended June 30, 2025. The improvement in gross margin percentage primarily reflects the higher volume of product sales, which absorbed fixed manufacturing overhead more efficiently, and a more favorable overall mix, as the prior-year quarter included a higher proportion of lower-margin managed services revenue associated with the W1 wind-down. Cost of revenues decreased $18 thousand to $0.5 million despite the higher sales volume, reflecting improved production efficiencies. We expect gross margins to continue to be influenced by the relative mix of product sales and technology-enabled services revenue in future periods.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u w:val="single"/>
        </w:rPr>
      </w:pPr>
      <w:r>
        <w:rPr>
          <w:rFonts w:ascii="Times New Roman" w:hAnsi="Times New Roman"/>
          <w:b w:val="false"/>
          <w:i w:val="false"/>
          <w:caps w:val="false"/>
          <w:smallCaps w:val="false"/>
          <w:sz w:val="20"/>
          <w:u w:val="single"/>
        </w:rPr>
        <w:t>Selling, General and Administrative Expense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Selling, general and administrative (“SG&amp;A”) expense was $3.6 million for the three months ended June 30, 2026, compared to $3.2 million for the three months ended June 30, 2025, an increase of $0.5 million, or 15%. The increase was driven primarily by higher non-cash share-based compensation expense.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Share-based compensation allocated to SG&amp;A was $1.2 million for the three months ended June 30, 2026, compared to $0.8 million for the three months ended June 30, 2025, reflecting grants issued to new and existing employees and officers in connection with equity incentive awards granted in 2025.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Cash-based SG&amp;A costs, including salaries and burden, occupancy, marketing, and professional fees were $2.5 million for the three months ended June 30, 2026, compared to $2.4 million for the three months ended June 30, 2025. The increase of approximately $49 thousand, or 2%, was primarily due to increased professional fees, largely offset by ongoing cost discipline across office and other general and administrative expenses.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u w:val="single"/>
        </w:rPr>
        <w:t>Research and Development Expense</w:t>
      </w:r>
      <w:r>
        <w:rPr>
          <w:rFonts w:ascii="Times New Roman" w:hAnsi="Times New Roman"/>
          <w:b w:val="false"/>
          <w:i w:val="false"/>
          <w:caps w:val="false"/>
          <w:smallCaps w:val="false"/>
          <w:sz w:val="2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Research and development expense was $152 thousand for the three months ended June 30, 2026, compared to $162 thousand for the three months ended June 30, 2025, a decrease of $10 thousand, or 6%. R&amp;D spending remained at a modest level as the Company's primary platforms — BolaWrap 150, WrapTactics, WrapVision, and Wrap Reality — remain in commercial deployment, with continued investment focused on incremental product enhancements, the WrapTactics content library, and counter-UAS development activities for the MERLIN program. </w:t>
      </w:r>
    </w:p>
    <w:p>
      <w:pPr>
        <w:pStyle w:val="TextBody"/>
        <w:bidi w:val="0"/>
        <w:spacing w:before="0" w:after="0"/>
        <w:jc w:val="both"/>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22</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b w:val="false"/>
          <w:i w:val="false"/>
          <w:caps w:val="false"/>
          <w:smallCaps w:val="false"/>
          <w:sz w:val="20"/>
          <w:u w:val="single"/>
        </w:rPr>
      </w:pPr>
      <w:r>
        <w:rPr>
          <w:rFonts w:ascii="Times New Roman" w:hAnsi="Times New Roman"/>
          <w:b w:val="false"/>
          <w:i w:val="false"/>
          <w:caps w:val="false"/>
          <w:smallCaps w:val="false"/>
          <w:sz w:val="20"/>
          <w:u w:val="single"/>
        </w:rPr>
        <w:t>Operating Loss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Loss from operations was $2.3 million for the three months ended June 30, 2026, compared to $2.9 million for the three months ended June 30, 2025, an improvement of $0.6 million, or 21%. The decreased operating loss reflected higher gross profit driven by increased product sales, partially offset by higher SG&amp;A expense.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u w:val="single"/>
          <w:shd w:fill="FFFFFF" w:val="clear"/>
        </w:rPr>
      </w:pPr>
      <w:r>
        <w:rPr>
          <w:rFonts w:ascii="Times New Roman" w:hAnsi="Times New Roman"/>
          <w:b w:val="false"/>
          <w:i w:val="false"/>
          <w:caps w:val="false"/>
          <w:smallCaps w:val="false"/>
          <w:sz w:val="20"/>
          <w:u w:val="single"/>
          <w:shd w:fill="FFFFFF" w:val="clear"/>
        </w:rPr>
        <w:t xml:space="preserve">Other Income (Expense), Net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shd w:fill="FFFFFF" w:val="clear"/>
        </w:rPr>
      </w:pPr>
      <w:r>
        <w:rPr>
          <w:rFonts w:ascii="Times New Roman" w:hAnsi="Times New Roman"/>
          <w:b w:val="false"/>
          <w:i w:val="false"/>
          <w:caps w:val="false"/>
          <w:smallCaps w:val="false"/>
          <w:sz w:val="20"/>
          <w:shd w:fill="FFFFFF" w:val="clear"/>
        </w:rPr>
        <w:t xml:space="preserve">Total other expense, net was $6 thousand for the three months ended June 30, 2026, compared to total other expense, net of $871 thousand for the three months ended June 30, 2025, a decrease in expense of $865 thousand. The year-over-year change is primarily attributable to the non-recurrence of a non-cash loss from the change in fair value of warrant liabilities that was recorded during the three months ended June 30, 2025, prior to the warrants' reclassification to permanent equity.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shd w:fill="FFFFFF" w:val="clear"/>
        </w:rPr>
      </w:pPr>
      <w:r>
        <w:rPr>
          <w:rFonts w:ascii="Times New Roman" w:hAnsi="Times New Roman"/>
          <w:b w:val="false"/>
          <w:i/>
          <w:caps w:val="false"/>
          <w:smallCaps w:val="false"/>
          <w:sz w:val="20"/>
          <w:shd w:fill="FFFFFF" w:val="clear"/>
        </w:rPr>
        <w:t>Gain on Lease Termination.</w:t>
      </w:r>
      <w:r>
        <w:rPr>
          <w:rFonts w:ascii="Times New Roman" w:hAnsi="Times New Roman"/>
          <w:b w:val="false"/>
          <w:i w:val="false"/>
          <w:caps w:val="false"/>
          <w:smallCaps w:val="false"/>
          <w:sz w:val="20"/>
          <w:shd w:fill="FFFFFF" w:val="clear"/>
        </w:rPr>
        <w:t xml:space="preserve"> The $227 thousand non-cash gain on lease termination related to the early termination of the office lease at 3480 Main Highway, Suite 202, Miami, Florida (Coconut Grove) was recognized during the three months ended March 31, 2026 in connection with a Termination and Mutual Release Agreement entered into with the landlord on February 13, 2026. No gain or loss on lease termination was recognized during the three months ended June 30, 2026.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shd w:fill="FFFFFF" w:val="clear"/>
        </w:rPr>
      </w:pPr>
      <w:r>
        <w:rPr>
          <w:rFonts w:ascii="Times New Roman" w:hAnsi="Times New Roman"/>
          <w:b w:val="false"/>
          <w:i/>
          <w:caps w:val="false"/>
          <w:smallCaps w:val="false"/>
          <w:sz w:val="20"/>
          <w:shd w:fill="FFFFFF" w:val="clear"/>
        </w:rPr>
        <w:t>Change in Fair Value of Warrant Liabilities.</w:t>
      </w:r>
      <w:r>
        <w:rPr>
          <w:rFonts w:ascii="Times New Roman" w:hAnsi="Times New Roman"/>
          <w:b w:val="false"/>
          <w:i w:val="false"/>
          <w:caps w:val="false"/>
          <w:smallCaps w:val="false"/>
          <w:sz w:val="20"/>
          <w:shd w:fill="FFFFFF" w:val="clear"/>
        </w:rPr>
        <w:t xml:space="preserve"> During the three months ended June 30, 2025, the Company recognized an $871 thousand non-cash loss attributable to an increase in the fair value of outstanding warrant liabilities prior to their reclassification to permanent equity. On June 30, 2025, the Company amended its warrants issued in connection with the Series A Preferred Stock offering (the “Series A Warrants”) and its warrants issued in the February 2025 private placement (the “PIPE Warrants”), resulting in their reclassification from warrant liabilities to permanent equity under ASC 815-40. Following this reclassification, the Company no longer carries warrant liabilities on its balance sheet and does not record non-cash income or expense related to changes in warrant fair value. Accordingly, no such gain or loss was recognized during the three months ended June 30, 2026, and no comparable item is expected in future periods.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shd w:fill="FFFFFF" w:val="clear"/>
        </w:rPr>
      </w:pPr>
      <w:r>
        <w:rPr>
          <w:rFonts w:ascii="Times New Roman" w:hAnsi="Times New Roman"/>
          <w:b w:val="false"/>
          <w:i/>
          <w:caps w:val="false"/>
          <w:smallCaps w:val="false"/>
          <w:sz w:val="20"/>
          <w:shd w:fill="FFFFFF" w:val="clear"/>
        </w:rPr>
        <w:t>Interest Income.</w:t>
      </w:r>
      <w:r>
        <w:rPr>
          <w:rFonts w:ascii="Times New Roman" w:hAnsi="Times New Roman"/>
          <w:b w:val="false"/>
          <w:i w:val="false"/>
          <w:caps w:val="false"/>
          <w:smallCaps w:val="false"/>
          <w:sz w:val="20"/>
          <w:shd w:fill="FFFFFF" w:val="clear"/>
        </w:rPr>
        <w:t xml:space="preserve"> Interest income was $2 thousand for the three months ended June 30, 2026, consistent with $2 thousand for the three months ended June 30, 2025.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shd w:fill="FFFFFF" w:val="clear"/>
        </w:rPr>
      </w:pPr>
      <w:r>
        <w:rPr>
          <w:rFonts w:ascii="Times New Roman" w:hAnsi="Times New Roman"/>
          <w:b w:val="false"/>
          <w:i/>
          <w:caps w:val="false"/>
          <w:smallCaps w:val="false"/>
          <w:sz w:val="20"/>
          <w:shd w:fill="FFFFFF" w:val="clear"/>
        </w:rPr>
        <w:t>Net Loss</w:t>
      </w:r>
      <w:r>
        <w:rPr>
          <w:rFonts w:ascii="Times New Roman" w:hAnsi="Times New Roman"/>
          <w:b w:val="false"/>
          <w:i w:val="false"/>
          <w:caps w:val="false"/>
          <w:smallCaps w:val="false"/>
          <w:sz w:val="20"/>
          <w:shd w:fill="FFFFFF" w:val="clear"/>
        </w:rPr>
        <w:t xml:space="preserve">. Net loss was $2.3 million for the three months ended June 30, 2026, compared to net loss of $3.7 million for the three months ended June 30, 2025. The decreased net loss primarily reflects the non-recurrence of the $871 thousand non-cash loss on the change in fair value of warrant liabilities recorded in the prior-year quarter, together with the improvement in operating results driven by higher product sales.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shd w:fill="FFFFFF" w:val="clear"/>
        </w:rPr>
      </w:pPr>
      <w:r>
        <w:rPr>
          <w:rFonts w:ascii="Times New Roman" w:hAnsi="Times New Roman"/>
          <w:b w:val="false"/>
          <w:i w:val="false"/>
          <w:caps w:val="false"/>
          <w:smallCaps w:val="false"/>
          <w:sz w:val="20"/>
          <w:shd w:fill="FFFFFF" w:val="clear"/>
        </w:rPr>
        <w:t xml:space="preserve">Net loss attributable to common stockholders was $2.4 million, or $(0.04) per basic and diluted share, for the three months ended June 30, 2026, compared to a net loss attributable to common stockholders of $3.9 million, or $(0.07) per basic and diluted share, for the three months ended June 30, 2025. The weighted average common shares used in the calculation were approximately 55.7 million for the three months ended June 30, 2026, compared to 50.6 million for the three months ended June 30, 2025, reflecting shares issued in the February 2026 private placement and other equity issuances. </w:t>
      </w:r>
    </w:p>
    <w:p>
      <w:pPr>
        <w:pStyle w:val="TextBody"/>
        <w:bidi w:val="0"/>
        <w:spacing w:before="0" w:after="0"/>
        <w:jc w:val="both"/>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23</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Six Months Ended June 30, 2026, Compared to Six Months Ended June 30, 2025 (Unaudited)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sets forth for the periods indicated certain items of our condensed consolidated statement of operations. The financial information and the discussion below should be read in conjunction with the financial statements and notes contained in this Quarterly Report on Form 10-Q.</w:t>
      </w:r>
    </w:p>
    <w:p>
      <w:pPr>
        <w:pStyle w:val="TextBody"/>
        <w:bidi w:val="0"/>
        <w:spacing w:before="0" w:after="0"/>
        <w:jc w:val="both"/>
        <w:rPr>
          <w:caps w:val="false"/>
          <w:smallCaps w:val="false"/>
        </w:rPr>
      </w:pPr>
      <w:r>
        <w:rPr>
          <w:caps w:val="false"/>
          <w:smallCaps w:val="false"/>
        </w:rPr>
        <w:t> </w:t>
      </w:r>
    </w:p>
    <w:tbl>
      <w:tblPr>
        <w:tblW w:w="8160" w:type="dxa"/>
        <w:jc w:val="left"/>
        <w:tblInd w:w="0" w:type="dxa"/>
        <w:tblLayout w:type="fixed"/>
        <w:tblCellMar>
          <w:top w:w="0" w:type="dxa"/>
          <w:left w:w="0" w:type="dxa"/>
          <w:bottom w:w="0" w:type="dxa"/>
          <w:right w:w="0" w:type="dxa"/>
        </w:tblCellMar>
      </w:tblPr>
      <w:tblGrid>
        <w:gridCol w:w="3320"/>
        <w:gridCol w:w="227"/>
        <w:gridCol w:w="891"/>
        <w:gridCol w:w="247"/>
        <w:gridCol w:w="120"/>
        <w:gridCol w:w="227"/>
        <w:gridCol w:w="891"/>
        <w:gridCol w:w="247"/>
        <w:gridCol w:w="90"/>
        <w:gridCol w:w="170"/>
        <w:gridCol w:w="590"/>
        <w:gridCol w:w="185"/>
        <w:gridCol w:w="90"/>
        <w:gridCol w:w="90"/>
        <w:gridCol w:w="410"/>
        <w:gridCol w:w="365"/>
      </w:tblGrid>
      <w:tr>
        <w:trPr/>
        <w:tc>
          <w:tcPr>
            <w:tcW w:w="332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320" w:type="dxa"/>
            <w:tcBorders/>
            <w:vAlign w:val="center"/>
          </w:tcPr>
          <w:p>
            <w:pPr>
              <w:pStyle w:val="TableContents"/>
              <w:bidi w:val="0"/>
              <w:spacing w:before="0" w:after="283"/>
              <w:jc w:val="left"/>
              <w:rPr/>
            </w:pPr>
            <w:r>
              <w:rPr/>
              <w:t> </w:t>
            </w:r>
          </w:p>
        </w:tc>
        <w:tc>
          <w:tcPr>
            <w:tcW w:w="2850" w:type="dxa"/>
            <w:gridSpan w:val="7"/>
            <w:tcBorders>
              <w:bottom w:val="single" w:sz="6" w:space="0" w:color="000000"/>
            </w:tcBorders>
            <w:tcMar>
              <w:bottom w:w="28" w:type="dxa"/>
            </w:tcMar>
            <w:vAlign w:val="center"/>
          </w:tcPr>
          <w:p>
            <w:pPr>
              <w:pStyle w:val="TableContents"/>
              <w:bidi w:val="0"/>
              <w:spacing w:before="0" w:after="283"/>
              <w:jc w:val="center"/>
              <w:rPr>
                <w:b/>
              </w:rPr>
            </w:pPr>
            <w:r>
              <w:rPr>
                <w:b/>
              </w:rPr>
              <w:t>Six Months Ended June 30,</w:t>
            </w:r>
          </w:p>
        </w:tc>
        <w:tc>
          <w:tcPr>
            <w:tcW w:w="90" w:type="dxa"/>
            <w:tcBorders/>
            <w:vAlign w:val="center"/>
          </w:tcPr>
          <w:p>
            <w:pPr>
              <w:pStyle w:val="TableContents"/>
              <w:bidi w:val="0"/>
              <w:spacing w:before="0" w:after="283"/>
              <w:jc w:val="left"/>
              <w:rPr/>
            </w:pPr>
            <w:r>
              <w:rPr/>
              <w:t> </w:t>
            </w:r>
          </w:p>
        </w:tc>
        <w:tc>
          <w:tcPr>
            <w:tcW w:w="1900" w:type="dxa"/>
            <w:gridSpan w:val="7"/>
            <w:tcBorders>
              <w:bottom w:val="single" w:sz="6" w:space="0" w:color="000000"/>
            </w:tcBorders>
            <w:tcMar>
              <w:bottom w:w="28" w:type="dxa"/>
            </w:tcMar>
            <w:vAlign w:val="center"/>
          </w:tcPr>
          <w:p>
            <w:pPr>
              <w:pStyle w:val="TableContents"/>
              <w:bidi w:val="0"/>
              <w:spacing w:before="0" w:after="283"/>
              <w:jc w:val="center"/>
              <w:rPr>
                <w:b/>
              </w:rPr>
            </w:pPr>
            <w:r>
              <w:rPr>
                <w:b/>
              </w:rPr>
              <w:t>Change</w:t>
            </w:r>
          </w:p>
        </w:tc>
      </w:tr>
      <w:tr>
        <w:trPr/>
        <w:tc>
          <w:tcPr>
            <w:tcW w:w="3320" w:type="dxa"/>
            <w:tcBorders/>
            <w:vAlign w:val="center"/>
          </w:tcPr>
          <w:p>
            <w:pPr>
              <w:pStyle w:val="TableContents"/>
              <w:bidi w:val="0"/>
              <w:spacing w:before="0" w:after="283"/>
              <w:jc w:val="left"/>
              <w:rPr/>
            </w:pPr>
            <w:r>
              <w:rPr/>
              <w:t> </w:t>
            </w:r>
          </w:p>
        </w:tc>
        <w:tc>
          <w:tcPr>
            <w:tcW w:w="227" w:type="dxa"/>
            <w:tcBorders>
              <w:bottom w:val="single" w:sz="6" w:space="0" w:color="000000"/>
            </w:tcBorders>
            <w:tcMar>
              <w:bottom w:w="28" w:type="dxa"/>
            </w:tcMar>
            <w:vAlign w:val="center"/>
          </w:tcPr>
          <w:p>
            <w:pPr>
              <w:pStyle w:val="TableContents"/>
              <w:bidi w:val="0"/>
              <w:spacing w:before="0" w:after="283"/>
              <w:jc w:val="left"/>
              <w:rPr/>
            </w:pPr>
            <w:r>
              <w:rPr/>
              <w:t> </w:t>
            </w:r>
          </w:p>
        </w:tc>
        <w:tc>
          <w:tcPr>
            <w:tcW w:w="891"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247"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bottom w:val="single" w:sz="6" w:space="0" w:color="000000"/>
            </w:tcBorders>
            <w:tcMar>
              <w:bottom w:w="28" w:type="dxa"/>
            </w:tcMar>
            <w:vAlign w:val="center"/>
          </w:tcPr>
          <w:p>
            <w:pPr>
              <w:pStyle w:val="TableContents"/>
              <w:bidi w:val="0"/>
              <w:spacing w:before="0" w:after="283"/>
              <w:jc w:val="left"/>
              <w:rPr/>
            </w:pPr>
            <w:r>
              <w:rPr/>
              <w:t> </w:t>
            </w:r>
          </w:p>
        </w:tc>
        <w:tc>
          <w:tcPr>
            <w:tcW w:w="891"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247"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tcMar>
              <w:bottom w:w="28" w:type="dxa"/>
            </w:tcMar>
            <w:vAlign w:val="center"/>
          </w:tcPr>
          <w:p>
            <w:pPr>
              <w:pStyle w:val="TableContents"/>
              <w:bidi w:val="0"/>
              <w:spacing w:before="0" w:after="283"/>
              <w:jc w:val="center"/>
              <w:rPr>
                <w:b/>
              </w:rPr>
            </w:pPr>
            <w:r>
              <w:rPr>
                <w:b/>
              </w:rPr>
              <w:t>$</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410" w:type="dxa"/>
            <w:tcBorders>
              <w:bottom w:val="single" w:sz="6" w:space="0" w:color="000000"/>
            </w:tcBorders>
            <w:tcMar>
              <w:bottom w:w="28" w:type="dxa"/>
            </w:tcMar>
            <w:vAlign w:val="center"/>
          </w:tcPr>
          <w:p>
            <w:pPr>
              <w:pStyle w:val="TableContents"/>
              <w:bidi w:val="0"/>
              <w:spacing w:before="0" w:after="283"/>
              <w:jc w:val="center"/>
              <w:rPr>
                <w:b/>
              </w:rPr>
            </w:pPr>
            <w:r>
              <w:rPr>
                <w:b/>
              </w:rPr>
              <w:t>%</w:t>
            </w:r>
          </w:p>
        </w:tc>
        <w:tc>
          <w:tcPr>
            <w:tcW w:w="36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center"/>
              <w:rPr/>
            </w:pPr>
            <w:r>
              <w:rPr/>
              <w:t> </w:t>
            </w:r>
          </w:p>
        </w:tc>
        <w:tc>
          <w:tcPr>
            <w:tcW w:w="89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Revenues:</w:t>
            </w:r>
          </w:p>
        </w:tc>
        <w:tc>
          <w:tcPr>
            <w:tcW w:w="227"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Product sales</w:t>
            </w:r>
          </w:p>
        </w:tc>
        <w:tc>
          <w:tcPr>
            <w:tcW w:w="227" w:type="dxa"/>
            <w:tcBorders/>
            <w:shd w:fill="CCEEFF" w:val="clear"/>
            <w:vAlign w:val="center"/>
          </w:tcPr>
          <w:p>
            <w:pPr>
              <w:pStyle w:val="TableContents"/>
              <w:bidi w:val="0"/>
              <w:spacing w:before="0" w:after="283"/>
              <w:jc w:val="left"/>
              <w:rPr/>
            </w:pPr>
            <w:r>
              <w:rPr/>
              <w:t>$</w:t>
            </w:r>
          </w:p>
        </w:tc>
        <w:tc>
          <w:tcPr>
            <w:tcW w:w="891" w:type="dxa"/>
            <w:tcBorders/>
            <w:shd w:fill="CCEEFF" w:val="clear"/>
            <w:vAlign w:val="center"/>
          </w:tcPr>
          <w:p>
            <w:pPr>
              <w:pStyle w:val="TableContents"/>
              <w:bidi w:val="0"/>
              <w:spacing w:before="0" w:after="283"/>
              <w:jc w:val="right"/>
              <w:rPr/>
            </w:pPr>
            <w:r>
              <w:rPr/>
              <w:t>2,630</w:t>
            </w:r>
          </w:p>
        </w:tc>
        <w:tc>
          <w:tcPr>
            <w:tcW w:w="247"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891" w:type="dxa"/>
            <w:tcBorders/>
            <w:shd w:fill="CCEEFF" w:val="clear"/>
            <w:vAlign w:val="center"/>
          </w:tcPr>
          <w:p>
            <w:pPr>
              <w:pStyle w:val="TableContents"/>
              <w:bidi w:val="0"/>
              <w:spacing w:before="0" w:after="283"/>
              <w:jc w:val="right"/>
              <w:rPr/>
            </w:pPr>
            <w:r>
              <w:rPr/>
              <w:t>359</w:t>
            </w:r>
          </w:p>
        </w:tc>
        <w:tc>
          <w:tcPr>
            <w:tcW w:w="24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2,271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633</w:t>
            </w:r>
          </w:p>
        </w:tc>
        <w:tc>
          <w:tcPr>
            <w:tcW w:w="365" w:type="dxa"/>
            <w:tcBorders/>
            <w:shd w:fill="CCEEFF" w:val="clear"/>
            <w:vAlign w:val="center"/>
          </w:tcPr>
          <w:p>
            <w:pPr>
              <w:pStyle w:val="TableContents"/>
              <w:bidi w:val="0"/>
              <w:spacing w:before="0" w:after="283"/>
              <w:jc w:val="left"/>
              <w:rPr/>
            </w:pPr>
            <w:r>
              <w:rPr/>
              <w:t>%</w:t>
            </w:r>
          </w:p>
        </w:tc>
      </w:tr>
      <w:tr>
        <w:trPr/>
        <w:tc>
          <w:tcPr>
            <w:tcW w:w="3320" w:type="dxa"/>
            <w:tcBorders/>
            <w:vAlign w:val="center"/>
          </w:tcPr>
          <w:p>
            <w:pPr>
              <w:pStyle w:val="TableContents"/>
              <w:bidi w:val="0"/>
              <w:spacing w:before="0" w:after="283"/>
              <w:jc w:val="left"/>
              <w:rPr/>
            </w:pPr>
            <w:r>
              <w:rPr/>
              <w:t>Technology enabled services</w:t>
            </w:r>
          </w:p>
        </w:tc>
        <w:tc>
          <w:tcPr>
            <w:tcW w:w="227" w:type="dxa"/>
            <w:tcBorders>
              <w:bottom w:val="single" w:sz="6" w:space="0" w:color="000000"/>
            </w:tcBorders>
            <w:tcMar>
              <w:bottom w:w="28" w:type="dxa"/>
            </w:tcMar>
            <w:vAlign w:val="center"/>
          </w:tcPr>
          <w:p>
            <w:pPr>
              <w:pStyle w:val="TableContents"/>
              <w:bidi w:val="0"/>
              <w:spacing w:before="0" w:after="283"/>
              <w:jc w:val="left"/>
              <w:rPr/>
            </w:pPr>
            <w:r>
              <w:rPr/>
              <w:t> </w:t>
            </w:r>
          </w:p>
        </w:tc>
        <w:tc>
          <w:tcPr>
            <w:tcW w:w="891" w:type="dxa"/>
            <w:tcBorders>
              <w:bottom w:val="single" w:sz="6" w:space="0" w:color="000000"/>
            </w:tcBorders>
            <w:tcMar>
              <w:bottom w:w="28" w:type="dxa"/>
            </w:tcMar>
            <w:vAlign w:val="center"/>
          </w:tcPr>
          <w:p>
            <w:pPr>
              <w:pStyle w:val="TableContents"/>
              <w:bidi w:val="0"/>
              <w:spacing w:before="0" w:after="283"/>
              <w:jc w:val="right"/>
              <w:rPr/>
            </w:pPr>
            <w:r>
              <w:rPr/>
              <w:t>533</w:t>
            </w:r>
          </w:p>
        </w:tc>
        <w:tc>
          <w:tcPr>
            <w:tcW w:w="247"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bottom w:val="single" w:sz="6" w:space="0" w:color="000000"/>
            </w:tcBorders>
            <w:tcMar>
              <w:bottom w:w="28" w:type="dxa"/>
            </w:tcMar>
            <w:vAlign w:val="center"/>
          </w:tcPr>
          <w:p>
            <w:pPr>
              <w:pStyle w:val="TableContents"/>
              <w:bidi w:val="0"/>
              <w:spacing w:before="0" w:after="283"/>
              <w:jc w:val="left"/>
              <w:rPr/>
            </w:pPr>
            <w:r>
              <w:rPr/>
              <w:t> </w:t>
            </w:r>
          </w:p>
        </w:tc>
        <w:tc>
          <w:tcPr>
            <w:tcW w:w="891" w:type="dxa"/>
            <w:tcBorders>
              <w:bottom w:val="single" w:sz="6" w:space="0" w:color="000000"/>
            </w:tcBorders>
            <w:tcMar>
              <w:bottom w:w="28" w:type="dxa"/>
            </w:tcMar>
            <w:vAlign w:val="center"/>
          </w:tcPr>
          <w:p>
            <w:pPr>
              <w:pStyle w:val="TableContents"/>
              <w:bidi w:val="0"/>
              <w:spacing w:before="0" w:after="283"/>
              <w:jc w:val="right"/>
              <w:rPr/>
            </w:pPr>
            <w:r>
              <w:rPr/>
              <w:t>1,419</w:t>
            </w:r>
          </w:p>
        </w:tc>
        <w:tc>
          <w:tcPr>
            <w:tcW w:w="247"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tcMar>
              <w:bottom w:w="28" w:type="dxa"/>
            </w:tcMar>
            <w:vAlign w:val="center"/>
          </w:tcPr>
          <w:p>
            <w:pPr>
              <w:pStyle w:val="TableContents"/>
              <w:bidi w:val="0"/>
              <w:spacing w:before="0" w:after="283"/>
              <w:jc w:val="right"/>
              <w:rPr/>
            </w:pPr>
            <w:r>
              <w:rPr/>
              <w:t>(886</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(62</w:t>
            </w:r>
          </w:p>
        </w:tc>
        <w:tc>
          <w:tcPr>
            <w:tcW w:w="365" w:type="dxa"/>
            <w:tcBorders/>
            <w:vAlign w:val="center"/>
          </w:tcPr>
          <w:p>
            <w:pPr>
              <w:pStyle w:val="TableContents"/>
              <w:bidi w:val="0"/>
              <w:spacing w:before="0" w:after="283"/>
              <w:jc w:val="left"/>
              <w:rPr/>
            </w:pPr>
            <w:r>
              <w:rPr/>
              <w:t>)%</w:t>
            </w:r>
          </w:p>
        </w:tc>
      </w:tr>
      <w:tr>
        <w:trPr/>
        <w:tc>
          <w:tcPr>
            <w:tcW w:w="3320" w:type="dxa"/>
            <w:tcBorders/>
            <w:shd w:fill="CCEEFF" w:val="clear"/>
            <w:vAlign w:val="center"/>
          </w:tcPr>
          <w:p>
            <w:pPr>
              <w:pStyle w:val="TableContents"/>
              <w:bidi w:val="0"/>
              <w:spacing w:before="0" w:after="283"/>
              <w:jc w:val="left"/>
              <w:rPr/>
            </w:pPr>
            <w:r>
              <w:rPr/>
              <w:t>Total revenues</w:t>
            </w:r>
          </w:p>
        </w:tc>
        <w:tc>
          <w:tcPr>
            <w:tcW w:w="227"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3,163</w:t>
            </w:r>
          </w:p>
        </w:tc>
        <w:tc>
          <w:tcPr>
            <w:tcW w:w="247"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1,778</w:t>
            </w:r>
          </w:p>
        </w:tc>
        <w:tc>
          <w:tcPr>
            <w:tcW w:w="24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1,385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78</w:t>
            </w:r>
          </w:p>
        </w:tc>
        <w:tc>
          <w:tcPr>
            <w:tcW w:w="365" w:type="dxa"/>
            <w:tcBorders/>
            <w:shd w:fill="CCEEFF" w:val="clear"/>
            <w:vAlign w:val="center"/>
          </w:tcPr>
          <w:p>
            <w:pPr>
              <w:pStyle w:val="TableContents"/>
              <w:bidi w:val="0"/>
              <w:spacing w:before="0" w:after="283"/>
              <w:jc w:val="left"/>
              <w:rPr/>
            </w:pPr>
            <w:r>
              <w:rPr/>
              <w:t>%</w:t>
            </w:r>
          </w:p>
        </w:tc>
      </w:tr>
      <w:tr>
        <w:trPr/>
        <w:tc>
          <w:tcPr>
            <w:tcW w:w="33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Cost of revenues</w:t>
            </w:r>
          </w:p>
        </w:tc>
        <w:tc>
          <w:tcPr>
            <w:tcW w:w="227"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91" w:type="dxa"/>
            <w:tcBorders>
              <w:bottom w:val="single" w:sz="6" w:space="0" w:color="000000"/>
            </w:tcBorders>
            <w:shd w:fill="CCEEFF" w:val="clear"/>
            <w:tcMar>
              <w:bottom w:w="28" w:type="dxa"/>
            </w:tcMar>
            <w:vAlign w:val="center"/>
          </w:tcPr>
          <w:p>
            <w:pPr>
              <w:pStyle w:val="TableContents"/>
              <w:bidi w:val="0"/>
              <w:spacing w:before="0" w:after="283"/>
              <w:jc w:val="right"/>
              <w:rPr/>
            </w:pPr>
            <w:r>
              <w:rPr/>
              <w:t>927</w:t>
            </w:r>
          </w:p>
        </w:tc>
        <w:tc>
          <w:tcPr>
            <w:tcW w:w="247"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7"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91" w:type="dxa"/>
            <w:tcBorders>
              <w:bottom w:val="single" w:sz="6" w:space="0" w:color="000000"/>
            </w:tcBorders>
            <w:shd w:fill="CCEEFF" w:val="clear"/>
            <w:tcMar>
              <w:bottom w:w="28" w:type="dxa"/>
            </w:tcMar>
            <w:vAlign w:val="center"/>
          </w:tcPr>
          <w:p>
            <w:pPr>
              <w:pStyle w:val="TableContents"/>
              <w:bidi w:val="0"/>
              <w:spacing w:before="0" w:after="283"/>
              <w:jc w:val="right"/>
              <w:rPr/>
            </w:pPr>
            <w:r>
              <w:rPr/>
              <w:t>695</w:t>
            </w:r>
          </w:p>
        </w:tc>
        <w:tc>
          <w:tcPr>
            <w:tcW w:w="247"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shd w:fill="CCEEFF" w:val="clear"/>
            <w:tcMar>
              <w:bottom w:w="28" w:type="dxa"/>
            </w:tcMar>
            <w:vAlign w:val="center"/>
          </w:tcPr>
          <w:p>
            <w:pPr>
              <w:pStyle w:val="TableContents"/>
              <w:bidi w:val="0"/>
              <w:spacing w:before="0" w:after="283"/>
              <w:jc w:val="right"/>
              <w:rPr/>
            </w:pPr>
            <w:r>
              <w:rPr/>
              <w:t>232</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33</w:t>
            </w:r>
          </w:p>
        </w:tc>
        <w:tc>
          <w:tcPr>
            <w:tcW w:w="365" w:type="dxa"/>
            <w:tcBorders/>
            <w:shd w:fill="CCEEFF" w:val="clear"/>
            <w:vAlign w:val="center"/>
          </w:tcPr>
          <w:p>
            <w:pPr>
              <w:pStyle w:val="TableContents"/>
              <w:bidi w:val="0"/>
              <w:spacing w:before="0" w:after="283"/>
              <w:jc w:val="left"/>
              <w:rPr/>
            </w:pPr>
            <w:r>
              <w:rPr/>
              <w:t>%</w:t>
            </w:r>
          </w:p>
        </w:tc>
      </w:tr>
      <w:tr>
        <w:trPr/>
        <w:tc>
          <w:tcPr>
            <w:tcW w:w="3320" w:type="dxa"/>
            <w:tcBorders/>
            <w:vAlign w:val="center"/>
          </w:tcPr>
          <w:p>
            <w:pPr>
              <w:pStyle w:val="TableContents"/>
              <w:bidi w:val="0"/>
              <w:spacing w:before="0" w:after="283"/>
              <w:jc w:val="left"/>
              <w:rPr/>
            </w:pPr>
            <w:r>
              <w:rPr/>
              <w:t>Gross profit</w:t>
            </w:r>
          </w:p>
        </w:tc>
        <w:tc>
          <w:tcPr>
            <w:tcW w:w="227"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2,236</w:t>
            </w:r>
          </w:p>
        </w:tc>
        <w:tc>
          <w:tcPr>
            <w:tcW w:w="24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1,083</w:t>
            </w:r>
          </w:p>
        </w:tc>
        <w:tc>
          <w:tcPr>
            <w:tcW w:w="24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1,153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106</w:t>
            </w:r>
          </w:p>
        </w:tc>
        <w:tc>
          <w:tcPr>
            <w:tcW w:w="365" w:type="dxa"/>
            <w:tcBorders/>
            <w:vAlign w:val="center"/>
          </w:tcPr>
          <w:p>
            <w:pPr>
              <w:pStyle w:val="TableContents"/>
              <w:bidi w:val="0"/>
              <w:spacing w:before="0" w:after="283"/>
              <w:jc w:val="left"/>
              <w:rPr/>
            </w:pPr>
            <w:r>
              <w:rPr/>
              <w:t>%</w:t>
            </w:r>
          </w:p>
        </w:tc>
      </w:tr>
      <w:tr>
        <w:trPr/>
        <w:tc>
          <w:tcPr>
            <w:tcW w:w="33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Operating expenses:</w:t>
            </w:r>
          </w:p>
        </w:tc>
        <w:tc>
          <w:tcPr>
            <w:tcW w:w="227"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Selling, general and administrative</w:t>
            </w:r>
          </w:p>
        </w:tc>
        <w:tc>
          <w:tcPr>
            <w:tcW w:w="227"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8,999</w:t>
            </w:r>
          </w:p>
        </w:tc>
        <w:tc>
          <w:tcPr>
            <w:tcW w:w="247"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7,266</w:t>
            </w:r>
          </w:p>
        </w:tc>
        <w:tc>
          <w:tcPr>
            <w:tcW w:w="24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1,733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24</w:t>
            </w:r>
          </w:p>
        </w:tc>
        <w:tc>
          <w:tcPr>
            <w:tcW w:w="365" w:type="dxa"/>
            <w:tcBorders/>
            <w:shd w:fill="CCEEFF" w:val="clear"/>
            <w:vAlign w:val="center"/>
          </w:tcPr>
          <w:p>
            <w:pPr>
              <w:pStyle w:val="TableContents"/>
              <w:bidi w:val="0"/>
              <w:spacing w:before="0" w:after="283"/>
              <w:jc w:val="left"/>
              <w:rPr/>
            </w:pPr>
            <w:r>
              <w:rPr/>
              <w:t>%</w:t>
            </w:r>
          </w:p>
        </w:tc>
      </w:tr>
      <w:tr>
        <w:trPr/>
        <w:tc>
          <w:tcPr>
            <w:tcW w:w="3320" w:type="dxa"/>
            <w:tcBorders/>
            <w:vAlign w:val="center"/>
          </w:tcPr>
          <w:p>
            <w:pPr>
              <w:pStyle w:val="TableContents"/>
              <w:bidi w:val="0"/>
              <w:spacing w:before="0" w:after="283"/>
              <w:jc w:val="left"/>
              <w:rPr/>
            </w:pPr>
            <w:r>
              <w:rPr/>
              <w:t>Research and development</w:t>
            </w:r>
          </w:p>
        </w:tc>
        <w:tc>
          <w:tcPr>
            <w:tcW w:w="227" w:type="dxa"/>
            <w:tcBorders>
              <w:bottom w:val="single" w:sz="6" w:space="0" w:color="000000"/>
            </w:tcBorders>
            <w:tcMar>
              <w:bottom w:w="28" w:type="dxa"/>
            </w:tcMar>
            <w:vAlign w:val="center"/>
          </w:tcPr>
          <w:p>
            <w:pPr>
              <w:pStyle w:val="TableContents"/>
              <w:bidi w:val="0"/>
              <w:spacing w:before="0" w:after="283"/>
              <w:jc w:val="left"/>
              <w:rPr/>
            </w:pPr>
            <w:r>
              <w:rPr/>
              <w:t> </w:t>
            </w:r>
          </w:p>
        </w:tc>
        <w:tc>
          <w:tcPr>
            <w:tcW w:w="891" w:type="dxa"/>
            <w:tcBorders>
              <w:bottom w:val="single" w:sz="6" w:space="0" w:color="000000"/>
            </w:tcBorders>
            <w:tcMar>
              <w:bottom w:w="28" w:type="dxa"/>
            </w:tcMar>
            <w:vAlign w:val="center"/>
          </w:tcPr>
          <w:p>
            <w:pPr>
              <w:pStyle w:val="TableContents"/>
              <w:bidi w:val="0"/>
              <w:spacing w:before="0" w:after="283"/>
              <w:jc w:val="right"/>
              <w:rPr/>
            </w:pPr>
            <w:r>
              <w:rPr/>
              <w:t>257</w:t>
            </w:r>
          </w:p>
        </w:tc>
        <w:tc>
          <w:tcPr>
            <w:tcW w:w="247"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bottom w:val="single" w:sz="6" w:space="0" w:color="000000"/>
            </w:tcBorders>
            <w:tcMar>
              <w:bottom w:w="28" w:type="dxa"/>
            </w:tcMar>
            <w:vAlign w:val="center"/>
          </w:tcPr>
          <w:p>
            <w:pPr>
              <w:pStyle w:val="TableContents"/>
              <w:bidi w:val="0"/>
              <w:spacing w:before="0" w:after="283"/>
              <w:jc w:val="left"/>
              <w:rPr/>
            </w:pPr>
            <w:r>
              <w:rPr/>
              <w:t> </w:t>
            </w:r>
          </w:p>
        </w:tc>
        <w:tc>
          <w:tcPr>
            <w:tcW w:w="891" w:type="dxa"/>
            <w:tcBorders>
              <w:bottom w:val="single" w:sz="6" w:space="0" w:color="000000"/>
            </w:tcBorders>
            <w:tcMar>
              <w:bottom w:w="28" w:type="dxa"/>
            </w:tcMar>
            <w:vAlign w:val="center"/>
          </w:tcPr>
          <w:p>
            <w:pPr>
              <w:pStyle w:val="TableContents"/>
              <w:bidi w:val="0"/>
              <w:spacing w:before="0" w:after="283"/>
              <w:jc w:val="right"/>
              <w:rPr/>
            </w:pPr>
            <w:r>
              <w:rPr/>
              <w:t>594</w:t>
            </w:r>
          </w:p>
        </w:tc>
        <w:tc>
          <w:tcPr>
            <w:tcW w:w="247"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tcMar>
              <w:bottom w:w="28" w:type="dxa"/>
            </w:tcMar>
            <w:vAlign w:val="center"/>
          </w:tcPr>
          <w:p>
            <w:pPr>
              <w:pStyle w:val="TableContents"/>
              <w:bidi w:val="0"/>
              <w:spacing w:before="0" w:after="283"/>
              <w:jc w:val="right"/>
              <w:rPr/>
            </w:pPr>
            <w:r>
              <w:rPr/>
              <w:t>(337</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(57</w:t>
            </w:r>
          </w:p>
        </w:tc>
        <w:tc>
          <w:tcPr>
            <w:tcW w:w="365" w:type="dxa"/>
            <w:tcBorders/>
            <w:vAlign w:val="center"/>
          </w:tcPr>
          <w:p>
            <w:pPr>
              <w:pStyle w:val="TableContents"/>
              <w:bidi w:val="0"/>
              <w:spacing w:before="0" w:after="283"/>
              <w:jc w:val="left"/>
              <w:rPr/>
            </w:pPr>
            <w:r>
              <w:rPr/>
              <w:t>)%</w:t>
            </w:r>
          </w:p>
        </w:tc>
      </w:tr>
      <w:tr>
        <w:trPr/>
        <w:tc>
          <w:tcPr>
            <w:tcW w:w="3320" w:type="dxa"/>
            <w:tcBorders/>
            <w:shd w:fill="CCEEFF" w:val="clear"/>
            <w:vAlign w:val="center"/>
          </w:tcPr>
          <w:p>
            <w:pPr>
              <w:pStyle w:val="TableContents"/>
              <w:bidi w:val="0"/>
              <w:spacing w:before="0" w:after="283"/>
              <w:jc w:val="left"/>
              <w:rPr/>
            </w:pPr>
            <w:r>
              <w:rPr/>
              <w:t>Total operating expenses</w:t>
            </w:r>
          </w:p>
        </w:tc>
        <w:tc>
          <w:tcPr>
            <w:tcW w:w="227"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91" w:type="dxa"/>
            <w:tcBorders>
              <w:bottom w:val="single" w:sz="6" w:space="0" w:color="000000"/>
            </w:tcBorders>
            <w:shd w:fill="CCEEFF" w:val="clear"/>
            <w:tcMar>
              <w:bottom w:w="28" w:type="dxa"/>
            </w:tcMar>
            <w:vAlign w:val="center"/>
          </w:tcPr>
          <w:p>
            <w:pPr>
              <w:pStyle w:val="TableContents"/>
              <w:bidi w:val="0"/>
              <w:spacing w:before="0" w:after="283"/>
              <w:jc w:val="right"/>
              <w:rPr/>
            </w:pPr>
            <w:r>
              <w:rPr/>
              <w:t>9,256</w:t>
            </w:r>
          </w:p>
        </w:tc>
        <w:tc>
          <w:tcPr>
            <w:tcW w:w="247"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7"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91" w:type="dxa"/>
            <w:tcBorders>
              <w:bottom w:val="single" w:sz="6" w:space="0" w:color="000000"/>
            </w:tcBorders>
            <w:shd w:fill="CCEEFF" w:val="clear"/>
            <w:tcMar>
              <w:bottom w:w="28" w:type="dxa"/>
            </w:tcMar>
            <w:vAlign w:val="center"/>
          </w:tcPr>
          <w:p>
            <w:pPr>
              <w:pStyle w:val="TableContents"/>
              <w:bidi w:val="0"/>
              <w:spacing w:before="0" w:after="283"/>
              <w:jc w:val="right"/>
              <w:rPr/>
            </w:pPr>
            <w:r>
              <w:rPr/>
              <w:t>7,860</w:t>
            </w:r>
          </w:p>
        </w:tc>
        <w:tc>
          <w:tcPr>
            <w:tcW w:w="247"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shd w:fill="CCEEFF" w:val="clear"/>
            <w:tcMar>
              <w:bottom w:w="28" w:type="dxa"/>
            </w:tcMar>
            <w:vAlign w:val="center"/>
          </w:tcPr>
          <w:p>
            <w:pPr>
              <w:pStyle w:val="TableContents"/>
              <w:bidi w:val="0"/>
              <w:spacing w:before="0" w:after="283"/>
              <w:jc w:val="right"/>
              <w:rPr/>
            </w:pPr>
            <w:r>
              <w:rPr/>
              <w:t>1,396</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18</w:t>
            </w:r>
          </w:p>
        </w:tc>
        <w:tc>
          <w:tcPr>
            <w:tcW w:w="365" w:type="dxa"/>
            <w:tcBorders/>
            <w:shd w:fill="CCEEFF" w:val="clear"/>
            <w:vAlign w:val="center"/>
          </w:tcPr>
          <w:p>
            <w:pPr>
              <w:pStyle w:val="TableContents"/>
              <w:bidi w:val="0"/>
              <w:spacing w:before="0" w:after="283"/>
              <w:jc w:val="left"/>
              <w:rPr/>
            </w:pPr>
            <w:r>
              <w:rPr/>
              <w:t>%</w:t>
            </w:r>
          </w:p>
        </w:tc>
      </w:tr>
      <w:tr>
        <w:trPr/>
        <w:tc>
          <w:tcPr>
            <w:tcW w:w="3320" w:type="dxa"/>
            <w:tcBorders/>
            <w:vAlign w:val="center"/>
          </w:tcPr>
          <w:p>
            <w:pPr>
              <w:pStyle w:val="TableContents"/>
              <w:bidi w:val="0"/>
              <w:spacing w:before="0" w:after="283"/>
              <w:jc w:val="left"/>
              <w:rPr/>
            </w:pPr>
            <w:r>
              <w:rPr/>
              <w:t>Loss from operations</w:t>
            </w:r>
          </w:p>
        </w:tc>
        <w:tc>
          <w:tcPr>
            <w:tcW w:w="227" w:type="dxa"/>
            <w:tcBorders>
              <w:bottom w:val="single" w:sz="6" w:space="0" w:color="000000"/>
            </w:tcBorders>
            <w:tcMar>
              <w:bottom w:w="28" w:type="dxa"/>
            </w:tcMar>
            <w:vAlign w:val="center"/>
          </w:tcPr>
          <w:p>
            <w:pPr>
              <w:pStyle w:val="TableContents"/>
              <w:bidi w:val="0"/>
              <w:spacing w:before="0" w:after="283"/>
              <w:jc w:val="left"/>
              <w:rPr/>
            </w:pPr>
            <w:r>
              <w:rPr/>
              <w:t> </w:t>
            </w:r>
          </w:p>
        </w:tc>
        <w:tc>
          <w:tcPr>
            <w:tcW w:w="891" w:type="dxa"/>
            <w:tcBorders>
              <w:bottom w:val="single" w:sz="6" w:space="0" w:color="000000"/>
            </w:tcBorders>
            <w:tcMar>
              <w:bottom w:w="28" w:type="dxa"/>
            </w:tcMar>
            <w:vAlign w:val="center"/>
          </w:tcPr>
          <w:p>
            <w:pPr>
              <w:pStyle w:val="TableContents"/>
              <w:bidi w:val="0"/>
              <w:spacing w:before="0" w:after="283"/>
              <w:jc w:val="right"/>
              <w:rPr/>
            </w:pPr>
            <w:r>
              <w:rPr/>
              <w:t>(7,020</w:t>
            </w:r>
          </w:p>
        </w:tc>
        <w:tc>
          <w:tcPr>
            <w:tcW w:w="247"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bottom w:val="single" w:sz="6" w:space="0" w:color="000000"/>
            </w:tcBorders>
            <w:tcMar>
              <w:bottom w:w="28" w:type="dxa"/>
            </w:tcMar>
            <w:vAlign w:val="center"/>
          </w:tcPr>
          <w:p>
            <w:pPr>
              <w:pStyle w:val="TableContents"/>
              <w:bidi w:val="0"/>
              <w:spacing w:before="0" w:after="283"/>
              <w:jc w:val="left"/>
              <w:rPr/>
            </w:pPr>
            <w:r>
              <w:rPr/>
              <w:t> </w:t>
            </w:r>
          </w:p>
        </w:tc>
        <w:tc>
          <w:tcPr>
            <w:tcW w:w="891" w:type="dxa"/>
            <w:tcBorders>
              <w:bottom w:val="single" w:sz="6" w:space="0" w:color="000000"/>
            </w:tcBorders>
            <w:tcMar>
              <w:bottom w:w="28" w:type="dxa"/>
            </w:tcMar>
            <w:vAlign w:val="center"/>
          </w:tcPr>
          <w:p>
            <w:pPr>
              <w:pStyle w:val="TableContents"/>
              <w:bidi w:val="0"/>
              <w:spacing w:before="0" w:after="283"/>
              <w:jc w:val="right"/>
              <w:rPr/>
            </w:pPr>
            <w:r>
              <w:rPr/>
              <w:t>(6,777</w:t>
            </w:r>
          </w:p>
        </w:tc>
        <w:tc>
          <w:tcPr>
            <w:tcW w:w="247"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tcMar>
              <w:bottom w:w="28" w:type="dxa"/>
            </w:tcMar>
            <w:vAlign w:val="center"/>
          </w:tcPr>
          <w:p>
            <w:pPr>
              <w:pStyle w:val="TableContents"/>
              <w:bidi w:val="0"/>
              <w:spacing w:before="0" w:after="283"/>
              <w:jc w:val="right"/>
              <w:rPr/>
            </w:pPr>
            <w:r>
              <w:rPr/>
              <w:t>(243</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4</w:t>
            </w:r>
          </w:p>
        </w:tc>
        <w:tc>
          <w:tcPr>
            <w:tcW w:w="365" w:type="dxa"/>
            <w:tcBorders/>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u w:val="single"/>
        </w:rPr>
      </w:pPr>
      <w:r>
        <w:rPr>
          <w:rFonts w:ascii="Times New Roman" w:hAnsi="Times New Roman"/>
          <w:b w:val="false"/>
          <w:i w:val="false"/>
          <w:caps w:val="false"/>
          <w:smallCaps w:val="false"/>
          <w:sz w:val="20"/>
          <w:u w:val="single"/>
        </w:rPr>
        <w:t>Revenue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reported net revenue of $3.2 million for the six months ended June 30, 2026, as compared to $1.8 million for the six months ended June 30, 2025, representing an increase of $1.4 million, or 78%. The increase reflects higher product sales, partially offset by a decline in technology-enabled services revenue.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Product sales were $2.6 million for the six months ended June 30, 2026, compared to $0.4 million for the six months ended June 30, 2025, an increase of $2.3 million, or 633%. The increase reflects higher shipments of BolaWrap 150 devices and cassettes to both domestic and international customers as order flow continued to improve following the transition to a more direct, agency-focused go-to-market approach. Cassettes and consumables represented a growing component of product revenue, consistent with the expanding base of BolaWrap devices in active field use.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Technology-enabled services revenue was $0.5 million for the six months ended June 30, 2026, compared to $1.4 million for the six months ended June 30, 2025, a decrease of $0.9 million, or 62%. The decrease reflects the strategic restructuring of our managed services offerings following the Company's decision to wind down certain advisory and investigative service arrangements associated with the W1 asset acquisition in February 2025, which are not necessarily representative of the ongoing business. This decline was partially offset by growth in WrapVision body-worn camera and related software revenue. The Company is focusing its technology-enabled services revenue on its higher-margin subscription and software-based offerings, including WrapTactics and Wrap Reality, as well as WrapVision evidence management subscriptions. The timing of subscription renewals and new contract activations contributed to the year-over-year decline in this revenue category for the six months ended June 30, 2026.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Prior period "Managed services" and "Other revenue" have been reclassified into "Technology enabled services" to conform to the current period presentation.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u w:val="single"/>
        </w:rPr>
      </w:pPr>
      <w:r>
        <w:rPr>
          <w:rFonts w:ascii="Times New Roman" w:hAnsi="Times New Roman"/>
          <w:b w:val="false"/>
          <w:i w:val="false"/>
          <w:caps w:val="false"/>
          <w:smallCaps w:val="false"/>
          <w:sz w:val="20"/>
          <w:u w:val="single"/>
        </w:rPr>
        <w:t>Gross Profit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Gross profit was $2.2 million for the six months ended June 30, 2026, compared to $1.1 million for the six months ended June 30, 2025, an increase of $1.2 million, or 106%. Gross margin was 70.7% for the six months ended June 30, 2026, compared to 60.9% for the six months ended June 30, 2025. The improvement in gross margin percentage reflects the significantly higher volume of product sales, which absorbed fixed manufacturing overhead more efficiently, partially offset by a shift in revenue mix away from higher-margin technology-enabled services. Cost of revenues increased $232 thousand to $0.9 million, consistent with the higher product volume. We expect gross margins to continue to be influenced by the relative mix of product sales and technology-enabled services revenue in future periods. </w:t>
      </w:r>
    </w:p>
    <w:p>
      <w:pPr>
        <w:pStyle w:val="TextBody"/>
        <w:bidi w:val="0"/>
        <w:spacing w:before="0" w:after="0"/>
        <w:jc w:val="both"/>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24</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b w:val="false"/>
          <w:i w:val="false"/>
          <w:caps w:val="false"/>
          <w:smallCaps w:val="false"/>
          <w:sz w:val="20"/>
          <w:u w:val="single"/>
        </w:rPr>
      </w:pPr>
      <w:r>
        <w:rPr>
          <w:rFonts w:ascii="Times New Roman" w:hAnsi="Times New Roman"/>
          <w:b w:val="false"/>
          <w:i w:val="false"/>
          <w:caps w:val="false"/>
          <w:smallCaps w:val="false"/>
          <w:sz w:val="20"/>
          <w:u w:val="single"/>
        </w:rPr>
        <w:t>Selling, General and Administrative Expense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SG&amp;A expense was $9.0 million for the six months ended June 30, 2026, compared to $7.3 million for the six months ended June 30, 2025, an increase of $1.7 million, or 24%. The increase was driven primarily by higher non-cash share-based compensation expense.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Share-based compensation allocated to SG&amp;A was $3.6 million for the six months ended June 30, 2026, compared to $2.4 million for the six months ended June 30, 2025, reflecting grants issued to new and existing employees and officers in connection with equity incentive awards granted in 2025.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Cash-based SG&amp;A costs, including salaries and burden, occupancy, marketing, and professional fees were $5.4 million for the six months ended June 30, 2026, compared to $4.9 million for the six months ended June 30, 2025. The increase of approximately $0.5 million, or 11%, was primarily due to increased professional fees, partially offset by overall declines in office expense and other general and administrative expenses as the Company maintained ongoing cost discipline.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u w:val="single"/>
        </w:rPr>
        <w:t>Research and Development Expense</w:t>
      </w:r>
      <w:r>
        <w:rPr>
          <w:rFonts w:ascii="Times New Roman" w:hAnsi="Times New Roman"/>
          <w:b w:val="false"/>
          <w:i w:val="false"/>
          <w:caps w:val="false"/>
          <w:smallCaps w:val="false"/>
          <w:sz w:val="2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Research and development expense was $257 thousand for the six months ended June 30, 2026, compared to $594 thousand for the six months ended June 30, 2025, a decrease of $337 thousand, or 57%. The decrease reflects the Company's shift to a more variable-cost development model and reduced headcount dedicated to R&amp;D activities, as the primary platforms — BolaWrap 150, WrapTactics, WrapVision, and Wrap Reality — have advanced beyond the primary development phase and are now in commercial deployment. R&amp;D investment is expected to continue at a more modest level in 2026, focused on incremental product enhancements, the WrapTactics content library, and counter-UAS development activities for the MERLIN program.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u w:val="single"/>
        </w:rPr>
      </w:pPr>
      <w:r>
        <w:rPr>
          <w:rFonts w:ascii="Times New Roman" w:hAnsi="Times New Roman"/>
          <w:b w:val="false"/>
          <w:i w:val="false"/>
          <w:caps w:val="false"/>
          <w:smallCaps w:val="false"/>
          <w:sz w:val="20"/>
          <w:u w:val="single"/>
        </w:rPr>
        <w:t>Operating Loss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Loss from operations was $7.0 million for the six months ended June 30, 2026, compared to $6.8 million for the six months ended June 30, 2025, an increase of $243 thousand, or 4%. The increased operating loss reflected higher operating expenses, driven primarily by an increase in non-cash share-based compensation expense, substantially offset by increased gross profit.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u w:val="single"/>
          <w:shd w:fill="FFFFFF" w:val="clear"/>
        </w:rPr>
      </w:pPr>
      <w:r>
        <w:rPr>
          <w:rFonts w:ascii="Times New Roman" w:hAnsi="Times New Roman"/>
          <w:b w:val="false"/>
          <w:i w:val="false"/>
          <w:caps w:val="false"/>
          <w:smallCaps w:val="false"/>
          <w:sz w:val="20"/>
          <w:u w:val="single"/>
          <w:shd w:fill="FFFFFF" w:val="clear"/>
        </w:rPr>
        <w:t xml:space="preserve">Other Income (Expense), Net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shd w:fill="FFFFFF" w:val="clear"/>
        </w:rPr>
      </w:pPr>
      <w:r>
        <w:rPr>
          <w:rFonts w:ascii="Times New Roman" w:hAnsi="Times New Roman"/>
          <w:b w:val="false"/>
          <w:i w:val="false"/>
          <w:caps w:val="false"/>
          <w:smallCaps w:val="false"/>
          <w:sz w:val="20"/>
          <w:shd w:fill="FFFFFF" w:val="clear"/>
        </w:rPr>
        <w:t xml:space="preserve">Total other income, net was $223 thousand for the six months ended June 30, 2026, compared to $3.2 million for the six months ended June 30, 2025, a decrease of $2.9 million. The year-over-year change is primarily attributable to the non-recurrence of the net non-cash gain from the change in fair value of warrant liabilities that was recorded during the six months ended June 30, 2025, partially offset by a non-cash gain on lease termination recognized during the six months ended June 30, 2026.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shd w:fill="FFFFFF" w:val="clear"/>
        </w:rPr>
      </w:pPr>
      <w:r>
        <w:rPr>
          <w:rFonts w:ascii="Times New Roman" w:hAnsi="Times New Roman"/>
          <w:b w:val="false"/>
          <w:i/>
          <w:caps w:val="false"/>
          <w:smallCaps w:val="false"/>
          <w:sz w:val="20"/>
          <w:shd w:fill="FFFFFF" w:val="clear"/>
        </w:rPr>
        <w:t>Gain on Lease Termination.</w:t>
      </w:r>
      <w:r>
        <w:rPr>
          <w:rFonts w:ascii="Times New Roman" w:hAnsi="Times New Roman"/>
          <w:b w:val="false"/>
          <w:i w:val="false"/>
          <w:caps w:val="false"/>
          <w:smallCaps w:val="false"/>
          <w:sz w:val="20"/>
          <w:shd w:fill="FFFFFF" w:val="clear"/>
        </w:rPr>
        <w:t xml:space="preserve"> During the six months ended June 30, 2026, the Company recognized a $227 thousand gain on lease termination in connection with the early termination of the office lease at 3480 Main Highway, Suite 202, Miami, Florida (Coconut Grove). On February 13, 2026, the Company entered into a Termination and Mutual Release Agreement with the landlord, terminating the lease effective as of that date. Under ASC 842, upon termination the Company derecognized the carrying value of the operating lease right-of-use asset and the corresponding lease liability, resulting in the $227 thousand non-cash gain representing the excess of the liability extinguished over the right-of-use asset derecognized as of the termination date. The gain is non-cash and non-recurring in nature.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shd w:fill="FFFFFF" w:val="clear"/>
        </w:rPr>
      </w:pPr>
      <w:r>
        <w:rPr>
          <w:rFonts w:ascii="Times New Roman" w:hAnsi="Times New Roman"/>
          <w:b w:val="false"/>
          <w:i/>
          <w:caps w:val="false"/>
          <w:smallCaps w:val="false"/>
          <w:sz w:val="20"/>
          <w:shd w:fill="FFFFFF" w:val="clear"/>
        </w:rPr>
        <w:t>Change in Fair Value of Warrant Liabilities.</w:t>
      </w:r>
      <w:r>
        <w:rPr>
          <w:rFonts w:ascii="Times New Roman" w:hAnsi="Times New Roman"/>
          <w:b w:val="false"/>
          <w:i w:val="false"/>
          <w:caps w:val="false"/>
          <w:smallCaps w:val="false"/>
          <w:sz w:val="20"/>
          <w:shd w:fill="FFFFFF" w:val="clear"/>
        </w:rPr>
        <w:t xml:space="preserve"> During the six months ended June 30, 2025, the Company recognized a net non-cash gain of $3.2 million attributable to changes in the fair value of outstanding warrant liabilities, consisting of a $4.0 million gain recognized during the three months ended March 31, 2025, partially offset by an $871 thousand loss recognized during the three months ended June 30, 2025, prior to the warrants' reclassification to permanent equity. On June 30, 2025, the Company amended its warrants issued in connection with the Series A Preferred Stock offering (the “Series A Warrants”) and its warrants issued in the February 2025 private placement (the “PIPE Warrants”), resulting in their reclassification from warrant liabilities to permanent equity under ASC 815-40. Following this reclassification, the Company no longer carries warrant liabilities on its balance sheet and does not record non-cash income or expense related to changes in warrant fair value. Accordingly, no such gain or loss was recognized during the six months ended June 30, 2026, and no comparable item is expected in future periods. </w:t>
      </w:r>
    </w:p>
    <w:p>
      <w:pPr>
        <w:pStyle w:val="TextBody"/>
        <w:bidi w:val="0"/>
        <w:spacing w:before="0" w:after="0"/>
        <w:jc w:val="both"/>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25</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b w:val="false"/>
          <w:i w:val="false"/>
          <w:caps w:val="false"/>
          <w:smallCaps w:val="false"/>
          <w:sz w:val="20"/>
          <w:shd w:fill="FFFFFF" w:val="clear"/>
        </w:rPr>
      </w:pPr>
      <w:r>
        <w:rPr>
          <w:rFonts w:ascii="Times New Roman" w:hAnsi="Times New Roman"/>
          <w:b w:val="false"/>
          <w:i/>
          <w:caps w:val="false"/>
          <w:smallCaps w:val="false"/>
          <w:sz w:val="20"/>
          <w:shd w:fill="FFFFFF" w:val="clear"/>
        </w:rPr>
        <w:t>Interest Income.</w:t>
      </w:r>
      <w:r>
        <w:rPr>
          <w:rFonts w:ascii="Times New Roman" w:hAnsi="Times New Roman"/>
          <w:b w:val="false"/>
          <w:i w:val="false"/>
          <w:caps w:val="false"/>
          <w:smallCaps w:val="false"/>
          <w:sz w:val="20"/>
          <w:shd w:fill="FFFFFF" w:val="clear"/>
        </w:rPr>
        <w:t xml:space="preserve"> Interest income was $3 thousand for the six months ended June 30, 2026, compared to $3 thousand for the six months ended June 30, 2025.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shd w:fill="FFFFFF" w:val="clear"/>
        </w:rPr>
      </w:pPr>
      <w:r>
        <w:rPr>
          <w:rFonts w:ascii="Times New Roman" w:hAnsi="Times New Roman"/>
          <w:b w:val="false"/>
          <w:i/>
          <w:caps w:val="false"/>
          <w:smallCaps w:val="false"/>
          <w:sz w:val="20"/>
          <w:shd w:fill="FFFFFF" w:val="clear"/>
        </w:rPr>
        <w:t>Net Loss</w:t>
      </w:r>
      <w:r>
        <w:rPr>
          <w:rFonts w:ascii="Times New Roman" w:hAnsi="Times New Roman"/>
          <w:b w:val="false"/>
          <w:i w:val="false"/>
          <w:caps w:val="false"/>
          <w:smallCaps w:val="false"/>
          <w:sz w:val="20"/>
          <w:shd w:fill="FFFFFF" w:val="clear"/>
        </w:rPr>
        <w:t xml:space="preserve">. Net loss was $6.8 million for the six months ended June 30, 2026, compared to net loss of $3.6 million for the six months ended June 30, 2025. The increase in net loss primarily reflects the non-recurrence of the $3.2 million non-cash net gain from the change in fair value of warrant liabilities recorded in the prior-year period, partially offset by the $227 thousand non-cash gain on lease termination recognized in the current-year period.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shd w:fill="FFFFFF" w:val="clear"/>
        </w:rPr>
      </w:pPr>
      <w:r>
        <w:rPr>
          <w:rFonts w:ascii="Times New Roman" w:hAnsi="Times New Roman"/>
          <w:b w:val="false"/>
          <w:i w:val="false"/>
          <w:caps w:val="false"/>
          <w:smallCaps w:val="false"/>
          <w:sz w:val="20"/>
          <w:shd w:fill="FFFFFF" w:val="clear"/>
        </w:rPr>
        <w:t xml:space="preserve">Net loss attributable to common stockholders was $7.2 million, or $(0.13) per basic and diluted share, for the six months ended June 30, 2026, compared to a net loss attributable to common stockholders of $3.9 million, or $(0.07) per basic and diluted share, for the six months ended June 30, 2025. The weighted average common shares used in the calculation were approximately 54.9 million for the six months ended June 30, 2026, compared to 49.4 million for the six months ended June 30, 2025, reflecting shares issued in the February 2025 private placement, the February 2026 private placement, and other equity issuances.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Liquidity and Capital Resources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Overview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primary source of liquidity has been funding from stockholders through the sale of equity securities and the exercise of derivative securities. We expect our primary sources of future liquidity to be product and technology-enabled services revenue, proceeds from the exercise of outstanding stock options and warrants, and future equity or debt financings as needed.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June 30, 2026, we had cash and cash equivalents of $4.8 million and working capital of $11.6 million (total current assets of $13.2 million less total current liabilities of $1.6 million). This compares to cash and cash equivalents of $3.5 million and working capital of $9.6 million as of December 31, 2025. The $1.3 million increase in cash during the six months ended June 30, 2026 was driven primarily by $5.0 million in proceeds from the February 2026 private placement and $100 thousand from warrant exercises, partially offset by $3.7 million of cash used in operations and $108 thousand used in investing activities.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Total liabilities decreased to $2.0 million as of June 30, 2026, from $3.9 million as of December 31, 2025. This decline was principally driven by the derecognition of the operating lease liability upon termination of the Coconut Grove, Florida lease (3480 Main Highway, Suite 202, Miami, Florida), partially offset by increases in accounts payable and customer deposits associated with the Company's normal business operations. Total stockholders' equity increased to $13.3 million from $11.5 million, reflecting $5.1 million in net equity proceeds from the private placement and warrant exercises and non-cash share-based compensation expense, offset by the net loss for the period.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believe we have sufficient capital to fund our operations for at least the next twelve months from the date of this Report based on our current operating plan, existing cash balances, and expected revenues. In the short term, we expect to use our cash and cash equivalents to fund ongoing operating needs, including personnel and talent recruitment, manufacturing of our products, supply chain purchases, sales and marketing activities, and general working capital. Over the longer term, we expect to continue funding these activities as well as making investments to support the continued growth of our business as opportunities arise. However, we have generated significant losses since inception and expect to continue to incur net losses as we invest in our business. Liquidity constraints and limited access to capital markets could negatively affect our ability to fund operations and may require changes to our operating or investment strategy. If additional capital is required, we may seek to raise funds through public or private equity offerings, debt financings, or strategic transactions; however, there can be no assurance that such financing would be available on acceptable terms or at all. </w:t>
      </w:r>
    </w:p>
    <w:p>
      <w:pPr>
        <w:pStyle w:val="TextBody"/>
        <w:bidi w:val="0"/>
        <w:spacing w:before="0" w:after="0"/>
        <w:jc w:val="both"/>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26</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Capital Requirements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future liquidity requirements or future capital needs will depend on, among other things, capital required to introduce new products and the operational staffing and support requirements, as well as the timing and amount of future revenue and product costs. We anticipate that demands for operating and working capital may grow depending on decisions on staffing, development, production, marketing, training and other functions and based on other factors outside of our control, including the timing of receipt of revenue.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future capital requirements, cash flows and results of operations could be affected by, and will depend on, many factors, some of which are currently unknown to us, including, among other things: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200"/>
        <w:gridCol w:w="9835"/>
      </w:tblGrid>
      <w:tr>
        <w:trPr/>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83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Decisions regarding staffing, development, production, marketing and other functions; </w:t>
            </w:r>
          </w:p>
        </w:tc>
      </w:tr>
      <w:tr>
        <w:trPr/>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8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83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timing and extent of market acceptance of our products; </w:t>
            </w:r>
          </w:p>
        </w:tc>
      </w:tr>
      <w:tr>
        <w:trPr/>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8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83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Costs, timing and outcome of planned production and required customer and regulatory compliance of our products; </w:t>
            </w:r>
          </w:p>
        </w:tc>
      </w:tr>
      <w:tr>
        <w:trPr/>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8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83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Costs of preparing, filing and prosecuting our patent applications and defending any future intellectual property-related claims; </w:t>
            </w:r>
          </w:p>
        </w:tc>
      </w:tr>
      <w:tr>
        <w:trPr/>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8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83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Costs and timing of additional product development; </w:t>
            </w:r>
          </w:p>
        </w:tc>
      </w:tr>
      <w:tr>
        <w:trPr/>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8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83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Costs, timing and outcome of any future warranty claims or litigation against us associated with any of our products; </w:t>
            </w:r>
          </w:p>
        </w:tc>
      </w:tr>
      <w:tr>
        <w:trPr/>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8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83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Ability to collect accounts receivable; and </w:t>
            </w:r>
          </w:p>
        </w:tc>
      </w:tr>
      <w:tr>
        <w:trPr/>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8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83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Timing and costs associated with any new financing.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Principal factors that could affect our ability to obtain cash from external sources including from exercise of outstanding warrants and options include:</w:t>
      </w:r>
    </w:p>
    <w:p>
      <w:pPr>
        <w:pStyle w:val="TextBody"/>
        <w:bidi w:val="0"/>
        <w:spacing w:before="0" w:after="0"/>
        <w:jc w:val="both"/>
        <w:rPr>
          <w:caps w:val="false"/>
          <w:smallCaps w:val="false"/>
        </w:rPr>
      </w:pPr>
      <w:r>
        <w:rPr>
          <w:caps w:val="false"/>
          <w:smallCaps w:val="false"/>
        </w:rPr>
        <w:t>  </w:t>
      </w:r>
    </w:p>
    <w:tbl>
      <w:tblPr>
        <w:tblW w:w="5115" w:type="dxa"/>
        <w:jc w:val="left"/>
        <w:tblInd w:w="0" w:type="dxa"/>
        <w:tblLayout w:type="fixed"/>
        <w:tblCellMar>
          <w:top w:w="0" w:type="dxa"/>
          <w:left w:w="0" w:type="dxa"/>
          <w:bottom w:w="0" w:type="dxa"/>
          <w:right w:w="0" w:type="dxa"/>
        </w:tblCellMar>
      </w:tblPr>
      <w:tblGrid>
        <w:gridCol w:w="170"/>
        <w:gridCol w:w="260"/>
        <w:gridCol w:w="4685"/>
      </w:tblGrid>
      <w:tr>
        <w:trPr/>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468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Volatility in the capital markets; and </w:t>
            </w:r>
          </w:p>
        </w:tc>
      </w:tr>
      <w:tr>
        <w:trPr/>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46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468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Market price and trading volume of our Common Stock. </w:t>
            </w:r>
          </w:p>
        </w:tc>
      </w:tr>
    </w:tbl>
    <w:p>
      <w:pPr>
        <w:pStyle w:val="TextBody"/>
        <w:bidi w:val="0"/>
        <w:spacing w:before="0" w:after="0"/>
        <w:jc w:val="both"/>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27</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Series A Offering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On June 29, 2023, the Company entered into a Securities Purchase Agreement (“Series A Purchase Agreement”) with certain accredited investors, including Scot Cohen, the Company’s Executive Chairman and Chief Executive Officer (collectively, the “Series A Investors”), pursuant to which we agreed to sell to the Series A Investors in a registered direct offering (the “Series A Offering”) (i) an aggregate of 10,000 shares of the Company’s Series A Convertible Preferred Stock, par value $0.0001 per share (the “Series A Preferred Stock”), initially convertible into up to 6,896,553 shares of the Company’s Common Stock, at an initial conversion price of $1.45 per share, and (ii) the Series A Warrants to acquire up to an aggregate of 6,896,553 shares of Common Stock (the “Series A Warrant Shares”). The closing of the Series A Offering occurred on July 3, 2023. The aggregate gross proceeds from the Series A Offering were approximately $10 million.</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Series A Preferred Stock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On July 3, 2023, the Company filed the Certificate of Designations of the Series A Preferred Stock (the “Series A Certificate of Designations”) with the Secretary of State of the State of Delaware. The Series A Preferred Stock is convertible into shares of Common Stock (the “Series A Conversion Shares”) at the election of the holder at any time at an initial conversion price of $1.45. The conversion price is subject to customary adjustments for stock dividends, stock splits, reclassifications and the like, and subject to price-based adjustment in the event of any issuances of common stock, or securities convertible, exercisable or exchangeable for common stock, at a price below the then-applicable conversion price (subject to certain exceptions).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holders of the Series A Preferred Stock are entitled to dividends of 8% per annum, compounded monthly, which are payable in cash or shares of Common Stock, or a combination thereof, at the Company’s option in accordance with the terms of the Series A Certificate of Designations. Upon the occurrence and during the continuance of a Triggering Event (as defined in the Series A Certificate of Designations), the Series A Preferred Stock will accrue dividends at the rate of 20% per annum. If the Company elects to pay any dividends in shares of Common Stock, the conversion price used to calculate the number of shares issuable will equal the lower of (i) the then applicable conversion price and (ii) 85% of the arithmetic average of the three (3) lowest closing prices of the Company’s Common Stock during the twenty (20) consecutive trading day period ending on the trading day immediately preceding the dividend payment date, provided that such price shall not be lower than the lower of (x) $0.2828 (subject to adjustment for stock splits, stock dividends, stock combinations, recapitalizations or other similar events ) and (y) 20% of the “Minimum Price” (as defined in Nasdaq Stock Market Rule 5635) on the date of receipt of stockholder approval of the transactions contemplated by the Series A Purchase Agreement (subject to adjustment for stock splits, stock dividends, stock combinations, recapitalizations or other similar events) or, in any case, such lower amount as permitted, from time to time, by the Nasdaq Stock Market.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Company may require holders to convert their shares of Series A Preferred Stock into shares of Common Stock if the closing price of the Company’s Common Stock exceeds $8.00 per share (subject to adjustment for stock splits, stock dividends, stock combinations, recapitalizations or other similar events) for 20 consecutive trading days and the daily dollar trading volume of the Common Stock exceeds $2,000,000 per day during the same period, provided that certain equity conditions described in the Series A Certificate of Designations are satisfied.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At any time beginning 18 months from the date of the issuance, provided that the Company has filed all reports required to be filed by it pursuant to the Exchange Act on a timely basis for a continuous period of one year and provided further that certain equity conditions described in the Series A Certificate of Designations are satisfied, the Company has the right to redeem in cash all or some of the shares of the Series A Preferred Stock outstanding at such time at a redemption price equal to the product of (x) 125% multiplied by (y) the sum of (A) the stated value of the Series A Preferred Stock plus (B) all declared and unpaid dividends on such Series A Preferred Stock and any other unpaid amounts then due and payable hereunder with respect to such Series A Preferred Stock, plus (C) the make-whole amount, plus (D) any accrued and unpaid late charges with respect to such stated value and amounts payable pursuant to clause (B) as of such date of determination.</w:t>
      </w:r>
    </w:p>
    <w:p>
      <w:pPr>
        <w:pStyle w:val="TextBody"/>
        <w:bidi w:val="0"/>
        <w:spacing w:before="0" w:after="0"/>
        <w:jc w:val="both"/>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28</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b/>
          <w:i/>
          <w:sz w:val="20"/>
        </w:rPr>
      </w:pPr>
      <w:r>
        <w:rPr>
          <w:rFonts w:ascii="Times New Roman" w:hAnsi="Times New Roman"/>
          <w:b/>
          <w:i/>
          <w:sz w:val="20"/>
        </w:rPr>
        <w:t>Series B Offering</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On August 18, 2025, the Company entered into a Securities Purchase Agreement (the “Series B Purchase Agreement”) with certain accredited investors (the “Series B Purchasers”) for the issuance and sale in a private placement (the “Series B Private Placement”) of an aggregate of (i) 4,500 shares of the Company’s Series B Preferred Stock initially convertible into up to 3,000,000 shares of Common Stock (the “Series B Conversion Shares”), at an initial conversion price of $1.50 per share, and (ii) accompanying warrants (the “Series B Warrants”) to purchase up to 3,000,000 shares of Common Stock (the “Series B Warrant Shares”), with an initial exercise price of $1.50 per share. The Series B Warrants and the shares of Series B Preferred Stock will be exercisable or convertible, respectively, into shares of Common Stock beginning on the effective date of stockholder approval of (i) under Nasdaq Stock Market Rule 5635(d), the issuance of shares of Common Stock in excess of 19.99% of the Company’s issued and outstanding shares of Common Stock at prices below the “Minimum Price” (as defined in Rule 5635 of the Rules of the Nasdaq Stock Market) on the date of the Series B Purchase Agreement pursuant to the terms of the Series B Preferred Stock and the Series B Warrants, and (ii) an increase in the authorized shares of the Company. On December 12, 2025, at the Company’s 2025 Annual Meeting of Stockholders, the Company obtained stockholder approval pursuant to the Series B Registration Rights Agreement (the “Series B Stockholder Approval”).</w:t>
      </w:r>
    </w:p>
    <w:p>
      <w:pPr>
        <w:pStyle w:val="TextBody"/>
        <w:bidi w:val="0"/>
        <w:spacing w:before="0" w:after="0"/>
        <w:jc w:val="both"/>
        <w:rPr/>
      </w:pPr>
      <w:r>
        <w:rPr/>
        <w:t> </w:t>
      </w:r>
    </w:p>
    <w:p>
      <w:pPr>
        <w:pStyle w:val="TextBody"/>
        <w:bidi w:val="0"/>
        <w:spacing w:before="0" w:after="0"/>
        <w:jc w:val="both"/>
        <w:rPr>
          <w:rFonts w:ascii="Times New Roman" w:hAnsi="Times New Roman"/>
          <w:i/>
          <w:sz w:val="20"/>
        </w:rPr>
      </w:pPr>
      <w:r>
        <w:rPr>
          <w:rFonts w:ascii="Times New Roman" w:hAnsi="Times New Roman"/>
          <w:i/>
          <w:sz w:val="20"/>
        </w:rPr>
        <w:t>Series B Preferred Stock</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On August 20, 2025, the Company filed the Series B Certificate of Designations, thereby creating the Series B Preferred Stock. The Series B Certificate of Designations became effective with the Secretary of State of the State of Delaware upon filing. The Series B Preferred Stock are convertible into the Series B Conversion Shares at the election of the holders of the Series B Preferred Stock at any time at an initial conversion price of $1.50 per share. The conversion price is subject to customary adjustments for stock dividends, stock splits, reclassifications, stock combinations and the like (subject to certain exceptions).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Holders of the Series B Preferred Stock shall be entitled to receive dividends when and as declared by the Board, from time to time, in its sole discretion, which dividends will be paid by the Company out of funds legally available therefor, payable, subject to the conditions and other terms of the Series B Certificate of Designations, in cash, in securities of the Company or using assets as determined by the Board on the stated value of such Series B Preferred Stock.</w:t>
      </w:r>
    </w:p>
    <w:p>
      <w:pPr>
        <w:pStyle w:val="TextBody"/>
        <w:bidi w:val="0"/>
        <w:spacing w:before="0" w:after="0"/>
        <w:jc w:val="both"/>
        <w:rPr/>
      </w:pPr>
      <w:r>
        <w:rPr/>
        <w:t> </w:t>
      </w:r>
    </w:p>
    <w:p>
      <w:pPr>
        <w:pStyle w:val="TextBody"/>
        <w:bidi w:val="0"/>
        <w:spacing w:before="0" w:after="0"/>
        <w:jc w:val="both"/>
        <w:rPr>
          <w:rFonts w:ascii="Times New Roman" w:hAnsi="Times New Roman"/>
          <w:i/>
          <w:sz w:val="20"/>
        </w:rPr>
      </w:pPr>
      <w:r>
        <w:rPr>
          <w:rFonts w:ascii="Times New Roman" w:hAnsi="Times New Roman"/>
          <w:i/>
          <w:sz w:val="20"/>
        </w:rPr>
        <w:t>Series B Warrants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A holder of the Series B Warrants may not exercise any portion of such holder’s Series B Warrants to the extent that the holder, together with its affiliates, would beneficially own more than 4.99% (or, at the election of the holder, 9.99%) of the Company’s outstanding shares of Common Stock immediately after exercise, except that upon at least 61 days’ prior notice from the holder to the Company, the holder may increase the beneficial ownership limitation to up to 9.99% of the number of shares of Common Stock outstanding immediately after giving effect to the exercise.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The Series B Warrants will expire five years from December 12, 2025, the effective date of the Series B Stockholder Approval.</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February 2026 Purchase Agreement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On February 2, 2026, we entered into the February 2026 Purchase Agreement with the February 2026 Purchasers for the issuance and sale in a private placement of (i) an aggregate of 1,700,000 shares of Common Stock, (ii) Pre-Funded Warrants to purchase up to 800,000 shares of Common Stock, with an exercise price of $0.0001 per share, and (iii) February 2026 Common Warrants to purchase up to 2,500,000 shares of Common Stock, with an exercise price of $2.30 per share. The purchase price for one share of Common Stock and accompanying February 2026 Common Warrant was $2.00 and the purchase price for one Pre-Funded Warrant and accompanying February 2026 Common Warrant was $1.9999. The Pre-Funded Warrants expire when exercised in full, and the February 2026 Common Warrants expire on February 3, 2031, five years from the date of issuance.</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closing of the February 2026 Private Placement (the "February 2026 Closing") occurred on February 3, 2026. The aggregate gross proceeds from the February 2026 Closing were approximately $5.0 million, prior to deducting offering expenses payable by us. </w:t>
      </w:r>
    </w:p>
    <w:p>
      <w:pPr>
        <w:pStyle w:val="TextBody"/>
        <w:bidi w:val="0"/>
        <w:spacing w:before="0" w:after="0"/>
        <w:jc w:val="left"/>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29</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caps w:val="false"/>
          <w:smallCaps w:val="false"/>
        </w:rPr>
      </w:pPr>
      <w:r>
        <w:rPr>
          <w:caps w:val="false"/>
          <w:smallCaps w:val="false"/>
        </w:rPr>
        <w:t> </w:t>
      </w:r>
      <w:r>
        <w:rPr>
          <w:rFonts w:ascii="Times New Roman" w:hAnsi="Times New Roman"/>
          <w:b/>
          <w:i/>
          <w:caps w:val="false"/>
          <w:smallCaps w:val="false"/>
          <w:sz w:val="20"/>
        </w:rPr>
        <w:t xml:space="preserve">Cash Flows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Cash Flows from Operating Activities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Net cash used in operating activities was $3.7 million for the six months ended June 30, 2026, compared to $5.0 million for the six months ended June 30, 2025. The improvement of $1.3 million year-over-year was driven by a lower cash operating loss and the non-cash gain on lease termination, partially offset by less favorable changes in working capital as compared to the prior-year period. The primary components of operating cash flow for the six months ended June 30, 2026 were the net loss of $6.8 million, adjusted for non-cash items including share-based compensation of $3.6 million and the non-cash $227 thousand gain on lease termination. Changes in working capital used approximately $0.6 million of cash during the six months ended June 30, 2026, driven by an increase in accounts receivable and contract assets of $667 thousand and an increase in prepaid expenses and other current assets of $535 thousand, partially offset by a decrease in inventories of $590 thousand and an increase in accounts payable of $144 thousand. This compares to changes in working capital that used approximately $1.0 million of cash during the six months ended June 30, 2025.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Cash Flows from Investing Activities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Net cash used in investing activities was $108 thousand for the six months ended June 30, 2026, compared to $153 thousand for the six months ended June 30, 2025. Investing outflows in the six months ended June 30, 2026 consisted of $97 thousand invested in patents and other intangible assets and $11 thousand in capital expenditures for property and equipment.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Cash Flows from Financing Activities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Net cash provided by financing activities was $5.1 million for the six months ended June 30, 2026, compared to $5.7 million for the six months ended June 30, 2025. Financing inflows in the six months ended June 30, 2026 consisted of $5.0 million in net proceeds from the February 2026 private placement and $100 thousand from the exercise of outstanding common stock purchase warrants. Financing inflows in the six months ended June 30, 2025 consisted of $5.7 million in net proceeds from the February 2025 private placement of common stock and warrants. No dividends on the Series A  Convertible Preferred Stock or Series B Convertible Preferred Stock were paid in cash during the six months ended June 30, 2026; dividends of $411 thousand were settled in shares of Common Stock.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Contractual Obligations and Commitments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Pursuant to that certain exclusive Amended and Restated Intellectual Property License Agreement, dated September 30, 2016, by and between the Company and Syzygy Licensing, LLC (“Syzygy”), we are obligated to pay to Syzygy a 4% royalty fee on future product sales up to an aggregate amount of $1.0 million in royalty payments, or until September 30, 2026, whichever occurs earlier. In 2024, the Company had incurred the maximum amount of royalties under the terms of the agreement. As of June 30, 2026, the aggregate remaining royalty obligation is $99.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September 2023, the Company entered into a lease for office space located in Coconut Grove, Florida, with a multi-year term concluding in 2031. In February 2026, the Company terminated this lease, eliminating the remaining obligation.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June 30, 2026, the Company was committed to approximately $0.5 million for future component deliveries and contract services. These commitments relate primarily to inventory purchases and service agreements that are generally subject to modification or rescheduling in the normal course of business.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August 2025, the Company entered into a lease for manufacturing and office space located in Southwest Virginia, with a multi-year term commencing in October 2025 and concluding in 2030. The Company was granted early occupancy of the facility beginning on August 18, 2025. As of June 30, 2026, aggregate remaining minimum lease payments under this lease totaled approximately $0.5 million.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March 2026, the Company entered into a month-to-month service agreement for a business address located in Miami, Florida, at an approximate monthly cost of $165. The agreement may be terminated by either party in accordance with its terms.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does not have any material long-term debt obligations as of June 30, 2026. </w:t>
      </w:r>
    </w:p>
    <w:p>
      <w:pPr>
        <w:pStyle w:val="TextBody"/>
        <w:bidi w:val="0"/>
        <w:spacing w:before="0" w:after="0"/>
        <w:jc w:val="both"/>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30</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Off-Balance Sheet Arrangements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has not entered into any off-balance sheet financial guarantees or other off-balance sheet commitments to guarantee the payment obligations of any third parties. The Company has not entered into any derivative contracts that are indexed to the Company’s shares and classified as stockholder’s equity or that are not reflected in the Company’s financial statements included in this Quarterly Report on Form 10-Q. Furthermore, the Company does not have any retained or contingent interest in assets transferred to an unconsolidated entity that serves as credit, liquidity or market risk support to such entity. The Company does not have any variable interest in any unconsolidated entity that provides financing, liquidity, market risk or credit support to us or engages in leasing, hedging or product development services with us.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Recent Accounting Pronouncements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There have been no recent accounting pronouncements or changes in accounting pronouncements during the six months ended June 30, 2026, or subsequently thereto, that we believe are of potential significance to our financial statements.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Critical Accounting Policies and Estimates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There have been no significant changes to our critical accounting policies and estimates from those described in the Annual Report. Our critical accounting policies include revenue recognition, share-based compensation, allowance for credit losses, valuation of inventories and intangible assets. The gain on lease termination recorded in the six months ended June 30, 2026 was determined based on the carrying values of the derecognized right-of-use asset and lease liability at the termination date in accordance with ASC 842.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Item 3. Quantitative and Qualitative Disclosures about Market Risk.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a smaller reporting company as defined by Rule 12b-2 of the Exchange Act and are not required to provide the information required under this item.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Item 4. Controls and Procedures.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u w:val="single"/>
        </w:rPr>
      </w:pPr>
      <w:r>
        <w:rPr>
          <w:rFonts w:ascii="Times New Roman" w:hAnsi="Times New Roman"/>
          <w:b w:val="false"/>
          <w:i w:val="false"/>
          <w:caps w:val="false"/>
          <w:smallCaps w:val="false"/>
          <w:sz w:val="20"/>
          <w:u w:val="single"/>
        </w:rPr>
        <w:t xml:space="preserve">Evaluation of Disclosure Controls and Procedures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carried out an evaluation, under the supervision and with the participation of our management, including our Executive Chairman and Chief Executive Officer, who also serves as our principal executive officer and principal financial officer, of the effectiveness of our disclosure controls and procedures (as defined in Exchange Act Rules 13a-15(e) and 15d-15(e) under the Exchange Act) as of the end of the period covered by this report. Based upon that evaluation, our Chief Executive Officer concluded that, as of the end of the period covered in this Quarterly Report on Form 10-Q, our disclosure controls and procedures were effective to ensure that information required to be disclosed in reports filed by us under the Exchange Act is recorded, processed, summarized and reported within the required time periods and is accumulated and communicated to our management, including our Chief Executive Officer, as appropriate to allow timely decisions regarding required disclosure.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u w:val="single"/>
        </w:rPr>
      </w:pPr>
      <w:r>
        <w:rPr>
          <w:rFonts w:ascii="Times New Roman" w:hAnsi="Times New Roman"/>
          <w:b w:val="false"/>
          <w:i w:val="false"/>
          <w:caps w:val="false"/>
          <w:smallCaps w:val="false"/>
          <w:sz w:val="20"/>
          <w:u w:val="single"/>
        </w:rPr>
        <w:t xml:space="preserve">Changes in Internal Control over Financial Reporting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have been no changes in our internal control over financial reporting during our fiscal quarter ended June 30, 2026, that have materially affected, or are reasonably likely to materially affect, our internal control over financial reporting.</w:t>
      </w:r>
    </w:p>
    <w:p>
      <w:pPr>
        <w:pStyle w:val="TextBody"/>
        <w:bidi w:val="0"/>
        <w:spacing w:before="0" w:after="0"/>
        <w:jc w:val="both"/>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31</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PART II. OTHER INFORMATION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Item 1. Legal Proceedings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From time to time, we may become involved in legal proceedings or be subject to claims arising in the ordinary course of business.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information set forth in Note 13 Commitments and Contingencies of the Notes to Consolidated Financial Statements of this Quarterly Report on Form 10-Q is incorporated by reference herein.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Item 1A. Risk Factors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following description of risk factors includes any material changes to, and supersedes the description of, risk factors associated with our business, financial condition and results of operations previously disclosed in “Item 1A. Risk Factors” of our Annual Report on Form 10-K for the year ended December 31, 2025, as filed with the SEC on March 26, 2026. Our business, financial condition and operating results can be affected by a number of factors, whether currently known or unknown, including but not limited to those described below, any one or more of which could, directly or indirectly, cause our actual financial condition and operating results to vary materially from past, or from anticipated future, financial condition and operating results. Any of these factors, in whole or in part, could materially and adversely affect our business, financial condition, operating results and stock price.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following discussion of risk factors contains forward-looking statements. These risk factors may be important to understanding other statements in this Form 10-Q. The following information should be read in conjunction with the unaudited condensed consolidated financial statements and related notes in Part I, Item 1, “Financial Statements” and Part I, Item 2, “Management’s Discussion and Analysis of Financial Condition and Results of Operations” of this Form 10-Q.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We depend on technology licensed from Frenel Imaging Ltd. for the detection layer of our WrapShield platform, and any loss or limitation of that license, or any failure of the underlying technology to perform as expected, could impair our platform strategy.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detection capability of our WrapShield platform relies on Frenel's proprietary polarimetric thermal imaging software, which we license on an exclusive basis in the United States and for specified NATO channels. Frenel retains ownership of the underlying intellectual property. If the technology does not perform as expected, if Frenel fails to maintain or support it, if our license is terminated or converted to a non-exclusive license, or if Frenel is unable to protect its intellectual property, our ability to develop and commercialize WrapShield could be delayed or impaired. We may not be able to obtain an adequate substitute on acceptable terms or at all.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Our exclusive license from Frenel is subject to minimum performance milestones, and if we fail to meet them, we could lose exclusivity and the anticipated benefits of the arrangement.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exclusivity under the Frenel license depends on satisfying specified minimum annual commitment milestones over the initial four-year term, including establishing a U.S. value chain, completing product demonstrations and pilots, executing customer agreements, and generating specified cumulative revenue for Frenel. If we do not meet these milestones within the applicable periods or after any cure periods, the license would automatically convert to a non-exclusive license for the remainder of the term. Loss of exclusivity could reduce our competitive position and the return on our investment, and there is no assurance that we will achieve the milestones on the anticipated timeline or at all.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Our minority investment in Frenel, a privately held company organized in Israel, is illiquid and subject to risks that could result in a partial or total loss of the investment.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July 2026 we invested $2.0 million in preferred shares of Frenel, a privately held company organized under the laws of Israel, and we hold a right to invest up to an additional $2.5 million. Our investment is illiquid and has no public market, and its value depends on Frenel's performance, financing needs, and ability to execute its business plan, over which we have limited control. As a minority holder, our information and governance rights are limited, and our rights are governed by Frenel's organizational documents and by Israeli law, which may differ from the protections available under U.S. law. Conditions in the region in which Frenel operates could also affect its business. The value of our investment could decline, and we could lose all or part of it. </w:t>
      </w:r>
    </w:p>
    <w:p>
      <w:pPr>
        <w:pStyle w:val="TextBody"/>
        <w:bidi w:val="0"/>
        <w:spacing w:before="0" w:after="0"/>
        <w:jc w:val="both"/>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32</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Our expanding defense and international activities subject us to complex export control and trade regulations, and any failure to comply could result in penalties and restrict our ability to sell our products.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platform strategy and our activities with Frenel involve products and technologies that may be subject to U.S. export control and trade regulations, including the International Traffic in Arms Regulations, the Export Administration Regulations, and regulations administered by the Office of Foreign Assets Control, as well as Foreign Military Financing and Foreign Military Sales processes for NATO customers. Compliance is complex and costly, and violations could result in civil or criminal penalties, loss of export privileges, and reputational harm. Changes in these regulations, in licensing determinations, or in the classification of our products could restrict or delay our ability to sell into defense and international markets.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The involvement of our Chief Executive Officer and our President is a condition of our Frenel license, and the loss or reduced involvement of either could adversely affect that arrangement.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the Frenel license, Scot Cohen, our Chief Executive Officer and Chairman, and Jared Novick, our President and Chief Operating Officer, are required to remain materially and actively involved in our performance under the agreement. A material reduction in the involvement of either person that is not resolved within the prescribed period would permit Frenel to convert our exclusive license to a non-exclusive license. The loss of the services of either executive, or a reduction in their involvement, could therefore harm our operations generally and our rights under the Frenel arrangement in particular.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Our WrapShield platform strategy is in an early stage, and we may not be able to integrate, commercialize, or achieve market adoption of the platform.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introduced WrapShield in 2026 as a strategy to integrate threat detection, decision support, and proportionate response into a single architecture, with an initial focus on counter-unmanned aircraft system applications. The platform is in an early stage of development and depends on integrating technologies developed by third parties, including Frenel, with our own products. We may encounter technical, regulatory, funding, or procurement obstacles, and the timing and scale of any resulting revenue are uncertain. There is no assurance that WrapShield will achieve commercialization or market adoption, and our investments in the platform may not yield a return.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Item 2. Unregistered Sales of Equity Securities and Use of Proceeds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were no unregistered sales of the Company’s equity securities, nor any purchases of the Company's equity securities by the Company, during the six months ended June 30, 2026, other than those previously reported in a Current Report on Form 8-K.</w:t>
      </w:r>
    </w:p>
    <w:p>
      <w:pPr>
        <w:pStyle w:val="TextBody"/>
        <w:bidi w:val="0"/>
        <w:spacing w:before="0" w:after="0"/>
        <w:jc w:val="both"/>
        <w:rPr>
          <w:caps w:val="false"/>
          <w:smallCaps w:val="false"/>
        </w:rPr>
      </w:pPr>
      <w:r>
        <w:rPr>
          <w:caps w:val="false"/>
          <w:smallCaps w:val="false"/>
        </w:rPr>
        <w:t xml:space="preserve">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Item 3. Defaults Upon Senior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has been no default in the payment of principal, interest, sinking or purchase fund installment, or any other material default, with respect to any indebtedness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Item 4. Mine Safety Disclosures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Not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Item 5. Other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None of the Company's officers or directors adopted, modified or terminated a Rule 10b5-1 trading arrangement or a non-Rule 10b5-1 trading arrangement during the Company's fiscal quarter ended June 30, 2026, as such terms are defined under Item 408(a) of Regulation S-K.</w:t>
      </w:r>
    </w:p>
    <w:p>
      <w:pPr>
        <w:pStyle w:val="TextBody"/>
        <w:bidi w:val="0"/>
        <w:spacing w:before="0" w:after="0"/>
        <w:jc w:val="both"/>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33</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Item 6. Exhibits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62"/>
        <w:gridCol w:w="90"/>
        <w:gridCol w:w="9253"/>
      </w:tblGrid>
      <w:tr>
        <w:trPr/>
        <w:tc>
          <w:tcPr>
            <w:tcW w:w="862" w:type="dxa"/>
            <w:tcBorders>
              <w:bottom w:val="single" w:sz="16" w:space="0" w:color="000000"/>
            </w:tcBorders>
            <w:vAlign w:val="center"/>
          </w:tcPr>
          <w:p>
            <w:pPr>
              <w:pStyle w:val="TableContents"/>
              <w:bidi w:val="0"/>
              <w:spacing w:before="0" w:after="0"/>
              <w:jc w:val="both"/>
              <w:rPr>
                <w:b w:val="false"/>
                <w:i w:val="false"/>
                <w:caps w:val="false"/>
                <w:smallCaps w:val="false"/>
              </w:rPr>
            </w:pPr>
            <w:r>
              <w:rPr>
                <w:b w:val="false"/>
                <w:i w:val="false"/>
                <w:caps w:val="false"/>
                <w:smallCaps w:val="false"/>
              </w:rPr>
              <w:t>Exhibit</w:t>
            </w:r>
          </w:p>
          <w:p>
            <w:pPr>
              <w:pStyle w:val="TableContents"/>
              <w:bidi w:val="0"/>
              <w:spacing w:before="0" w:after="0"/>
              <w:jc w:val="both"/>
              <w:rPr>
                <w:b w:val="false"/>
                <w:i w:val="false"/>
                <w:caps w:val="false"/>
                <w:smallCaps w:val="false"/>
              </w:rPr>
            </w:pPr>
            <w:r>
              <w:rPr>
                <w:b w:val="false"/>
                <w:i w:val="false"/>
                <w:caps w:val="false"/>
                <w:smallCaps w:val="false"/>
              </w:rPr>
              <w:t>Number</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bottom w:val="single" w:sz="16" w:space="0" w:color="000000"/>
            </w:tcBorders>
            <w:vAlign w:val="center"/>
          </w:tcPr>
          <w:p>
            <w:pPr>
              <w:pStyle w:val="TableContents"/>
              <w:bidi w:val="0"/>
              <w:spacing w:before="0" w:after="283"/>
              <w:jc w:val="both"/>
              <w:rPr>
                <w:b w:val="false"/>
                <w:i w:val="false"/>
                <w:caps w:val="false"/>
                <w:smallCaps w:val="false"/>
              </w:rPr>
            </w:pPr>
            <w:r>
              <w:rPr>
                <w:b w:val="false"/>
                <w:i w:val="false"/>
                <w:caps w:val="false"/>
                <w:smallCaps w:val="false"/>
              </w:rPr>
              <w:t>Description</w:t>
            </w:r>
          </w:p>
        </w:tc>
      </w:tr>
      <w:tr>
        <w:trPr/>
        <w:tc>
          <w:tcPr>
            <w:tcW w:w="862" w:type="dxa"/>
            <w:tcBorders/>
            <w:tcMar>
              <w:bottom w:w="0" w:type="dxa"/>
            </w:tcMar>
            <w:vAlign w:val="center"/>
          </w:tcPr>
          <w:p>
            <w:pPr>
              <w:pStyle w:val="TableContents"/>
              <w:bidi w:val="0"/>
              <w:spacing w:before="0" w:after="283"/>
              <w:jc w:val="both"/>
              <w:rPr/>
            </w:pPr>
            <w:hyperlink r:id="rId3">
              <w:r>
                <w:rPr>
                  <w:rStyle w:val="InternetLink"/>
                  <w:b w:val="false"/>
                  <w:i w:val="false"/>
                  <w:caps w:val="false"/>
                  <w:smallCaps w:val="false"/>
                </w:rPr>
                <w:t>10.1</w:t>
              </w:r>
            </w:hyperlink>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Securities Purchase Agreement, dated July 7, 2026, by and among the Company, Frenel Imaging Ltd. and certain other investors listed on the signature paged thereto (incorporated by reference to Exhibit 10.1 to the Company’s Current Report on Form 8-K filed with the Securities and Exchange Commission on July 13, 2026).</w:t>
            </w:r>
          </w:p>
        </w:tc>
      </w:tr>
      <w:tr>
        <w:trPr/>
        <w:tc>
          <w:tcPr>
            <w:tcW w:w="862" w:type="dxa"/>
            <w:tcBorders/>
            <w:tcMar>
              <w:bottom w:w="0" w:type="dxa"/>
            </w:tcMar>
            <w:vAlign w:val="center"/>
          </w:tcPr>
          <w:p>
            <w:pPr>
              <w:pStyle w:val="TableContents"/>
              <w:bidi w:val="0"/>
              <w:spacing w:before="0" w:after="283"/>
              <w:jc w:val="both"/>
              <w:rPr/>
            </w:pPr>
            <w:hyperlink r:id="rId4">
              <w:r>
                <w:rPr>
                  <w:rStyle w:val="InternetLink"/>
                  <w:b w:val="false"/>
                  <w:i w:val="false"/>
                  <w:caps w:val="false"/>
                  <w:smallCaps w:val="false"/>
                </w:rPr>
                <w:t>10.2</w:t>
              </w:r>
            </w:hyperlink>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Amended and Restated Investors’ Rights Agreement, dated July 7, 2026, by and among the Company, Frenel Imaging Ltd. and certain Frenel Imaging Ltd. shareholders listed on the signature pages thereto (incorporated by reference to Exhibit 10.2 to the Company’s Current Report on Form 8-K filed with the Securities and Exchange Commission on July 13, 2026).</w:t>
            </w:r>
          </w:p>
        </w:tc>
      </w:tr>
      <w:tr>
        <w:trPr/>
        <w:tc>
          <w:tcPr>
            <w:tcW w:w="862" w:type="dxa"/>
            <w:tcBorders/>
            <w:tcMar>
              <w:bottom w:w="0" w:type="dxa"/>
            </w:tcMar>
            <w:vAlign w:val="center"/>
          </w:tcPr>
          <w:p>
            <w:pPr>
              <w:pStyle w:val="TableContents"/>
              <w:bidi w:val="0"/>
              <w:spacing w:before="0" w:after="283"/>
              <w:jc w:val="both"/>
              <w:rPr/>
            </w:pPr>
            <w:hyperlink r:id="rId5">
              <w:r>
                <w:rPr>
                  <w:rStyle w:val="InternetLink"/>
                  <w:b w:val="false"/>
                  <w:i w:val="false"/>
                  <w:caps w:val="false"/>
                  <w:smallCaps w:val="false"/>
                </w:rPr>
                <w:t>10.3</w:t>
              </w:r>
            </w:hyperlink>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Exclusive Distribution and License Agreement, dated July 7, 2026, by and between the Company and Frenel Imaging Ltd. (incorporated by reference to Exhibit 10.3 to the Company’s Current Report on Form 8-K filed with the Securities and Exchange Commission on July 13, 2026).</w:t>
            </w:r>
          </w:p>
        </w:tc>
      </w:tr>
      <w:tr>
        <w:trPr/>
        <w:tc>
          <w:tcPr>
            <w:tcW w:w="862" w:type="dxa"/>
            <w:tcBorders/>
            <w:tcMar>
              <w:bottom w:w="0" w:type="dxa"/>
            </w:tcMar>
            <w:vAlign w:val="center"/>
          </w:tcPr>
          <w:p>
            <w:pPr>
              <w:pStyle w:val="TableContents"/>
              <w:bidi w:val="0"/>
              <w:spacing w:before="0" w:after="283"/>
              <w:jc w:val="both"/>
              <w:rPr/>
            </w:pPr>
            <w:hyperlink w:anchor="ex31-1.htm">
              <w:r>
                <w:rPr>
                  <w:rStyle w:val="InternetLink"/>
                  <w:b w:val="false"/>
                  <w:i w:val="false"/>
                  <w:caps w:val="false"/>
                  <w:smallCaps w:val="false"/>
                </w:rPr>
                <w:t>31.1</w:t>
              </w:r>
            </w:hyperlink>
            <w:r>
              <w:rPr>
                <w:b w:val="false"/>
                <w:i w:val="false"/>
                <w:caps w:val="false"/>
                <w:smallCaps w:val="false"/>
              </w:rPr>
              <w:t>*</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 xml:space="preserve">Rule 13a-14(a)/15d-14(a) Certification - Principal Executive Officer </w:t>
            </w:r>
          </w:p>
        </w:tc>
      </w:tr>
      <w:tr>
        <w:trPr/>
        <w:tc>
          <w:tcPr>
            <w:tcW w:w="862" w:type="dxa"/>
            <w:tcBorders/>
            <w:tcMar>
              <w:bottom w:w="0" w:type="dxa"/>
            </w:tcMar>
            <w:vAlign w:val="center"/>
          </w:tcPr>
          <w:p>
            <w:pPr>
              <w:pStyle w:val="TableContents"/>
              <w:bidi w:val="0"/>
              <w:spacing w:before="0" w:after="283"/>
              <w:jc w:val="both"/>
              <w:rPr/>
            </w:pPr>
            <w:hyperlink w:anchor="ex31-2.htm">
              <w:r>
                <w:rPr>
                  <w:rStyle w:val="InternetLink"/>
                  <w:b w:val="false"/>
                  <w:i w:val="false"/>
                  <w:caps w:val="false"/>
                  <w:smallCaps w:val="false"/>
                </w:rPr>
                <w:t>31.2</w:t>
              </w:r>
            </w:hyperlink>
            <w:r>
              <w:rPr>
                <w:b w:val="false"/>
                <w:i w:val="false"/>
                <w:caps w:val="false"/>
                <w:smallCaps w:val="false"/>
              </w:rPr>
              <w:t>*</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Rule 13a-14(a)/15d-14(a) Certification - Principal Financial Officer.</w:t>
            </w:r>
          </w:p>
        </w:tc>
      </w:tr>
      <w:tr>
        <w:trPr/>
        <w:tc>
          <w:tcPr>
            <w:tcW w:w="862" w:type="dxa"/>
            <w:tcBorders/>
            <w:tcMar>
              <w:bottom w:w="0" w:type="dxa"/>
            </w:tcMar>
            <w:vAlign w:val="center"/>
          </w:tcPr>
          <w:p>
            <w:pPr>
              <w:pStyle w:val="TableContents"/>
              <w:bidi w:val="0"/>
              <w:spacing w:before="0" w:after="283"/>
              <w:jc w:val="both"/>
              <w:rPr/>
            </w:pPr>
            <w:hyperlink w:anchor="ex32-1.htm">
              <w:r>
                <w:rPr>
                  <w:rStyle w:val="InternetLink"/>
                  <w:b w:val="false"/>
                  <w:i w:val="false"/>
                  <w:caps w:val="false"/>
                  <w:smallCaps w:val="false"/>
                </w:rPr>
                <w:t>32.1</w:t>
              </w:r>
            </w:hyperlink>
            <w:r>
              <w:rPr>
                <w:b w:val="false"/>
                <w:i w:val="false"/>
                <w:caps w:val="false"/>
                <w:smallCaps w:val="false"/>
              </w:rPr>
              <w:t>**</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 xml:space="preserve">Section 1350 Certification - Principal Executive Officer </w:t>
            </w:r>
          </w:p>
        </w:tc>
      </w:tr>
      <w:tr>
        <w:trPr/>
        <w:tc>
          <w:tcPr>
            <w:tcW w:w="862" w:type="dxa"/>
            <w:tcBorders/>
            <w:tcMar>
              <w:bottom w:w="0" w:type="dxa"/>
            </w:tcMar>
            <w:vAlign w:val="center"/>
          </w:tcPr>
          <w:p>
            <w:pPr>
              <w:pStyle w:val="TableContents"/>
              <w:bidi w:val="0"/>
              <w:spacing w:before="0" w:after="283"/>
              <w:jc w:val="both"/>
              <w:rPr/>
            </w:pPr>
            <w:hyperlink w:anchor="ex32-2.htm">
              <w:r>
                <w:rPr>
                  <w:rStyle w:val="InternetLink"/>
                  <w:b w:val="false"/>
                  <w:i w:val="false"/>
                  <w:caps w:val="false"/>
                  <w:smallCaps w:val="false"/>
                </w:rPr>
                <w:t>32.2</w:t>
              </w:r>
            </w:hyperlink>
            <w:r>
              <w:rPr>
                <w:b w:val="false"/>
                <w:i w:val="false"/>
                <w:caps w:val="false"/>
                <w:smallCaps w:val="false"/>
              </w:rPr>
              <w:t>**</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Section 1350 Certification - Principal Financial Officer</w:t>
            </w:r>
          </w:p>
        </w:tc>
      </w:tr>
      <w:tr>
        <w:trPr/>
        <w:tc>
          <w:tcPr>
            <w:tcW w:w="10205" w:type="dxa"/>
            <w:gridSpan w:val="3"/>
            <w:tcBorders/>
            <w:tcMar>
              <w:bottom w:w="0" w:type="dxa"/>
            </w:tcMar>
            <w:vAlign w:val="center"/>
          </w:tcPr>
          <w:p>
            <w:pPr>
              <w:pStyle w:val="TableContents"/>
              <w:bidi w:val="0"/>
              <w:spacing w:before="0" w:after="283"/>
              <w:jc w:val="both"/>
              <w:rPr>
                <w:b/>
                <w:i w:val="false"/>
                <w:caps w:val="false"/>
                <w:smallCaps w:val="false"/>
                <w:u w:val="single"/>
              </w:rPr>
            </w:pPr>
            <w:r>
              <w:rPr>
                <w:b/>
                <w:i w:val="false"/>
                <w:caps w:val="false"/>
                <w:smallCaps w:val="false"/>
                <w:u w:val="single"/>
              </w:rPr>
              <w:t>Extensible Business Reporting Language (XBRL) Exhibits*</w:t>
            </w:r>
          </w:p>
        </w:tc>
      </w:tr>
      <w:tr>
        <w:trPr/>
        <w:tc>
          <w:tcPr>
            <w:tcW w:w="862"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101.INS</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Inline XBRL Instance Document (the instance document does not appear in the Interactive Data File because its XBRL tags are embedded within the Inline XBRL document)</w:t>
            </w:r>
          </w:p>
        </w:tc>
      </w:tr>
      <w:tr>
        <w:trPr/>
        <w:tc>
          <w:tcPr>
            <w:tcW w:w="862"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101.SCH</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Inline XBRL Taxonomy Extension Schema Document</w:t>
            </w:r>
          </w:p>
        </w:tc>
      </w:tr>
      <w:tr>
        <w:trPr/>
        <w:tc>
          <w:tcPr>
            <w:tcW w:w="862"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101.CAL</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Inline XBRL Taxonomy Extension Calculation Linkbase Document</w:t>
            </w:r>
          </w:p>
        </w:tc>
      </w:tr>
      <w:tr>
        <w:trPr/>
        <w:tc>
          <w:tcPr>
            <w:tcW w:w="862"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101.DEF</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Inline XBRL Taxonomy Extension Definition Linkbase Document</w:t>
            </w:r>
          </w:p>
        </w:tc>
      </w:tr>
      <w:tr>
        <w:trPr/>
        <w:tc>
          <w:tcPr>
            <w:tcW w:w="862"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101.LAB</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Inline XBRL Taxonomy Extension Label Linkbase Document</w:t>
            </w:r>
          </w:p>
        </w:tc>
      </w:tr>
      <w:tr>
        <w:trPr/>
        <w:tc>
          <w:tcPr>
            <w:tcW w:w="862"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101.PRE</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Inline XBRL Taxonomy Extension Presentation Linkbase Document</w:t>
            </w:r>
          </w:p>
        </w:tc>
      </w:tr>
      <w:tr>
        <w:trPr/>
        <w:tc>
          <w:tcPr>
            <w:tcW w:w="862"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104</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Cover Page Interactive Data File (embedded within the Inline XBRL Document and include in Exhibit 101)</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Filed concurrently herewith</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Furnished herewith.</w:t>
      </w:r>
    </w:p>
    <w:p>
      <w:pPr>
        <w:pStyle w:val="TextBody"/>
        <w:bidi w:val="0"/>
        <w:spacing w:before="0" w:after="0"/>
        <w:jc w:val="both"/>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34</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SIGNATURES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jc w:val="both"/>
        <w:rPr>
          <w:caps w:val="false"/>
          <w:smallCaps w:val="false"/>
        </w:rPr>
      </w:pPr>
      <w:r>
        <w:rPr>
          <w:caps w:val="false"/>
          <w:smallCaps w:val="false"/>
        </w:rPr>
        <w:t>  </w:t>
      </w:r>
    </w:p>
    <w:tbl>
      <w:tblPr>
        <w:tblW w:w="9210" w:type="dxa"/>
        <w:jc w:val="left"/>
        <w:tblInd w:w="0" w:type="dxa"/>
        <w:tblLayout w:type="fixed"/>
        <w:tblCellMar>
          <w:top w:w="0" w:type="dxa"/>
          <w:left w:w="0" w:type="dxa"/>
          <w:bottom w:w="0" w:type="dxa"/>
          <w:right w:w="0" w:type="dxa"/>
        </w:tblCellMar>
      </w:tblPr>
      <w:tblGrid>
        <w:gridCol w:w="1400"/>
        <w:gridCol w:w="440"/>
        <w:gridCol w:w="7370"/>
      </w:tblGrid>
      <w:tr>
        <w:trPr/>
        <w:tc>
          <w:tcPr>
            <w:tcW w:w="1400" w:type="dxa"/>
            <w:tcBorders/>
            <w:vAlign w:val="center"/>
          </w:tcPr>
          <w:p>
            <w:pPr>
              <w:pStyle w:val="TableContents"/>
              <w:bidi w:val="0"/>
              <w:spacing w:before="0" w:after="283"/>
              <w:jc w:val="both"/>
              <w:rPr>
                <w:caps w:val="false"/>
                <w:smallCaps w:val="false"/>
              </w:rPr>
            </w:pPr>
            <w:r>
              <w:rPr>
                <w:caps w:val="false"/>
                <w:smallCaps w:val="false"/>
              </w:rPr>
              <w:t>  </w:t>
            </w:r>
          </w:p>
        </w:tc>
        <w:tc>
          <w:tcPr>
            <w:tcW w:w="7810" w:type="dxa"/>
            <w:gridSpan w:val="2"/>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Wrap Technologies, Inc.</w:t>
            </w:r>
          </w:p>
        </w:tc>
      </w:tr>
      <w:tr>
        <w:trPr/>
        <w:tc>
          <w:tcPr>
            <w:tcW w:w="1400" w:type="dxa"/>
            <w:tcBorders/>
            <w:vAlign w:val="center"/>
          </w:tcPr>
          <w:p>
            <w:pPr>
              <w:pStyle w:val="TableContents"/>
              <w:bidi w:val="0"/>
              <w:spacing w:before="0" w:after="283"/>
              <w:jc w:val="both"/>
              <w:rPr>
                <w:caps w:val="false"/>
                <w:smallCaps w:val="false"/>
              </w:rPr>
            </w:pPr>
            <w:r>
              <w:rPr>
                <w:caps w:val="false"/>
                <w:smallCaps w:val="false"/>
              </w:rPr>
              <w:t>  </w:t>
            </w:r>
          </w:p>
        </w:tc>
        <w:tc>
          <w:tcPr>
            <w:tcW w:w="440" w:type="dxa"/>
            <w:tcBorders/>
            <w:vAlign w:val="center"/>
          </w:tcPr>
          <w:p>
            <w:pPr>
              <w:pStyle w:val="TableContents"/>
              <w:bidi w:val="0"/>
              <w:spacing w:before="0" w:after="283"/>
              <w:jc w:val="both"/>
              <w:rPr>
                <w:caps w:val="false"/>
                <w:smallCaps w:val="false"/>
              </w:rPr>
            </w:pPr>
            <w:r>
              <w:rPr>
                <w:caps w:val="false"/>
                <w:smallCaps w:val="false"/>
              </w:rPr>
              <w:t>  </w:t>
            </w:r>
          </w:p>
        </w:tc>
        <w:tc>
          <w:tcPr>
            <w:tcW w:w="73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0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August 11, 2026</w:t>
            </w:r>
          </w:p>
        </w:tc>
        <w:tc>
          <w:tcPr>
            <w:tcW w:w="44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By:  </w:t>
            </w:r>
          </w:p>
        </w:tc>
        <w:tc>
          <w:tcPr>
            <w:tcW w:w="7370" w:type="dxa"/>
            <w:tcBorders>
              <w:bottom w:val="single" w:sz="16" w:space="0" w:color="000000"/>
            </w:tcBorders>
            <w:tcMar>
              <w:bottom w:w="28" w:type="dxa"/>
            </w:tcMar>
            <w:vAlign w:val="center"/>
          </w:tcPr>
          <w:p>
            <w:pPr>
              <w:pStyle w:val="TableContents"/>
              <w:bidi w:val="0"/>
              <w:spacing w:before="0" w:after="283"/>
              <w:jc w:val="both"/>
              <w:rPr>
                <w:rFonts w:ascii="Times New Roman" w:hAnsi="Times New Roman"/>
                <w:b w:val="false"/>
                <w:i/>
                <w:caps w:val="false"/>
                <w:smallCaps w:val="false"/>
                <w:sz w:val="20"/>
              </w:rPr>
            </w:pPr>
            <w:r>
              <w:rPr>
                <w:rFonts w:ascii="Times New Roman" w:hAnsi="Times New Roman"/>
                <w:b w:val="false"/>
                <w:i/>
                <w:caps w:val="false"/>
                <w:smallCaps w:val="false"/>
                <w:sz w:val="20"/>
              </w:rPr>
              <w:t>/s/ Scot Cohen</w:t>
            </w:r>
          </w:p>
        </w:tc>
      </w:tr>
      <w:tr>
        <w:trPr/>
        <w:tc>
          <w:tcPr>
            <w:tcW w:w="1400" w:type="dxa"/>
            <w:tcBorders/>
            <w:vAlign w:val="center"/>
          </w:tcPr>
          <w:p>
            <w:pPr>
              <w:pStyle w:val="TableContents"/>
              <w:bidi w:val="0"/>
              <w:spacing w:before="0" w:after="283"/>
              <w:jc w:val="both"/>
              <w:rPr>
                <w:caps w:val="false"/>
                <w:smallCaps w:val="false"/>
              </w:rPr>
            </w:pPr>
            <w:r>
              <w:rPr>
                <w:caps w:val="false"/>
                <w:smallCaps w:val="false"/>
              </w:rPr>
              <w:t>  </w:t>
            </w:r>
          </w:p>
        </w:tc>
        <w:tc>
          <w:tcPr>
            <w:tcW w:w="440" w:type="dxa"/>
            <w:tcBorders/>
            <w:vAlign w:val="center"/>
          </w:tcPr>
          <w:p>
            <w:pPr>
              <w:pStyle w:val="TableContents"/>
              <w:bidi w:val="0"/>
              <w:spacing w:before="0" w:after="283"/>
              <w:jc w:val="both"/>
              <w:rPr>
                <w:caps w:val="false"/>
                <w:smallCaps w:val="false"/>
              </w:rPr>
            </w:pPr>
            <w:r>
              <w:rPr>
                <w:caps w:val="false"/>
                <w:smallCaps w:val="false"/>
              </w:rPr>
              <w:t>  </w:t>
            </w:r>
          </w:p>
        </w:tc>
        <w:tc>
          <w:tcPr>
            <w:tcW w:w="7370" w:type="dxa"/>
            <w:tcBorders/>
            <w:vAlign w:val="center"/>
          </w:tcPr>
          <w:p>
            <w:pPr>
              <w:pStyle w:val="TableContents"/>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Scot Cohen</w:t>
            </w:r>
          </w:p>
          <w:p>
            <w:pPr>
              <w:pStyle w:val="TableContents"/>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Chief Executive Officer</w:t>
            </w:r>
          </w:p>
          <w:p>
            <w:pPr>
              <w:pStyle w:val="TableContents"/>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(Principal Executive Officer, Principal Financial Officer and Principal Accounting Officer)</w:t>
            </w:r>
          </w:p>
        </w:tc>
      </w:tr>
    </w:tbl>
    <w:p>
      <w:pPr>
        <w:pStyle w:val="TextBody"/>
        <w:bidi w:val="0"/>
        <w:spacing w:before="0" w:after="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105"/>
        <w:gridCol w:w="155"/>
        <w:gridCol w:w="135"/>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155" w:type="dxa"/>
            <w:tcBorders/>
            <w:vAlign w:val="center"/>
          </w:tcPr>
          <w:p>
            <w:pPr>
              <w:pStyle w:val="TableContents"/>
              <w:bidi w:val="0"/>
              <w:spacing w:before="0" w:after="283"/>
              <w:jc w:val="both"/>
              <w:rPr>
                <w:caps w:val="false"/>
                <w:smallCaps w:val="false"/>
              </w:rPr>
            </w:pPr>
            <w:r>
              <w:rPr>
                <w:caps w:val="false"/>
                <w:smallCaps w:val="false"/>
              </w:rPr>
              <w:t> </w:t>
            </w:r>
          </w:p>
        </w:tc>
        <w:tc>
          <w:tcPr>
            <w:tcW w:w="1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155" w:type="dxa"/>
            <w:tcBorders/>
            <w:vAlign w:val="center"/>
          </w:tcPr>
          <w:p>
            <w:pPr>
              <w:pStyle w:val="TableContents"/>
              <w:bidi w:val="0"/>
              <w:spacing w:before="0" w:after="283"/>
              <w:jc w:val="both"/>
              <w:rPr>
                <w:caps w:val="false"/>
                <w:smallCaps w:val="false"/>
              </w:rPr>
            </w:pPr>
            <w:r>
              <w:rPr>
                <w:caps w:val="false"/>
                <w:smallCaps w:val="false"/>
              </w:rPr>
              <w:t>  </w:t>
            </w:r>
          </w:p>
        </w:tc>
        <w:tc>
          <w:tcPr>
            <w:tcW w:w="135" w:type="dxa"/>
            <w:tcBorders/>
            <w:vAlign w:val="center"/>
          </w:tcPr>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caps w:val="false"/>
                <w:smallCaps w:val="false"/>
              </w:rPr>
            </w:pPr>
            <w:r>
              <w:rPr>
                <w:caps w:val="false"/>
                <w:smallCaps w:val="false"/>
              </w:rPr>
              <w:t> </w:t>
            </w:r>
          </w:p>
        </w:tc>
      </w:tr>
    </w:tbl>
    <w:p>
      <w:pPr>
        <w:pStyle w:val="HorizontalLine"/>
        <w:bidi w:val="0"/>
        <w:jc w:val="left"/>
        <w:rPr/>
      </w:pPr>
      <w:r>
        <w:rPr/>
      </w:r>
    </w:p>
    <w:p>
      <w:pPr>
        <w:pStyle w:val="TextBody"/>
        <w:bidi w:val="0"/>
        <w:jc w:val="left"/>
        <w:rPr/>
      </w:pPr>
      <w:r>
        <w:rPr/>
        <w:t> </w:t>
      </w:r>
    </w:p>
    <w:p>
      <w:pPr>
        <w:pStyle w:val="HorizontalLine"/>
        <w:bidi w:val="0"/>
        <w:jc w:val="left"/>
        <w:rPr/>
      </w:pPr>
      <w:r>
        <w:rPr/>
      </w:r>
      <w:bookmarkStart w:id="4" w:name="ex31-1.htm"/>
      <w:bookmarkStart w:id="5" w:name="ksex311"/>
      <w:bookmarkStart w:id="6" w:name="ex31-1.htm"/>
      <w:bookmarkStart w:id="7" w:name="ksex311"/>
      <w:bookmarkEnd w:id="6"/>
      <w:bookmarkEnd w:id="7"/>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PURSUANT TO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Scot Cohen,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Wrap Technologies,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 am responsible for establishing and maintaining disclosure controls and procedures (as defined in Exchange Act Rules 13a-15(e) and 15d-15(e)) and 15d-15(e)) and internal control over financial reporting (as defined in Exchange Act Rules 13a-15(f) and 15d-15(f)) for the registrant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p>
      <w:pPr>
        <w:pStyle w:val="TextBody"/>
        <w:bidi w:val="0"/>
        <w:spacing w:before="0" w:after="0"/>
        <w:jc w:val="center"/>
        <w:rPr>
          <w:caps w:val="false"/>
          <w:smallCaps w:val="false"/>
        </w:rPr>
      </w:pPr>
      <w:r>
        <w:rPr>
          <w:caps w:val="false"/>
          <w:smallCaps w:val="false"/>
        </w:rPr>
        <w:t> </w:t>
      </w:r>
    </w:p>
    <w:tbl>
      <w:tblPr>
        <w:tblW w:w="8735" w:type="dxa"/>
        <w:jc w:val="left"/>
        <w:tblInd w:w="0" w:type="dxa"/>
        <w:tblLayout w:type="fixed"/>
        <w:tblCellMar>
          <w:top w:w="0" w:type="dxa"/>
          <w:left w:w="0" w:type="dxa"/>
          <w:bottom w:w="28" w:type="dxa"/>
          <w:right w:w="0" w:type="dxa"/>
        </w:tblCellMar>
      </w:tblPr>
      <w:tblGrid>
        <w:gridCol w:w="8615"/>
        <w:gridCol w:w="120"/>
      </w:tblGrid>
      <w:tr>
        <w:trPr/>
        <w:tc>
          <w:tcPr>
            <w:tcW w:w="8615" w:type="dxa"/>
            <w:tcBorders>
              <w:bottom w:val="single" w:sz="12" w:space="0" w:color="000000"/>
            </w:tcBorders>
            <w:vAlign w:val="center"/>
          </w:tcPr>
          <w:p>
            <w:pPr>
              <w:pStyle w:val="TableContents"/>
              <w:bidi w:val="0"/>
              <w:spacing w:before="0" w:after="283"/>
              <w:jc w:val="both"/>
              <w:rPr>
                <w:i/>
              </w:rPr>
            </w:pPr>
            <w:r>
              <w:rPr>
                <w:i/>
              </w:rPr>
              <w:t>/s/ Scot Cohen</w:t>
            </w:r>
          </w:p>
        </w:tc>
        <w:tc>
          <w:tcPr>
            <w:tcW w:w="120" w:type="dxa"/>
            <w:tcBorders/>
            <w:tcMar>
              <w:bottom w:w="0" w:type="dxa"/>
            </w:tcMar>
            <w:vAlign w:val="center"/>
          </w:tcPr>
          <w:p>
            <w:pPr>
              <w:pStyle w:val="TableContents"/>
              <w:bidi w:val="0"/>
              <w:spacing w:before="0" w:after="283"/>
              <w:jc w:val="left"/>
              <w:rPr/>
            </w:pPr>
            <w:r>
              <w:rPr/>
              <w:t> </w:t>
            </w:r>
          </w:p>
        </w:tc>
      </w:tr>
      <w:tr>
        <w:trPr/>
        <w:tc>
          <w:tcPr>
            <w:tcW w:w="8615" w:type="dxa"/>
            <w:tcBorders/>
            <w:tcMar>
              <w:bottom w:w="0" w:type="dxa"/>
            </w:tcMar>
            <w:vAlign w:val="center"/>
          </w:tcPr>
          <w:p>
            <w:pPr>
              <w:pStyle w:val="TableContents"/>
              <w:bidi w:val="0"/>
              <w:spacing w:before="0" w:after="283"/>
              <w:jc w:val="both"/>
              <w:rPr/>
            </w:pPr>
            <w:r>
              <w:rPr/>
              <w:t>Scot Cohen</w:t>
            </w:r>
          </w:p>
        </w:tc>
        <w:tc>
          <w:tcPr>
            <w:tcW w:w="120" w:type="dxa"/>
            <w:tcBorders/>
            <w:tcMar>
              <w:bottom w:w="0" w:type="dxa"/>
            </w:tcMar>
            <w:vAlign w:val="center"/>
          </w:tcPr>
          <w:p>
            <w:pPr>
              <w:pStyle w:val="TableContents"/>
              <w:bidi w:val="0"/>
              <w:spacing w:before="0" w:after="283"/>
              <w:jc w:val="left"/>
              <w:rPr/>
            </w:pPr>
            <w:r>
              <w:rPr/>
              <w:t> </w:t>
            </w:r>
          </w:p>
        </w:tc>
      </w:tr>
      <w:tr>
        <w:trPr/>
        <w:tc>
          <w:tcPr>
            <w:tcW w:w="8615" w:type="dxa"/>
            <w:tcBorders/>
            <w:tcMar>
              <w:bottom w:w="0" w:type="dxa"/>
            </w:tcMar>
            <w:vAlign w:val="center"/>
          </w:tcPr>
          <w:p>
            <w:pPr>
              <w:pStyle w:val="TableContents"/>
              <w:bidi w:val="0"/>
              <w:spacing w:before="0" w:after="283"/>
              <w:jc w:val="both"/>
              <w:rPr/>
            </w:pPr>
            <w:r>
              <w:rPr/>
              <w:t>Chief Executive Officer</w:t>
            </w:r>
          </w:p>
        </w:tc>
        <w:tc>
          <w:tcPr>
            <w:tcW w:w="120" w:type="dxa"/>
            <w:tcBorders/>
            <w:tcMar>
              <w:bottom w:w="0" w:type="dxa"/>
            </w:tcMar>
            <w:vAlign w:val="center"/>
          </w:tcPr>
          <w:p>
            <w:pPr>
              <w:pStyle w:val="TableContents"/>
              <w:bidi w:val="0"/>
              <w:spacing w:before="0" w:after="283"/>
              <w:jc w:val="left"/>
              <w:rPr/>
            </w:pPr>
            <w:r>
              <w:rPr/>
              <w:t> </w:t>
            </w:r>
          </w:p>
        </w:tc>
      </w:tr>
      <w:tr>
        <w:trPr/>
        <w:tc>
          <w:tcPr>
            <w:tcW w:w="8615" w:type="dxa"/>
            <w:tcBorders/>
            <w:tcMar>
              <w:bottom w:w="0" w:type="dxa"/>
            </w:tcMar>
            <w:vAlign w:val="center"/>
          </w:tcPr>
          <w:p>
            <w:pPr>
              <w:pStyle w:val="TableContents"/>
              <w:bidi w:val="0"/>
              <w:spacing w:before="0" w:after="283"/>
              <w:jc w:val="both"/>
              <w:rPr/>
            </w:pPr>
            <w:r>
              <w:rPr/>
              <w:t>(Principal Executive Officer, Principal Financial Officer and Principal Accounting Officer)</w:t>
            </w:r>
          </w:p>
        </w:tc>
        <w:tc>
          <w:tcPr>
            <w:tcW w:w="12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r>
    </w:p>
    <w:p>
      <w:pPr>
        <w:pStyle w:val="TextBody"/>
        <w:bidi w:val="0"/>
        <w:spacing w:before="0" w:after="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bidi w:val="0"/>
        <w:jc w:val="left"/>
        <w:rPr/>
      </w:pPr>
      <w:r>
        <w:rPr/>
      </w:r>
      <w:bookmarkStart w:id="8" w:name="ex31-2.htm"/>
      <w:bookmarkStart w:id="9" w:name="ksex312"/>
      <w:bookmarkStart w:id="10" w:name="ex31-2.htm"/>
      <w:bookmarkStart w:id="11" w:name="ksex312"/>
      <w:bookmarkEnd w:id="10"/>
      <w:bookmarkEnd w:id="11"/>
      <w:r>
        <w:br w:type="page"/>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PURSUANT TO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Scot Cohen, certify that: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Wrap Technologies, Inc.;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 am responsible for establishing and maintaining disclosure controls and procedures (as defined in Exchange Act Rules 13a-15(e) and 15d-15(e)) and 15d-15(e)) and internal control over financial reporting (as defined in Exchange Act Rules 13a-15(f) and 15d-15(f)) for the registrant and have: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p>
      <w:pPr>
        <w:pStyle w:val="TextBody"/>
        <w:bidi w:val="0"/>
        <w:jc w:val="center"/>
        <w:rPr>
          <w:caps w:val="false"/>
          <w:smallCaps w:val="false"/>
        </w:rPr>
      </w:pPr>
      <w:r>
        <w:rPr>
          <w:caps w:val="false"/>
          <w:smallCaps w:val="false"/>
        </w:rPr>
        <w:t> </w:t>
      </w:r>
    </w:p>
    <w:tbl>
      <w:tblPr>
        <w:tblW w:w="8735" w:type="dxa"/>
        <w:jc w:val="left"/>
        <w:tblInd w:w="0" w:type="dxa"/>
        <w:tblLayout w:type="fixed"/>
        <w:tblCellMar>
          <w:top w:w="0" w:type="dxa"/>
          <w:left w:w="0" w:type="dxa"/>
          <w:bottom w:w="28" w:type="dxa"/>
          <w:right w:w="0" w:type="dxa"/>
        </w:tblCellMar>
      </w:tblPr>
      <w:tblGrid>
        <w:gridCol w:w="8615"/>
        <w:gridCol w:w="120"/>
      </w:tblGrid>
      <w:tr>
        <w:trPr/>
        <w:tc>
          <w:tcPr>
            <w:tcW w:w="8615" w:type="dxa"/>
            <w:tcBorders>
              <w:bottom w:val="single" w:sz="12" w:space="0" w:color="000000"/>
            </w:tcBorders>
            <w:vAlign w:val="center"/>
          </w:tcPr>
          <w:p>
            <w:pPr>
              <w:pStyle w:val="TableContents"/>
              <w:bidi w:val="0"/>
              <w:spacing w:before="0" w:after="283"/>
              <w:jc w:val="both"/>
              <w:rPr>
                <w:b w:val="false"/>
                <w:i/>
                <w:caps w:val="false"/>
                <w:smallCaps w:val="false"/>
              </w:rPr>
            </w:pPr>
            <w:r>
              <w:rPr>
                <w:b w:val="false"/>
                <w:i/>
                <w:caps w:val="false"/>
                <w:smallCaps w:val="false"/>
              </w:rPr>
              <w:t>/s/ Scot Cohen</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615"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Scot Cohen</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615"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Chief Executive Officer</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615"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(Principal Executive Officer, Principal Financial Officer and Principal Accounting Officer)</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jc w:val="left"/>
        <w:rPr>
          <w:rFonts w:ascii="Times New Roman;Times;Serif" w:hAnsi="Times New Roman;Times;Serif"/>
          <w:sz w:val="20"/>
        </w:rPr>
      </w:pPr>
      <w:r>
        <w:rPr>
          <w:rFonts w:ascii="Times New Roman;Times;Serif" w:hAnsi="Times New Roman;Times;Serif"/>
          <w:sz w:val="20"/>
        </w:rPr>
      </w:r>
    </w:p>
    <w:p>
      <w:pPr>
        <w:pStyle w:val="TextBody"/>
        <w:bidi w:val="0"/>
        <w:jc w:val="left"/>
        <w:rPr>
          <w:caps w:val="false"/>
          <w:smallCaps w:val="false"/>
        </w:rPr>
      </w:pPr>
      <w:r>
        <w:rPr>
          <w:caps w:val="false"/>
          <w:smallCaps w:val="false"/>
        </w:rPr>
        <w:t> </w:t>
      </w:r>
    </w:p>
    <w:p>
      <w:pPr>
        <w:pStyle w:val="HorizontalLine"/>
        <w:bidi w:val="0"/>
        <w:jc w:val="left"/>
        <w:rPr/>
      </w:pPr>
      <w:r>
        <w:rPr/>
      </w:r>
      <w:bookmarkStart w:id="12" w:name="ex32-1.htm"/>
      <w:bookmarkStart w:id="13" w:name="ksex321"/>
      <w:bookmarkStart w:id="14" w:name="ex32-1.htm"/>
      <w:bookmarkStart w:id="15" w:name="ksex321"/>
      <w:bookmarkEnd w:id="14"/>
      <w:bookmarkEnd w:id="15"/>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SECTION 906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certifies, in accordance with 18 U.S.C. 1350, as adopted pursuant to Section 906 of the Sarbanes-Oxley Act of 2002, in his or her capacity as an officer of Wrap Technologies, Inc.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that, to his or her knowledge, the Quarterly Report of the Company on Form 10-Q for the period ended June 30, 2026, fully complies with the requirements of Section 13(a) or Section 15(d) of the Securities Exchange Act of 1934, as amended, and that the information contained in such report fairly presents, in all material respects, the financial condition and results of operation of the Company.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p>
      <w:pPr>
        <w:pStyle w:val="TextBody"/>
        <w:bidi w:val="0"/>
        <w:spacing w:before="0" w:after="0"/>
        <w:jc w:val="center"/>
        <w:rPr>
          <w:caps w:val="false"/>
          <w:smallCaps w:val="false"/>
        </w:rPr>
      </w:pPr>
      <w:r>
        <w:rPr>
          <w:caps w:val="false"/>
          <w:smallCaps w:val="false"/>
        </w:rPr>
        <w:t> </w:t>
      </w:r>
    </w:p>
    <w:tbl>
      <w:tblPr>
        <w:tblW w:w="8765" w:type="dxa"/>
        <w:jc w:val="left"/>
        <w:tblInd w:w="0" w:type="dxa"/>
        <w:tblLayout w:type="fixed"/>
        <w:tblCellMar>
          <w:top w:w="0" w:type="dxa"/>
          <w:left w:w="0" w:type="dxa"/>
          <w:bottom w:w="28" w:type="dxa"/>
          <w:right w:w="0" w:type="dxa"/>
        </w:tblCellMar>
      </w:tblPr>
      <w:tblGrid>
        <w:gridCol w:w="8630"/>
        <w:gridCol w:w="135"/>
      </w:tblGrid>
      <w:tr>
        <w:trPr/>
        <w:tc>
          <w:tcPr>
            <w:tcW w:w="8630" w:type="dxa"/>
            <w:tcBorders>
              <w:bottom w:val="single" w:sz="12" w:space="0" w:color="000000"/>
            </w:tcBorders>
            <w:vAlign w:val="center"/>
          </w:tcPr>
          <w:p>
            <w:pPr>
              <w:pStyle w:val="TableContents"/>
              <w:bidi w:val="0"/>
              <w:spacing w:before="0" w:after="283"/>
              <w:jc w:val="both"/>
              <w:rPr>
                <w:b w:val="false"/>
                <w:i/>
                <w:caps w:val="false"/>
                <w:smallCaps w:val="false"/>
              </w:rPr>
            </w:pPr>
            <w:r>
              <w:rPr>
                <w:b w:val="false"/>
                <w:i/>
                <w:caps w:val="false"/>
                <w:smallCaps w:val="false"/>
              </w:rPr>
              <w:t>/s/ Scot Cohen</w:t>
            </w:r>
          </w:p>
        </w:tc>
        <w:tc>
          <w:tcPr>
            <w:tcW w:w="135" w:type="dxa"/>
            <w:tcBorders/>
            <w:tcMar>
              <w:bottom w:w="0" w:type="dxa"/>
            </w:tcMar>
            <w:vAlign w:val="center"/>
          </w:tcPr>
          <w:p>
            <w:pPr>
              <w:pStyle w:val="TableContents"/>
              <w:bidi w:val="0"/>
              <w:spacing w:before="0" w:after="283"/>
              <w:jc w:val="left"/>
              <w:rPr/>
            </w:pPr>
            <w:r>
              <w:rPr/>
              <w:t> </w:t>
            </w:r>
          </w:p>
        </w:tc>
      </w:tr>
      <w:tr>
        <w:trPr/>
        <w:tc>
          <w:tcPr>
            <w:tcW w:w="8630"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Scot Cohen</w:t>
            </w:r>
          </w:p>
        </w:tc>
        <w:tc>
          <w:tcPr>
            <w:tcW w:w="135" w:type="dxa"/>
            <w:tcBorders/>
            <w:tcMar>
              <w:bottom w:w="0" w:type="dxa"/>
            </w:tcMar>
            <w:vAlign w:val="center"/>
          </w:tcPr>
          <w:p>
            <w:pPr>
              <w:pStyle w:val="TableContents"/>
              <w:bidi w:val="0"/>
              <w:spacing w:before="0" w:after="283"/>
              <w:jc w:val="left"/>
              <w:rPr/>
            </w:pPr>
            <w:r>
              <w:rPr/>
              <w:t> </w:t>
            </w:r>
          </w:p>
        </w:tc>
      </w:tr>
      <w:tr>
        <w:trPr/>
        <w:tc>
          <w:tcPr>
            <w:tcW w:w="8630"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Chief Executive Officer</w:t>
            </w:r>
          </w:p>
        </w:tc>
        <w:tc>
          <w:tcPr>
            <w:tcW w:w="135" w:type="dxa"/>
            <w:tcBorders/>
            <w:tcMar>
              <w:bottom w:w="0" w:type="dxa"/>
            </w:tcMar>
            <w:vAlign w:val="center"/>
          </w:tcPr>
          <w:p>
            <w:pPr>
              <w:pStyle w:val="TableContents"/>
              <w:bidi w:val="0"/>
              <w:spacing w:before="0" w:after="283"/>
              <w:jc w:val="left"/>
              <w:rPr/>
            </w:pPr>
            <w:r>
              <w:rPr/>
              <w:t> </w:t>
            </w:r>
          </w:p>
        </w:tc>
      </w:tr>
      <w:tr>
        <w:trPr/>
        <w:tc>
          <w:tcPr>
            <w:tcW w:w="8630"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(Principal Executive Officer, Principal Financial Officer and Principal Accounting Officer)</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jc w:val="left"/>
        <w:rPr>
          <w:caps w:val="false"/>
          <w:smallCaps w:val="false"/>
        </w:rPr>
      </w:pPr>
      <w:r>
        <w:rPr>
          <w:caps w:val="false"/>
          <w:smallCaps w:val="false"/>
        </w:rPr>
        <w:t xml:space="preserve">  </w:t>
      </w:r>
    </w:p>
    <w:p>
      <w:pPr>
        <w:pStyle w:val="HorizontalLine"/>
        <w:bidi w:val="0"/>
        <w:jc w:val="left"/>
        <w:rPr/>
      </w:pPr>
      <w:r>
        <w:rPr/>
      </w:r>
      <w:bookmarkStart w:id="16" w:name="ex32-2.htm"/>
      <w:bookmarkStart w:id="17" w:name="ksex322"/>
      <w:bookmarkStart w:id="18" w:name="ex32-2.htm"/>
      <w:bookmarkStart w:id="19" w:name="ksex322"/>
      <w:bookmarkEnd w:id="18"/>
      <w:bookmarkEnd w:id="19"/>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SECTION 906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certifies, in accordance with 18 U.S.C. 1350, as adopted pursuant to Section 906 of the Sarbanes-Oxley Act of 2002, in his or her capacity as an officer of Wrap Technologies, Inc.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that, to his or her knowledge, the Quarterly Report of the Company on Form 10-Q for the period ended June 30, 2026, fully complies with the requirements of Section 13(a) or Section 15(d) of the Securities Exchange Act of 1934, as amended, and that the information contained in such report fairly presents, in all material respects, the financial condition and results of operation of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p>
      <w:pPr>
        <w:pStyle w:val="TextBody"/>
        <w:bidi w:val="0"/>
        <w:spacing w:before="0" w:after="0"/>
        <w:ind w:left="0" w:right="0" w:hanging="0"/>
        <w:jc w:val="center"/>
        <w:rPr>
          <w:caps w:val="false"/>
          <w:smallCaps w:val="false"/>
        </w:rPr>
      </w:pPr>
      <w:r>
        <w:rPr>
          <w:caps w:val="false"/>
          <w:smallCaps w:val="false"/>
        </w:rPr>
        <w:t> </w:t>
      </w:r>
    </w:p>
    <w:tbl>
      <w:tblPr>
        <w:tblW w:w="8765" w:type="dxa"/>
        <w:jc w:val="left"/>
        <w:tblInd w:w="0" w:type="dxa"/>
        <w:tblLayout w:type="fixed"/>
        <w:tblCellMar>
          <w:top w:w="0" w:type="dxa"/>
          <w:left w:w="0" w:type="dxa"/>
          <w:bottom w:w="28" w:type="dxa"/>
          <w:right w:w="0" w:type="dxa"/>
        </w:tblCellMar>
      </w:tblPr>
      <w:tblGrid>
        <w:gridCol w:w="8630"/>
        <w:gridCol w:w="135"/>
      </w:tblGrid>
      <w:tr>
        <w:trPr/>
        <w:tc>
          <w:tcPr>
            <w:tcW w:w="8630" w:type="dxa"/>
            <w:tcBorders>
              <w:bottom w:val="single" w:sz="12" w:space="0" w:color="000000"/>
            </w:tcBorders>
            <w:vAlign w:val="center"/>
          </w:tcPr>
          <w:p>
            <w:pPr>
              <w:pStyle w:val="TableContents"/>
              <w:bidi w:val="0"/>
              <w:spacing w:before="0" w:after="283"/>
              <w:jc w:val="both"/>
              <w:rPr>
                <w:b w:val="false"/>
                <w:i/>
                <w:caps w:val="false"/>
                <w:smallCaps w:val="false"/>
              </w:rPr>
            </w:pPr>
            <w:r>
              <w:rPr>
                <w:b w:val="false"/>
                <w:i/>
                <w:caps w:val="false"/>
                <w:smallCaps w:val="false"/>
              </w:rPr>
              <w:t>/s/ Scot Cohen</w:t>
            </w:r>
          </w:p>
        </w:tc>
        <w:tc>
          <w:tcPr>
            <w:tcW w:w="1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630"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Scot Cohen</w:t>
            </w:r>
          </w:p>
        </w:tc>
        <w:tc>
          <w:tcPr>
            <w:tcW w:w="1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630"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Chief Executive Officer</w:t>
            </w:r>
          </w:p>
        </w:tc>
        <w:tc>
          <w:tcPr>
            <w:tcW w:w="1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630"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(Principal Executive Officer, Principal Financial Officer and Principal Accounting Officer)</w:t>
            </w:r>
          </w:p>
        </w:tc>
        <w:tc>
          <w:tcPr>
            <w:tcW w:w="1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r>
    </w:p>
    <w:p>
      <w:pPr>
        <w:pStyle w:val="TextBody"/>
        <w:bidi w:val="0"/>
        <w:spacing w:before="0" w:after="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NewRoman">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02924/000149315226033073/ex10-1.htm" TargetMode="External"/><Relationship Id="rId4" Type="http://schemas.openxmlformats.org/officeDocument/2006/relationships/hyperlink" Target="https://www.sec.gov/Archives/edgar/data/1702924/000149315226033073/ex10-2.htm" TargetMode="External"/><Relationship Id="rId5" Type="http://schemas.openxmlformats.org/officeDocument/2006/relationships/hyperlink" Target="https://www.sec.gov/Archives/edgar/data/1702924/000149315226033073/ex10-3.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19327</Words>
  <Characters>105073</Characters>
  <CharactersWithSpaces>126286</CharactersWithSpaces>
  <Paragraphs>5282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