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4200" w:right="2620" w:hanging="1281"/>
        <w:spacing w:after="0" w:line="282" w:lineRule="auto"/>
        <w:tabs>
          <w:tab w:leader="none" w:pos="31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9" w:lineRule="exact"/>
        <w:rPr>
          <w:sz w:val="24"/>
          <w:szCs w:val="24"/>
          <w:color w:val="auto"/>
        </w:rPr>
      </w:pPr>
    </w:p>
    <w:p>
      <w:pPr>
        <w:ind w:left="4280" w:right="2540" w:hanging="1298"/>
        <w:spacing w:after="0" w:line="282" w:lineRule="auto"/>
        <w:tabs>
          <w:tab w:leader="none" w:pos="319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8300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gridSpan w:val="6"/>
          </w:tcPr>
          <w:p>
            <w:pPr>
              <w:jc w:val="center"/>
              <w:ind w:left="212"/>
              <w:spacing w:after="0"/>
              <w:rPr>
                <w:sz w:val="20"/>
                <w:szCs w:val="20"/>
                <w:color w:val="auto"/>
              </w:rPr>
            </w:pPr>
            <w:r>
              <w:rPr>
                <w:rFonts w:ascii="Times New Roman" w:cs="Times New Roman" w:eastAsia="Times New Roman" w:hAnsi="Times New Roman"/>
                <w:sz w:val="32"/>
                <w:szCs w:val="32"/>
                <w:b w:val="1"/>
                <w:bCs w:val="1"/>
                <w:color w:val="auto"/>
                <w:w w:val="99"/>
              </w:rPr>
              <w:t>Wrap Technologies, Inc.</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60" w:type="dxa"/>
            <w:vAlign w:val="bottom"/>
            <w:gridSpan w:val="10"/>
          </w:tcPr>
          <w:p>
            <w:pPr>
              <w:jc w:val="center"/>
              <w:ind w:right="2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8"/>
              </w:rPr>
              <w:t>98-0551945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40" w:type="dxa"/>
            <w:vAlign w:val="bottom"/>
          </w:tcPr>
          <w:p>
            <w:pPr>
              <w:spacing w:after="0"/>
              <w:rPr>
                <w:sz w:val="18"/>
                <w:szCs w:val="18"/>
                <w:color w:val="auto"/>
              </w:rPr>
            </w:pPr>
          </w:p>
        </w:tc>
        <w:tc>
          <w:tcPr>
            <w:tcW w:w="230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23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0" w:type="dxa"/>
            <w:vAlign w:val="bottom"/>
          </w:tcPr>
          <w:p>
            <w:pPr>
              <w:spacing w:after="0"/>
              <w:rPr>
                <w:sz w:val="20"/>
                <w:szCs w:val="20"/>
                <w:color w:val="auto"/>
              </w:rPr>
            </w:pPr>
          </w:p>
        </w:tc>
        <w:tc>
          <w:tcPr>
            <w:tcW w:w="2540" w:type="dxa"/>
            <w:vAlign w:val="bottom"/>
            <w:gridSpan w:val="5"/>
            <w:vMerge w:val="restart"/>
          </w:tcPr>
          <w:p>
            <w:pPr>
              <w:jc w:val="center"/>
              <w:ind w:right="880"/>
              <w:spacing w:after="0"/>
              <w:rPr>
                <w:sz w:val="20"/>
                <w:szCs w:val="20"/>
                <w:color w:val="auto"/>
              </w:rPr>
            </w:pPr>
            <w:r>
              <w:rPr>
                <w:rFonts w:ascii="Times New Roman" w:cs="Times New Roman" w:eastAsia="Times New Roman" w:hAnsi="Times New Roman"/>
                <w:sz w:val="18"/>
                <w:szCs w:val="18"/>
                <w:color w:val="auto"/>
                <w:w w:val="98"/>
              </w:rPr>
              <w:t>1817 W 4th Street</w:t>
            </w:r>
          </w:p>
        </w:tc>
        <w:tc>
          <w:tcPr>
            <w:tcW w:w="20" w:type="dxa"/>
            <w:vAlign w:val="bottom"/>
          </w:tcPr>
          <w:p>
            <w:pPr>
              <w:spacing w:after="0"/>
              <w:rPr>
                <w:sz w:val="20"/>
                <w:szCs w:val="20"/>
                <w:color w:val="auto"/>
              </w:rPr>
            </w:pPr>
          </w:p>
        </w:tc>
        <w:tc>
          <w:tcPr>
            <w:tcW w:w="32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54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tcBorders>
              <w:bottom w:val="single" w:sz="8" w:color="auto"/>
            </w:tcBorders>
            <w:gridSpan w:val="4"/>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Tempe, Arizona 85281</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60" w:type="dxa"/>
            <w:vAlign w:val="bottom"/>
            <w:gridSpan w:val="10"/>
          </w:tcPr>
          <w:p>
            <w:pPr>
              <w:jc w:val="center"/>
              <w:ind w:right="29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(800) 583-2652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60" w:type="dxa"/>
            <w:vAlign w:val="bottom"/>
            <w:gridSpan w:val="10"/>
          </w:tcPr>
          <w:p>
            <w:pPr>
              <w:jc w:val="center"/>
              <w:ind w:right="29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14"/>
        </w:trPr>
        <w:tc>
          <w:tcPr>
            <w:tcW w:w="748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13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00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2540" w:type="dxa"/>
            <w:vAlign w:val="bottom"/>
            <w:gridSpan w:val="5"/>
          </w:tcPr>
          <w:p>
            <w:pPr>
              <w:jc w:val="center"/>
              <w:ind w:right="1240"/>
              <w:spacing w:after="0" w:line="194" w:lineRule="exact"/>
              <w:rPr>
                <w:sz w:val="20"/>
                <w:szCs w:val="20"/>
                <w:color w:val="auto"/>
              </w:rPr>
            </w:pPr>
            <w:r>
              <w:rPr>
                <w:rFonts w:ascii="Times New Roman" w:cs="Times New Roman" w:eastAsia="Times New Roman" w:hAnsi="Times New Roman"/>
                <w:sz w:val="18"/>
                <w:szCs w:val="18"/>
                <w:color w:val="auto"/>
                <w:w w:val="95"/>
              </w:rPr>
              <w:t>Trading Symbol(s)</w:t>
            </w:r>
          </w:p>
        </w:tc>
        <w:tc>
          <w:tcPr>
            <w:tcW w:w="322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jc w:val="center"/>
              <w:ind w:right="1560"/>
              <w:spacing w:after="0"/>
              <w:rPr>
                <w:sz w:val="20"/>
                <w:szCs w:val="20"/>
                <w:color w:val="auto"/>
              </w:rPr>
            </w:pPr>
            <w:r>
              <w:rPr>
                <w:rFonts w:ascii="Times New Roman" w:cs="Times New Roman" w:eastAsia="Times New Roman" w:hAnsi="Times New Roman"/>
                <w:sz w:val="18"/>
                <w:szCs w:val="18"/>
                <w:color w:val="auto"/>
                <w:w w:val="99"/>
              </w:rPr>
              <w:t>WRAP</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2022 a total of 41,081,729 shares of the Registrant’s common stock, par value $0.0001,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695"/>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8"/>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WRAP TECHNOLOGIES, INC.</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gridSpan w:val="7"/>
          </w:tcPr>
          <w:p>
            <w:pPr>
              <w:jc w:val="center"/>
              <w:ind w:right="2220"/>
              <w:spacing w:after="0"/>
              <w:rPr>
                <w:sz w:val="20"/>
                <w:szCs w:val="20"/>
                <w:color w:val="auto"/>
              </w:rPr>
            </w:pPr>
            <w:r>
              <w:rPr>
                <w:rFonts w:ascii="Times New Roman" w:cs="Times New Roman" w:eastAsia="Times New Roman" w:hAnsi="Times New Roman"/>
                <w:sz w:val="18"/>
                <w:szCs w:val="18"/>
                <w:color w:val="auto"/>
                <w:w w:val="99"/>
              </w:rPr>
              <w:t>INDEX</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6100" w:type="dxa"/>
            <w:vAlign w:val="bottom"/>
            <w:gridSpan w:val="11"/>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2"/>
        </w:trPr>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180" w:type="dxa"/>
            <w:vAlign w:val="bottom"/>
            <w:gridSpan w:val="12"/>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2022 (unaudited) and December 31, 2021</w:t>
            </w:r>
          </w:p>
        </w:tc>
        <w:tc>
          <w:tcPr>
            <w:tcW w:w="560" w:type="dxa"/>
            <w:vAlign w:val="bottom"/>
            <w:gridSpan w:val="3"/>
          </w:tcPr>
          <w:p>
            <w:pPr>
              <w:spacing w:after="0"/>
              <w:rPr>
                <w:sz w:val="17"/>
                <w:szCs w:val="17"/>
                <w:color w:val="auto"/>
              </w:rPr>
            </w:pPr>
          </w:p>
        </w:tc>
        <w:tc>
          <w:tcPr>
            <w:tcW w:w="1580" w:type="dxa"/>
            <w:vAlign w:val="bottom"/>
            <w:gridSpan w:val="2"/>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5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six months</w:t>
            </w:r>
          </w:p>
        </w:tc>
        <w:tc>
          <w:tcPr>
            <w:tcW w:w="1580" w:type="dxa"/>
            <w:vAlign w:val="bottom"/>
            <w:gridSpan w:val="2"/>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June 30, 2022 and 2021 (unaudited)</w:t>
            </w:r>
          </w:p>
        </w:tc>
        <w:tc>
          <w:tcPr>
            <w:tcW w:w="4500" w:type="dxa"/>
            <w:vAlign w:val="bottom"/>
            <w:tcBorders>
              <w:top w:val="single" w:sz="8" w:color="0000EE"/>
            </w:tcBorders>
            <w:gridSpan w:val="7"/>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six months ended June 30,</w:t>
            </w:r>
          </w:p>
        </w:tc>
        <w:tc>
          <w:tcPr>
            <w:tcW w:w="60" w:type="dxa"/>
            <w:vAlign w:val="bottom"/>
          </w:tcPr>
          <w:p>
            <w:pPr>
              <w:spacing w:after="0"/>
              <w:rPr>
                <w:sz w:val="17"/>
                <w:szCs w:val="17"/>
                <w:color w:val="auto"/>
              </w:rPr>
            </w:pPr>
          </w:p>
        </w:tc>
        <w:tc>
          <w:tcPr>
            <w:tcW w:w="1580" w:type="dxa"/>
            <w:vAlign w:val="bottom"/>
            <w:gridSpan w:val="2"/>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 (unaudited)</w:t>
            </w:r>
          </w:p>
        </w:tc>
        <w:tc>
          <w:tcPr>
            <w:tcW w:w="556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1580" w:type="dxa"/>
            <w:vAlign w:val="bottom"/>
            <w:gridSpan w:val="2"/>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460" w:type="dxa"/>
            <w:vAlign w:val="bottom"/>
            <w:tcBorders>
              <w:top w:val="single" w:sz="8" w:color="0000EE"/>
            </w:tcBorders>
            <w:gridSpan w:val="13"/>
          </w:tcPr>
          <w:p>
            <w:pPr>
              <w:spacing w:after="0"/>
              <w:rPr>
                <w:sz w:val="17"/>
                <w:szCs w:val="17"/>
                <w:color w:val="auto"/>
              </w:rPr>
            </w:pPr>
          </w:p>
        </w:tc>
        <w:tc>
          <w:tcPr>
            <w:tcW w:w="28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Interim Financial Statements</w:t>
            </w:r>
          </w:p>
        </w:tc>
        <w:tc>
          <w:tcPr>
            <w:tcW w:w="1580" w:type="dxa"/>
            <w:vAlign w:val="bottom"/>
            <w:gridSpan w:val="2"/>
          </w:tcPr>
          <w:p>
            <w:pPr>
              <w:jc w:val="center"/>
              <w:ind w:left="141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5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120" w:type="dxa"/>
            <w:vAlign w:val="bottom"/>
            <w:gridSpan w:val="3"/>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2"/>
          </w:tcPr>
          <w:p>
            <w:pPr>
              <w:spacing w:after="0"/>
              <w:rPr>
                <w:sz w:val="17"/>
                <w:szCs w:val="17"/>
                <w:color w:val="auto"/>
              </w:rPr>
            </w:pPr>
          </w:p>
        </w:tc>
        <w:tc>
          <w:tcPr>
            <w:tcW w:w="128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27</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380" w:type="dxa"/>
            <w:vAlign w:val="bottom"/>
            <w:tcBorders>
              <w:left w:val="single" w:sz="8" w:color="0000EE"/>
            </w:tcBorders>
            <w:gridSpan w:val="6"/>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2580" w:type="dxa"/>
            <w:vAlign w:val="bottom"/>
            <w:gridSpan w:val="4"/>
          </w:tcPr>
          <w:p>
            <w:pPr>
              <w:spacing w:after="0"/>
              <w:rPr>
                <w:sz w:val="17"/>
                <w:szCs w:val="17"/>
                <w:color w:val="auto"/>
              </w:rPr>
            </w:pPr>
          </w:p>
        </w:tc>
        <w:tc>
          <w:tcPr>
            <w:tcW w:w="33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27</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412"/>
        </w:trPr>
        <w:tc>
          <w:tcPr>
            <w:tcW w:w="2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PART II. OTHER INFORMATION</w:t>
            </w:r>
          </w:p>
        </w:tc>
        <w:tc>
          <w:tcPr>
            <w:tcW w:w="654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2"/>
        </w:trPr>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6420" w:type="dxa"/>
            <w:vAlign w:val="bottom"/>
            <w:gridSpan w:val="13"/>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27</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20" w:type="dxa"/>
            <w:vAlign w:val="bottom"/>
            <w:gridSpan w:val="13"/>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3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3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gridSpan w:val="2"/>
          </w:tcPr>
          <w:p>
            <w:pPr>
              <w:spacing w:after="0"/>
              <w:rPr>
                <w:sz w:val="17"/>
                <w:szCs w:val="17"/>
                <w:color w:val="auto"/>
              </w:rPr>
            </w:pPr>
          </w:p>
        </w:tc>
        <w:tc>
          <w:tcPr>
            <w:tcW w:w="5420" w:type="dxa"/>
            <w:vAlign w:val="bottom"/>
            <w:gridSpan w:val="8"/>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3"/>
          </w:tcPr>
          <w:p>
            <w:pPr>
              <w:spacing w:after="0"/>
              <w:rPr>
                <w:sz w:val="17"/>
                <w:szCs w:val="17"/>
                <w:color w:val="auto"/>
              </w:rPr>
            </w:pPr>
          </w:p>
        </w:tc>
        <w:tc>
          <w:tcPr>
            <w:tcW w:w="596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420" w:type="dxa"/>
            <w:vAlign w:val="bottom"/>
            <w:gridSpan w:val="13"/>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28</w:t>
            </w: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r>
      <w:tr>
        <w:trPr>
          <w:trHeight w:val="41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0000EE"/>
                <w:w w:val="70"/>
              </w:rPr>
              <w:t>29</w:t>
            </w:r>
          </w:p>
        </w:tc>
      </w:tr>
      <w:tr>
        <w:trPr>
          <w:trHeight w:val="810"/>
        </w:trPr>
        <w:tc>
          <w:tcPr>
            <w:tcW w:w="1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280" w:type="dxa"/>
            <w:vAlign w:val="bottom"/>
          </w:tcPr>
          <w:p>
            <w:pPr>
              <w:spacing w:after="0"/>
              <w:rPr>
                <w:sz w:val="24"/>
                <w:szCs w:val="24"/>
                <w:color w:val="auto"/>
              </w:rPr>
            </w:pPr>
          </w:p>
        </w:tc>
        <w:tc>
          <w:tcPr>
            <w:tcW w:w="67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0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44,231</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short term</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long term</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- 5,000,000 authorized; par value $0.0001 per share; none issued and outstanding</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- 150,000,000 authorized; par value $0.0001 per share; 40,992,161 and 40,851,945 shares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each period, respectively</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91,025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Products and services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Restructuring inventory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3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18"/>
                <w:szCs w:val="18"/>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407"/>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3,278</w:t>
            </w:r>
          </w:p>
        </w:tc>
      </w:tr>
      <w:tr>
        <w:trPr>
          <w:trHeight w:val="234"/>
        </w:trPr>
        <w:tc>
          <w:tcPr>
            <w:tcW w:w="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09"/>
        </w:trPr>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0" w:type="dxa"/>
            <w:vAlign w:val="bottom"/>
          </w:tcPr>
          <w:p>
            <w:pPr>
              <w:spacing w:after="0"/>
              <w:rPr>
                <w:sz w:val="18"/>
                <w:szCs w:val="18"/>
                <w:color w:val="auto"/>
              </w:rPr>
            </w:pPr>
          </w:p>
        </w:tc>
      </w:tr>
      <w:tr>
        <w:trPr>
          <w:trHeight w:val="407"/>
        </w:trPr>
        <w:tc>
          <w:tcPr>
            <w:tcW w:w="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r>
      <w:tr>
        <w:trPr>
          <w:trHeight w:val="234"/>
        </w:trPr>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-839470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-556895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-273685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00" w:space="360"/>
            <w:col w:w="8480"/>
          </w:cols>
          <w:pgMar w:left="320" w:top="364"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1,994</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1,640</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(4,783)</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basic and diluted common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used to compute net loss per basic and diluted</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40,978,820</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38,162,526</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40,943,241</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37,938,873</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share</w:t>
            </w:r>
          </w:p>
        </w:tc>
        <w:tc>
          <w:tcPr>
            <w:tcW w:w="2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short-term investments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420" w:type="dxa"/>
            <w:vAlign w:val="bottom"/>
            <w:gridSpan w:val="1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8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Comprehensive</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40,951,197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(55,191)</w:t>
            </w:r>
          </w:p>
        </w:tc>
        <w:tc>
          <w:tcPr>
            <w:tcW w:w="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4"/>
                <w:szCs w:val="4"/>
                <w:color w:val="auto"/>
                <w:w w:val="97"/>
              </w:rPr>
              <w:t>$</w:t>
            </w: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36,913</w:t>
            </w:r>
          </w:p>
        </w:tc>
        <w:tc>
          <w:tcPr>
            <w:tcW w:w="0" w:type="dxa"/>
            <w:vAlign w:val="bottom"/>
          </w:tcPr>
          <w:p>
            <w:pPr>
              <w:spacing w:after="0"/>
              <w:rPr>
                <w:sz w:val="1"/>
                <w:szCs w:val="1"/>
                <w:color w:val="auto"/>
              </w:rPr>
            </w:pPr>
          </w:p>
        </w:tc>
      </w:tr>
      <w:tr>
        <w:trPr>
          <w:trHeight w:val="216"/>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198"/>
        </w:trPr>
        <w:tc>
          <w:tcPr>
            <w:tcW w:w="3140" w:type="dxa"/>
            <w:vAlign w:val="bottom"/>
            <w:tcBorders>
              <w:right w:val="single" w:sz="8" w:color="CCEEFF"/>
            </w:tcBorders>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w:t>
            </w:r>
          </w:p>
        </w:tc>
        <w:tc>
          <w:tcPr>
            <w:tcW w:w="11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40,964</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gain on short-term</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(4,785)</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60" w:type="dxa"/>
            <w:vAlign w:val="bottom"/>
            <w:tcBorders>
              <w:right w:val="single" w:sz="8" w:color="auto"/>
            </w:tcBorders>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40,992,161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220" w:type="dxa"/>
            <w:vAlign w:val="bottom"/>
          </w:tcPr>
          <w:p>
            <w:pPr>
              <w:spacing w:after="0"/>
              <w:rPr>
                <w:sz w:val="18"/>
                <w:szCs w:val="18"/>
                <w:color w:val="auto"/>
              </w:rPr>
            </w:pPr>
          </w:p>
        </w:tc>
        <w:tc>
          <w:tcPr>
            <w:tcW w:w="1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(59,976)</w:t>
            </w: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4"/>
                <w:szCs w:val="4"/>
                <w:color w:val="auto"/>
                <w:w w:val="97"/>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40,851,945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(49,759)</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41,264</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loss on short-term</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(10,217)</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40,992,161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(59,976)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Deficit</w:t>
            </w:r>
          </w:p>
        </w:tc>
        <w:tc>
          <w:tcPr>
            <w:tcW w:w="220" w:type="dxa"/>
            <w:vAlign w:val="bottom"/>
          </w:tcPr>
          <w:p>
            <w:pPr>
              <w:spacing w:after="0"/>
              <w:rPr>
                <w:sz w:val="20"/>
                <w:szCs w:val="20"/>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1, 2021</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37,711,698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72,777</w:t>
            </w: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warrants at $6.50 per share</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1,661,320</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warrants at $5.00 per share, net of</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153,692</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82,066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277,614</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lef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loss on short-term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39,911,390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87,277</w:t>
            </w:r>
          </w:p>
        </w:tc>
        <w:tc>
          <w:tcPr>
            <w:tcW w:w="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3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37,554,162</w:t>
            </w:r>
          </w:p>
        </w:tc>
        <w:tc>
          <w:tcPr>
            <w:tcW w:w="9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46,414</w:t>
            </w: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at $6.50 per share</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1,661,320</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at $5.00 per share, net of</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153,692</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157,066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342,274</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42,876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198"/>
        </w:trPr>
        <w:tc>
          <w:tcPr>
            <w:tcW w:w="3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loss on short-term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39,911,390</w:t>
            </w:r>
          </w:p>
        </w:tc>
        <w:tc>
          <w:tcPr>
            <w:tcW w:w="9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87,277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(38,538)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(10,217)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Restructuring and other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Warranty provision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settlement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(14,890)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long-term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deposits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unrealized gain on short-term investments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and liability recorded during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46"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Business Description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Wrap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a publicly traded company with our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listed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Certain information and footnote disclosures normally included in financial statements prepared in accordance with U.S. generally accepted accounting principles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2021, included in the Company’s Annual Report on Form 10-K, as filed with the SEC on March 10, 2022. The accompanying condensed consolidated balance sheet at December 31, 2021, has been derived from the audited consolidated balance sheet at December 31, 2021, contained in the above referenced Form 10-K. Results of operations for interim periods are not necessarily indicative of the results of operations for a full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has one wholly-owned subsidiary, Wrap Reality, Inc. formed in December 2020 that sells a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system primarily targeting law enforcement agencies. The consolidated financial statements include the accounts of this subsidiary after elimination of intercompany transactions and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restricted stock units exercisable or issuable for a total of 6,458,823 shares of Common Stock were outstanding at June 30, 2022. These securities are not included in the computation of diluted net loss per common share for the periods presented as their inclusion would be antidilutive due to losses incurred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Issued Accounting Guidance</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October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w:t>
      </w:r>
      <w:r>
        <w:rPr>
          <w:rFonts w:ascii="Times New Roman" w:cs="Times New Roman" w:eastAsia="Times New Roman" w:hAnsi="Times New Roman"/>
          <w:sz w:val="18"/>
          <w:szCs w:val="18"/>
          <w:i w:val="1"/>
          <w:iCs w:val="1"/>
          <w:color w:val="auto"/>
        </w:rPr>
        <w:t>2021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08</w:t>
      </w:r>
      <w:r>
        <w:rPr>
          <w:rFonts w:ascii="Times New Roman" w:cs="Times New Roman" w:eastAsia="Times New Roman" w:hAnsi="Times New Roman"/>
          <w:sz w:val="18"/>
          <w:szCs w:val="18"/>
          <w:color w:val="auto"/>
        </w:rPr>
        <w:t xml:space="preserve"> (“ASU </w:t>
      </w:r>
      <w:r>
        <w:rPr>
          <w:rFonts w:ascii="Times New Roman" w:cs="Times New Roman" w:eastAsia="Times New Roman" w:hAnsi="Times New Roman"/>
          <w:sz w:val="18"/>
          <w:szCs w:val="18"/>
          <w:i w:val="1"/>
          <w:iCs w:val="1"/>
          <w:color w:val="auto"/>
        </w:rPr>
        <w:t>No. 2021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08</w:t>
      </w:r>
      <w:r>
        <w:rPr>
          <w:rFonts w:ascii="Times New Roman" w:cs="Times New Roman" w:eastAsia="Times New Roman" w:hAnsi="Times New Roman"/>
          <w:sz w:val="18"/>
          <w:szCs w:val="18"/>
          <w:color w:val="auto"/>
        </w:rPr>
        <w:t xml:space="preserve">”), Business Combinations (Topic </w:t>
      </w:r>
      <w:r>
        <w:rPr>
          <w:rFonts w:ascii="Times New Roman" w:cs="Times New Roman" w:eastAsia="Times New Roman" w:hAnsi="Times New Roman"/>
          <w:sz w:val="18"/>
          <w:szCs w:val="18"/>
          <w:i w:val="1"/>
          <w:iCs w:val="1"/>
          <w:color w:val="auto"/>
        </w:rPr>
        <w:t>805</w:t>
      </w:r>
      <w:r>
        <w:rPr>
          <w:rFonts w:ascii="Times New Roman" w:cs="Times New Roman" w:eastAsia="Times New Roman" w:hAnsi="Times New Roman"/>
          <w:sz w:val="18"/>
          <w:szCs w:val="18"/>
          <w:color w:val="auto"/>
        </w:rPr>
        <w:t xml:space="preserve">): Accounting for Contract Assets and Contract Liabilities from Contracts with Customers, to require that an acquirer recognize, and measure contract assets and contract liabilities acquired in a business combination in accordance with Topic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xml:space="preserve"> Revenue from Contracts with Customers. At the acquisition date, an acquirer should account for the related revenue contracts in accordance with Topic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xml:space="preserve"> as if it had originated the contracts. The amendments in this update should be applied prospectively and are effective for fiscal years beginning after December 15,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interim periods within those fiscal years. We do not expect the adoption of this standard to have a material impact on our consolidated financial statements and related disclosures.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96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PRODUCT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2018, the Company adopted FASB ASC Topic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xml:space="preserve"> Revenue from Contracts with Customers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as it had no prior revenue or contracts with customers, there was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transition required nor any impact on prior results.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that include various combinations of products, accessories, software and services, each of which are generally distinct and are accounted for as separate performance obligations. Product sales includes BolaWrap products and accessorites. Other revenue includes VR revenues, service, training and shipping revenues.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performance obligation is a promise in a contract to transfer a distinct good or service to a customer and is the unit of account in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SSPs</w:t>
      </w:r>
      <w:r>
        <w:rPr>
          <w:rFonts w:ascii="Times New Roman" w:cs="Times New Roman" w:eastAsia="Times New Roman" w:hAnsi="Times New Roman"/>
          <w:sz w:val="18"/>
          <w:szCs w:val="18"/>
          <w:color w:val="auto"/>
        </w:rPr>
        <w:t xml:space="preserve">”) of each distinct good or service in a contract. The Company determines SSPs based on the relative SSP. If the SSP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observable through past transactions, the Company estimates the SSP considering available information such as market conditions and internally approved pricing guidelines related to the performance obligations.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w:t>
      </w:r>
      <w:r>
        <w:rPr>
          <w:rFonts w:ascii="Times New Roman" w:cs="Times New Roman" w:eastAsia="Times New Roman" w:hAnsi="Times New Roman"/>
          <w:sz w:val="18"/>
          <w:szCs w:val="18"/>
          <w:i w:val="1"/>
          <w:iCs w:val="1"/>
          <w:color w:val="auto"/>
        </w:rPr>
        <w:t>none</w:t>
      </w:r>
      <w:r>
        <w:rPr>
          <w:rFonts w:ascii="Times New Roman" w:cs="Times New Roman" w:eastAsia="Times New Roman" w:hAnsi="Times New Roman"/>
          <w:sz w:val="18"/>
          <w:szCs w:val="18"/>
          <w:color w:val="auto"/>
        </w:rPr>
        <w:t xml:space="preserve"> of the transaction price is allocated to such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Time-based VR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six months ended June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38"/>
        </w:trPr>
        <w:tc>
          <w:tcPr>
            <w:tcW w:w="778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r>
      <w:tr>
        <w:trPr>
          <w:trHeight w:val="20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net</w:t>
            </w:r>
          </w:p>
        </w:tc>
        <w:tc>
          <w:tcPr>
            <w:tcW w:w="1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to revenue</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77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7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220" w:type="dxa"/>
            <w:vAlign w:val="bottom"/>
            <w:shd w:val="clear" w:color="auto" w:fill="CCEEFF"/>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97"/>
        </w:trPr>
        <w:tc>
          <w:tcPr>
            <w:tcW w:w="7780" w:type="dxa"/>
            <w:vAlign w:val="bottom"/>
            <w:tcBorders>
              <w:top w:val="single" w:sz="8" w:color="CCEEFF"/>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rPr>
              <w:t>Long-term portion</w:t>
            </w:r>
          </w:p>
        </w:tc>
        <w:tc>
          <w:tcPr>
            <w:tcW w:w="1220" w:type="dxa"/>
            <w:vAlign w:val="bottom"/>
            <w:tcBorders>
              <w:top w:val="single" w:sz="8" w:color="auto"/>
              <w:bottom w:val="single" w:sz="8" w:color="auto"/>
            </w:tcBorders>
          </w:tcPr>
          <w:p>
            <w:pPr>
              <w:jc w:val="right"/>
              <w:ind w:right="10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CCEEFF"/>
            </w:tcBorders>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June 30, 2022, the Company’s deferred revenue of $344 consisted of $221 related to VR training and $123 related to BolaWrap extended warranties and services. At December 31, 2021, the Company’s deferred revenue of $265 consisted of $172 related to VR training and $67 related to extended warranties.</w:t>
      </w: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June 30, 2022, and December 31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apply the practical expedient to expense any sales commissions related to performance obligations with an amortization of one year or less when incurred within selling, general and administrative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200" w:lineRule="exact"/>
        <w:rPr>
          <w:sz w:val="20"/>
          <w:szCs w:val="20"/>
          <w:color w:val="auto"/>
        </w:rPr>
      </w:pPr>
    </w:p>
    <w:p>
      <w:pPr>
        <w:spacing w:after="0" w:line="20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6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cash equivalent Money Market Funds and short-term investments consisting of U.S. Treasury bill securities are classified as Level I because they are valued using quoted market prices.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The following table shows the Company’s cash and cash equivalents, Money Market Funds and short-term investments by significant investment category as of June 30, 2022, and December 31, 2021.</w:t>
      </w: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in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26,399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in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29,983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31,653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or losses resulting from our short-term investments are recorded in accumulated other comprehensive gain or loss. During the three and six months ended June 30, 2022, a $12 gain and $11 loss was recorded to accumulated other comprehensive gain (loss), respectively. During the three and six months ended June 30, 2021, $4 and $2 was recorded to accumulated other comprehensive loss,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1" w:lineRule="exact"/>
        <w:rPr>
          <w:sz w:val="20"/>
          <w:szCs w:val="20"/>
          <w:color w:val="auto"/>
        </w:rPr>
      </w:pPr>
    </w:p>
    <w:p>
      <w:pPr>
        <w:ind w:left="620" w:hanging="612"/>
        <w:spacing w:after="0"/>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7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1,254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6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57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2,033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6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- 9-</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60" w:type="dxa"/>
            <w:vAlign w:val="bottom"/>
          </w:tcPr>
          <w:p>
            <w:pPr>
              <w:spacing w:after="0"/>
              <w:rPr>
                <w:sz w:val="24"/>
                <w:szCs w:val="24"/>
                <w:color w:val="auto"/>
              </w:rPr>
            </w:pPr>
          </w:p>
        </w:tc>
        <w:tc>
          <w:tcPr>
            <w:tcW w:w="13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lab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Tooling</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$124 and $237 for the three and six months ended June 30, 2022 and was $66 and $122 for the three and six months ended June 30, 2021,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Purchased 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amortizable</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assets (non-amortizable)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$73 and $143 for the three and six months ended June 30, 2022 and was $49 and $97 for the three and six months ended June 30,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2022, future amortization expense is as follows:</w:t>
            </w:r>
          </w:p>
        </w:tc>
        <w:tc>
          <w:tcPr>
            <w:tcW w:w="4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(6 months)</w:t>
            </w:r>
          </w:p>
        </w:tc>
        <w:tc>
          <w:tcPr>
            <w:tcW w:w="5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7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r>
      <w:tr>
        <w:trPr>
          <w:trHeight w:val="24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5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r>
      <w:tr>
        <w:trPr>
          <w:trHeight w:val="629"/>
        </w:trPr>
        <w:tc>
          <w:tcPr>
            <w:tcW w:w="4900" w:type="dxa"/>
            <w:vAlign w:val="bottom"/>
            <w:tcBorders>
              <w:top w:val="single" w:sz="8" w:color="CCEEFF"/>
            </w:tcBorders>
          </w:tcPr>
          <w:p>
            <w:pPr>
              <w:spacing w:after="0"/>
              <w:rPr>
                <w:sz w:val="24"/>
                <w:szCs w:val="24"/>
                <w:color w:val="auto"/>
              </w:rPr>
            </w:pPr>
          </w:p>
        </w:tc>
        <w:tc>
          <w:tcPr>
            <w:tcW w:w="4780" w:type="dxa"/>
            <w:vAlign w:val="bottom"/>
            <w:tcBorders>
              <w:top w:val="single" w:sz="8" w:color="CCEEFF"/>
            </w:tcBorders>
          </w:tcPr>
          <w:p>
            <w:pPr>
              <w:jc w:val="right"/>
              <w:ind w:right="3790"/>
              <w:spacing w:after="0"/>
              <w:rPr>
                <w:sz w:val="20"/>
                <w:szCs w:val="20"/>
                <w:color w:val="auto"/>
              </w:rPr>
            </w:pPr>
            <w:r>
              <w:rPr>
                <w:rFonts w:ascii="Times New Roman" w:cs="Times New Roman" w:eastAsia="Times New Roman" w:hAnsi="Times New Roman"/>
                <w:sz w:val="18"/>
                <w:szCs w:val="18"/>
                <w:color w:val="auto"/>
              </w:rPr>
              <w:t>- 10-</w:t>
            </w: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0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ACCOUNTS PAYABLE AND ACCRUED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includes $86 and $228 due to related party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as of June 30, 2022, and December 31, 2021, respectively.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10, 11, 12 and 14 for additional related party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includes $164 of future severance payments for the Company’s former Chief Executive Officer payable through October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our estimated product warranty costs were as follows:</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7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11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The guidance in Topic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ROU</w:t>
      </w:r>
      <w:r>
        <w:rPr>
          <w:rFonts w:ascii="Times New Roman" w:cs="Times New Roman" w:eastAsia="Times New Roman" w:hAnsi="Times New Roman"/>
          <w:sz w:val="18"/>
          <w:szCs w:val="18"/>
          <w:color w:val="auto"/>
        </w:rPr>
        <w:t xml:space="preserve">”) assets and lease liabilities are recognized based on the present value of future minimum lease payments over the lease term at commencement date. The Company’s leases do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leases beginning on or after January 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lease components are accounted for separately from non-lease components for all asset classes. On January 21, 2022,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 the Company to pay utilities, insurance, taxes and other operating expenses. The renewal provisions of the existing lease agreement was not included in the determination of the operating lease liabilities and the ROU assets. The Company also reassessed the lease classification and concluded that the lease continues to be an operating lease.</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Amortization of ROU operating lease assets was $25 and $49 for the three and six months ended June 30, 2022 and was $20 and $46 for the three and six months ended June 30, 2021, respectively.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lease expense for capitalized operating leases included in operating activities was $30 and $58 for the three and six months ended June 30, 2022 and was $23 and $50 for the three and six months ended June 30,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recorded on the balance sheet at June 30, 2022, are:</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June 30, 2022,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(6 months)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r>
      <w:tr>
        <w:trPr>
          <w:trHeight w:val="209"/>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49"/>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is 3.1 years, and the weighted average discount rate is 5.0%.</w:t>
      </w:r>
    </w:p>
    <w:p>
      <w:pPr>
        <w:spacing w:after="0" w:line="22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The Company did not have any short-term lease expense during the six months ended June 30, 2022, or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does not have any finance leases.</w:t>
      </w:r>
    </w:p>
    <w:p>
      <w:pPr>
        <w:spacing w:after="0" w:line="399"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par value $0.0001 per share, and 5,000,000 shares of preferred stock, par value $0.0001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had outstanding Common Stock purchase warrants exercisable for 1,391,667 shares that expired on June 1, 2022 and accordingly had no purchase warrants outstanding at June 30,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31,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adopted, and the stockholders approved, the 2017 Stock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authorizing 2,000,000 shares of Company Common Stock for issuance as stock options and restricted stock units to employees, directors or consultants. In May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June 30, 2022, there were 1,711,281 shares of Common Stock available for grant under the Plan.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recognizes share-based compensation expense on the grant date and over the period of vesting or period that services will be provided. In January 2022 the Company recognized severance acceleration of $242 of share-based compensation expense resulting from the resignation of the Company’s Chief Executive Officer as part of a management transition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180" w:type="dxa"/>
            <w:vAlign w:val="bottom"/>
          </w:tcPr>
          <w:p>
            <w:pPr>
              <w:spacing w:after="0"/>
              <w:rPr>
                <w:sz w:val="20"/>
                <w:szCs w:val="20"/>
                <w:color w:val="auto"/>
              </w:rPr>
            </w:pPr>
          </w:p>
        </w:tc>
        <w:tc>
          <w:tcPr>
            <w:tcW w:w="258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2,559,639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(757,246)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5,688,276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232,778</w:t>
            </w: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June 30, 2022</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2,351,826</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3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232,778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outstanding options on 4,074,046 shares of Common Stock were service-based options and 1,614,230 outstanding options granted in April 2022 to the Company’s Chief Executive Officer and President were performance based subject to future market capitalization targets. A total of 1,049,145 options included in the table above were granted in April 2022 outside the Plan as an employment inducement grant but are subject to the terms and conditions of the Plan.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900" w:type="dxa"/>
            <w:vAlign w:val="bottom"/>
            <w:gridSpan w:val="3"/>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600" w:type="dxa"/>
            <w:vAlign w:val="bottom"/>
          </w:tcPr>
          <w:p>
            <w:pPr>
              <w:spacing w:after="0"/>
              <w:rPr>
                <w:sz w:val="18"/>
                <w:szCs w:val="18"/>
                <w:color w:val="auto"/>
              </w:rPr>
            </w:pPr>
          </w:p>
        </w:tc>
      </w:tr>
      <w:tr>
        <w:trPr>
          <w:trHeight w:val="230"/>
        </w:trPr>
        <w:tc>
          <w:tcPr>
            <w:tcW w:w="57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7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600" w:type="dxa"/>
            <w:vAlign w:val="bottom"/>
          </w:tcPr>
          <w:p>
            <w:pPr>
              <w:spacing w:after="0"/>
              <w:rPr>
                <w:sz w:val="19"/>
                <w:szCs w:val="19"/>
                <w:color w:val="auto"/>
              </w:rPr>
            </w:pPr>
          </w:p>
        </w:tc>
      </w:tr>
      <w:tr>
        <w:trPr>
          <w:trHeight w:val="245"/>
        </w:trPr>
        <w:tc>
          <w:tcPr>
            <w:tcW w:w="57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21"/>
                <w:szCs w:val="2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3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 rate</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3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life of options - years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5.70</w:t>
            </w:r>
          </w:p>
        </w:tc>
      </w:tr>
      <w:tr>
        <w:trPr>
          <w:trHeight w:val="237"/>
        </w:trPr>
        <w:tc>
          <w:tcPr>
            <w:tcW w:w="5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31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the Monte Carlo Simulation Model to value at the grant date the aggregate of 1,614,230 market condition performance options granted in April 2022 to the Company’s newly appointed Chief Executive Officer and a newly appointed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 expense was $408 and $1,145 for the three and six months ended June 30, 2022 and was $689 and $1,228 for the three and six months ended June 30,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The Plan provides for the grant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RSUs are settled in shares of the Company’s Common Stock as the RSUs become vested. The following table summarizes RSU activity for the six months ended June 30, 2022:</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January 1, 2022</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 - service based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 and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June 30, 2022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Service-Based</w:t>
            </w:r>
          </w:p>
        </w:tc>
        <w:tc>
          <w:tcPr>
            <w:tcW w:w="17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38"/>
        </w:trPr>
        <w:tc>
          <w:tcPr>
            <w:tcW w:w="17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269,303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6.47</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619,817</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2.73</w:t>
            </w:r>
          </w:p>
        </w:tc>
        <w:tc>
          <w:tcPr>
            <w:tcW w:w="1660" w:type="dxa"/>
            <w:vAlign w:val="bottom"/>
          </w:tcPr>
          <w:p>
            <w:pPr>
              <w:spacing w:after="0"/>
              <w:rPr>
                <w:sz w:val="18"/>
                <w:szCs w:val="18"/>
                <w:color w:val="auto"/>
              </w:rPr>
            </w:pPr>
          </w:p>
        </w:tc>
      </w:tr>
      <w:tr>
        <w:trPr>
          <w:trHeight w:val="216"/>
        </w:trPr>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(90,216)</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5.03</w:t>
            </w:r>
          </w:p>
        </w:tc>
        <w:tc>
          <w:tcPr>
            <w:tcW w:w="1660" w:type="dxa"/>
            <w:vAlign w:val="bottom"/>
          </w:tcPr>
          <w:p>
            <w:pPr>
              <w:spacing w:after="0"/>
              <w:rPr>
                <w:sz w:val="18"/>
                <w:szCs w:val="18"/>
                <w:color w:val="auto"/>
              </w:rPr>
            </w:pPr>
          </w:p>
        </w:tc>
      </w:tr>
      <w:tr>
        <w:trPr>
          <w:trHeight w:val="234"/>
        </w:trPr>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(28,357)</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5.00</w:t>
            </w:r>
          </w:p>
        </w:tc>
        <w:tc>
          <w:tcPr>
            <w:tcW w:w="1660" w:type="dxa"/>
            <w:vAlign w:val="bottom"/>
          </w:tcPr>
          <w:p>
            <w:pPr>
              <w:spacing w:after="0"/>
              <w:rPr>
                <w:sz w:val="20"/>
                <w:szCs w:val="20"/>
                <w:color w:val="auto"/>
              </w:rPr>
            </w:pP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770,547</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3.69</w:t>
            </w:r>
          </w:p>
        </w:tc>
        <w:tc>
          <w:tcPr>
            <w:tcW w:w="260" w:type="dxa"/>
            <w:vAlign w:val="bottom"/>
          </w:tcPr>
          <w:p>
            <w:pPr>
              <w:spacing w:after="0"/>
              <w:rPr>
                <w:sz w:val="18"/>
                <w:szCs w:val="18"/>
                <w:color w:val="auto"/>
              </w:rPr>
            </w:pP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-719455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-445135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-161925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40" w:space="720"/>
            <w:col w:w="5480"/>
          </w:cols>
          <w:pgMar w:left="320" w:top="364"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total of 175,173 RSUs included in the table above were granted in April 2022 outside the Plan as an employment inducement grant but are subject to the terms and conditions of the Plan.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RSU expense was $319 and $611 for the three and six months ended June 30, 2022 and was $1,459 and $1,779 for the three and six months ended June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expense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total estimated compensation expense of stock options granted and outstanding but not yet vested was $4,590 which is expected to be recognized over the weighted average period of 3.5 years. As of June 30, 2022, total estimated compensation cost of RSUs granted and outstanding but not yet vested was $2,366 which is expected to be recognized over the weighted average period of 2.4 years.</w:t>
      </w:r>
    </w:p>
    <w:p>
      <w:pPr>
        <w:spacing w:after="0" w:line="200" w:lineRule="exact"/>
        <w:rPr>
          <w:sz w:val="20"/>
          <w:szCs w:val="20"/>
          <w:color w:val="auto"/>
        </w:rPr>
      </w:pPr>
    </w:p>
    <w:p>
      <w:pPr>
        <w:spacing w:after="0" w:line="2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tab/>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Technology License Agreement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stockholder/officer Mr. James Barnes. The agreement provides for royalty payments of 4% of revenue from products employing the licensed ensnarement device technology up to an aggregate of $1,000 in royalties or until September 30,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whichever occurs earlier. The Company recorded $34 and $83 for royalties during the three and six months ended June 30, 2022 and $68 and $119 incurred for the three and six months ended June 30,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30, 2022, the Company was committed for approximately $3.2 million for future component deliveries that are generally subject to modification or rescheduling in the normal course of business.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in October 2017 the Company began reimbursing Mr. Elwood Norris, a former officer and current stockholder and consultant of the Company, $1.5 per month on a month-to-month basis for laboratory facility expense, for an aggregate of $9 during the six months ended June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7, 10 and 11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MAJOR CUSTOMERS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revenues from three distributors and one agency accounted for approximately 24%, 18%, 12% and 11% of revenues with no other single customer accounting for more than 10% of total revenues. For the three months ended June 30, 2021, revenues from two distributors accounted for approximately 37% and 22% of revenues with no other single customer accounting for more than 10% of total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revenues from one distributor accounted for approximately 25% of revenues with no other single customer accounting for more than 10% of total revenues. For the six months ended June 30, 2021, revenues from four distributors accounted for approximately 20%, 17%, 13% and 12% of revenues with no other single customer accounting for more than 10% of total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2021, accounts receivable from two distributors accounted for 18% and 11% of accounts receivable with no other single customer accounting for more than 10% of the accounts receivable balance. Three distributors accounted for 48%, 16% and 15% of accounts receivable at December 31, 2021 with no other single customer accounting for more than 10% of the accounts receivable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by geographic region. Revenues are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in conjunction with the financial statements and other financial information included elsewhere in this Quarterly Report on Form 10-Q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with our audited financial statements and other information presented in our Annual Report on Form 10-K for the year ended December 31, 2021. The following discussion may contain forward-looking statements that reflect our plans, estimates and beliefs.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including particularly matters set forth under Part I, Item 1A (Risk Factors) of our Annual Report on Form 10-K.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organized in March 2016 delivering modern policing solutions to law enforcement and security personnel. We are a mission-driven organization focused on improving public safety encounters and outcomes. We began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 In 2020 we added a new solution to our public safety technologies, which is our virtual reality training platform – Wrap Reality. Wrap Reality is now sold to law enforcement agencies for simulation training as well as corrections departments for the societal reentry scenarios.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immediate addressable domestic market for our solutions consists of approximately 900,000 full-time sworn law enforcement officers at over 15,300 federal, state and local law enforcement agencies, and over 12 million police officers in over 100 countries.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360iResearch, a market research consulting firm, we participate in a segment of the non-lethal products global market expected to grow to $16.1 billion by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is a hand-held remote restraint device that discharges an eight-foot bola style Kevlar tether to entangle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at a range of 10-25 feet. BolaWrap assists law enforcement to safely and effectively control encounters early in the use of force continuum without resorting to painful force options.</w:t>
      </w:r>
    </w:p>
    <w:p>
      <w:pPr>
        <w:spacing w:after="0" w:line="17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is a law enforcement training system employing immersive computer graphics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with proprietary software-enabled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United States law enforcement market, we have shipped our restraint products to 53 countries. We have established an active distributor network with 13 domestic distributors representing 50 states and one dealer representing Puerto Rico. We have distribution agreements with 49 international distributors covering 56 countries. We focus significant sales, training and business development efforts to support our global distribution network.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Changes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in January 2022, the Board of Directors approved and initiated a leadership transition plan to support the next phase of its corporate strategy, which is focused on new leadership diversifying the Company’s suite of products, offerings and services. The transition and corporate strategy included the resignation of our President, Chief Executive Officer and director Thomas P. Smith and the announcement of the planned retirement of our Former Chief Financial Officer, Secretary and Treasurer James A. Barnes, who retired in July 2022 upon the appointment of Chris DeAlmeida as our Chief Financial Officer. After a period of transition managed by Special Transition Committee consisting of directors Scot Cohen and Kim Sentovich and including interim contract executives, on April 18, 2022, the Company appointed TJ Kennedy, a current director, as our Chief Executive Officer and Kevin Mullins as our President. Both Messrs. Kennedy and Mullins have significant leadership experience in public safety technology prior to their appointment. Mr. Mullins is leading go to market functions in the President role.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Wrap is gaining traction as a recognized global brand, with innovative technology and an initial product foundation achieved through aggressive marketing and public relations. We believe that we have strong market opportunities for our remote restraint and VR solutions throughout the world in the law enforcement and security sectors as a result of increasing demands for less lethal policing and increasing threats posed by non-compliant subjects.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receive field reports of successful BolaWrap usage from law enforcement agencies. Many agencies consider BolaWrap as a very low level, or non-reportable, use of force option and, accordingly, many uses are not reported to us. Others are considered evidence and are also not shared. Some law enforcement agencies have shared bodycam footage of their field uses, some of which we are allowed to use in our marketing activities. We believe increased reports of avoiding escalation will help grow revenues in the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a robust and growing pipeline of market opportunities for our restraint product offering and training services within the law enforcement, military, corrections,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As of June 30, 2022, over 1,130 agencies have received BolaWrap training with over 3,660 training officers at those agencies certified as BolaWrap instructors and qualified to train the rest of their departments. This represents a 41% increase in agencies and a 31% increase in training officers compared to June 30, 2021.</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in Q2 of 2022 reduced 39% from Q2 of 2021. The focus on reducing operating expenses was an immediate focus on the new management team. In the second quarter, our new management team focused on assessing all facets of the business and completed a strategic roadmap to drive long-term growth and produce lasting value for shareholders. Our strategic roadmap is centered on sustainably growing sales through building repeatable domestic BolaWrap sales, ramping international sales on the new BolaWrap 150, and implementing a customer success function expanding existing agencies to full patrol-wide BolaWrap deployment. We also have added a dedicated inside sales function to grow our velocity on new leads. We will be expanding our distributor and partner relationships, and leveraging product diversification and innovation to catalyze sales growth. A key decision in the strategic roadmap was to improve our pricing on BolaWrap 150 devices and cassettes now that the product has proven itself to law enforcement as a significant upgrade. We have also transitioned to charging for our respected training services. We have implemented changes to how we sell Wrap Reality and have now solidified our go forward virtual reality model as a Software as a Service (SaaS) model. These changes will have significant positive impact on our future success and growth.</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firmly believe that focusing on these strategic changes can drive significant sales growth and put us on a path to sustainable profitability. Management intends to execute on its strategic roadmap immediately driving changes in Q3. While geopolitical tensions and macroeconomic headwinds have impacted us in recent quarters, we remain uniquely positioned to deliver best-in-class technologies and data-driven services that can empower law enforcement officers across the globe to have safe, effective encounters with minimal use of force. Wrap has a distinct value proposition in a growing addressable market. Now with improved pricing, reduced operating expenses, and by growing future sales we expect to have reduced losses and improved cash flow.</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recovering from supply chain impacts and a difficult transition from the BolaWrap 100 to the BolaWrap 150 . We expect to make more product demonstrations and conduct more training sessions, especially in international markets, as pandemic-related restrictions continue to ease in 2022. We also expect to see increased sales momentum in the back half of 2022 internationally as we raise awareness of all of the BolaWrap 150 enhancements and transition countries to the BolaWrap 150. Lastly, we anticipate discount and promotional costs to decline after Q3 as we have phase out upgrade offers and prioritize growing brand awareness.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Looking beyond 2022, we expect to continue to see strong sales growth of the BolaWrap 150 and Wrap Reality. This coupled with continued cost savings and cost control, should lead to a continuing reduction of cash burn going forward. As a result, we anticipate moving to a cash flow break-even point by the end of 2023 and we anticipate strong sales could lead to profitability by the end of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acquisition of NSENA in December 2020, and the rebranding of the NSENA business as Wrap Reality, we have continued to market our VR system while working to integrate previous scenarios into a robust platform, employing BolaWrap and additional de-escalation techniques into new Wrap Reality scenarios. The improved law enforcement simulator platform continues to be used by additional agencies. In July 2022 we announced new wins with large correction agencies in Ohio and Pennsylvania that introduced our new scenarios focused on societal reentry and preventing recidivism. We plan to increase marketing activities for our VR solution to both law enforcement and corrections.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we had backlog of approximately $72 thousand expected to be delivered in the next twelve months. Additionally, we had deferred revenue of $344 thousand expected to be recognized generally over the next five years. Distributor and customer orders for future deliveries are generally subject to modification, rescheduling or in some instances, cancellation, in the normal course of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 In the second quarter of fiscal 2022 we reduced our net loss by more than $3 million versus the comparable prior year quarter. Net cash used in operations during the six months ended June 30, 2022 was $4 million less than cash used in operations during the first six months of the prior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classified the COVID-19 outbreak as a pandemic. We believe our sales during the first six months of 2022 were negatively impacted by the transition to the BolaWrap 150 product and the stopping of our BolaWrap 100 production line and the effects of limited ability to demonstrate and train in 2021 due to the COVID-19 pandemic, especially internationally. We continue to monitor developments and assess areas where there is potential for our business to be impacted by the pandemic. Businesses and governments with which we engage may be operating under restrictions and experiencing disruptions, which may create obstacles in the coordination of business activities, including demonstrations, training and the negotiation and fulfillment of orders. Disruptions in the supply chain have already impacted us and could negatively impact our ability to source materials or manufacture and distribute products. We could experience a decrease in new orders from pandemic related events, which could negatively impact our revenues and reduce our liquidity and cash flows. Growth in revenue could also be impeded by these factors. The financial markets have been subject to significant volatility that could impact our ability to enter into, modify, and negotiate favorable terms and conditions relative to equity and debt financing activities. We have $28.5 million in cash and cash equivalents and short-term investments as of June 30, 2022, which we believe provides sufficient capital to fund our operations for at least the next twelve months and withstand the potential near-term consequences of the pandemic, although liquidity constraints and access to capital markets could adversely impact our liquidity and warrant changes to our investment strategy. The full magnitude of the pandemic cannot be measured at this time, and therefore, any of the aforementioned circumstances, as well as other factors, may cause our results of operations to vary substantially from year to year and quarter to quarter.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various standards published to date, we believe the work our employees and associates perform is critical and essential. We are taking a variety of measures to promote the safety and security of our employees while ensuring the availability and functionality of our critical infrastructure. We are following Center for Disease Control and local guidelines regarding COVID-19 safety in the workplace. In addition, the following events related to the COVID-19 pandemic could result in lost or delayed revenue to the Company: limitations on the ability of our suppliers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unforeseen deviations from customers or foreign governments restricting the ability to do business; and, limitations on the ability of our customers to pay us on a timely basis, if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may be adversely affected by continued social unrest, protests against racial inequality, protests against police brutality and movements such as “Defund the Police” and such unrest may be exacerbated by inaccurate information or negative publicity regarding our solutions. Although the negativity of some of these events has been reduced, some of these events may still directly or indirectly affect police agency budgets and funding available to current and potential customers. Participants in these events may also attempt to create the perception that our solutions are contributing to the perceived problems, which may adversely affect us, our business and results of operations, including our revenues, earnings and cash flows from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may be impacted by global economic conditions, which have been in recent years, and continue to be, volatile. Geopolitical conflict, such as the recent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in many of our target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management and other key personnel have the potential to improve and disrupt our business, and any such disruption could potentially adversely affect our operations, programs, growth, financial condition or results of operations. Improvements to operations, operating expenses and go to market approaches also have the opportunity to impact the success of the business going forward.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Our products are sold to customers in many different markets and geographic locations. We estimate our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consisted of (a) capitalized legal fees and filing expense related to obtaining patents and trademarks,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Accrued Expense.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include (i) selling, general and administrative expense, (ii) research and development expense, and in the most recent fiscal quarter,</w:t>
      </w:r>
    </w:p>
    <w:p>
      <w:pPr>
        <w:spacing w:after="0" w:line="27" w:lineRule="exact"/>
        <w:rPr>
          <w:sz w:val="20"/>
          <w:szCs w:val="20"/>
          <w:color w:val="auto"/>
        </w:rPr>
      </w:pPr>
    </w:p>
    <w:p>
      <w:pPr>
        <w:jc w:val="both"/>
        <w:ind w:firstLine="8"/>
        <w:spacing w:after="0" w:line="252"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18"/>
                <w:szCs w:val="18"/>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inventory charge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(7,801)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net revenue of $1.2 million for the three months ended June 30, 2022, as compared to $1.9 million for the prior year quarter. While domestic revenues were constant at $1.1 million in each quarter, international revenues decreased from $0.8 million for the second quarter of 2021 to $75 thousand for the quarter ended June 30, 2022. We incurred discounts of $161 thousand during the three months ended June 30, 2022, primarily as a result of promotional programs designed to encourage domestic customers to upgrade to the BolaWrap 150. These discounts compares to business discounts of $77 thousand in the prior year quarter. We expect selected discounts in the third quarter but thereafter a decline to minimal discounts as we have phased out our promotional upgrade offer.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revenues generally consist of larger orders with the end user being large, centralized government agencies. These orders continue to be lumpy and difficult to predict as to both timing and amount. International orders anticipated in the second quarter were delayed due to the change over from the BolaWrap 100 but those orders for BolaWrap 150 are anticipated in future quarters. We believe that revenue during the fiscal year 2022 will still be an increase compared to the revenue recorded during 2021 due to growth of domestic sales and anticipated international orders from a robust pipeline, although no assurances can be given.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$265 thousand during the quarter ended June 30, 2022, related primarily to BolaWrap 150 demonstration products and the cost of training products and accessories delivered to law enforcement agencies that were expensed as marketing costs. A total of $379 thousand of such product promotional costs were incurred during the prior year quarter. We are responding to increased demand for training as a result of expanded product and brand awareness with more efficient training approaches. With increased successful field use by agencies and greater brand awareness, as well as the transition to the BolaWrap 150, we expect reductions in product promotional costs to decline versus the prior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$344 thousand of deferred revenue at June 30, 2022, of which $221 thousand related to VR training and $123 thousand related to BolaWrap extended warranties and services. As we potentially secure increased bookings for Wrap Reality, as well as BolaWrap extended warranties, we expect our deferred revenue to grow in future quarters.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we had backlog of $72 thousand expected to be delivered in the next twelve months.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the COVID-19 pandemic and geopolitical conflicts, including the recent war in Ukraine, has created much uncertainty in the global marketplace. The COVID-19 pandemic has and may continue to restrict our ability to travel internationally. Although no assurances can be given, we do believe, however, that the challenges to substantially increasing sales caused by COVID-19 will abate as the pandemic wanes, especially given the number of BolaWrap trials currently ongoing and the current environment where non-lethal options are being widely considered by law enforcement domestically and internationally.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recent changes in management. Changes in management and other key personnel have the potential to disrupt our business, and any such disruption could adversely affect our revenue growth in future periods, especially in the near term as we execute our Management Transition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for the quarter was $708 thousand resulting in a gross margin of 39%. The gross margin for the comparable prior quarter, was also 39% after excluding $747 thousand of restructuring charges related to the wind down of BolaWrap 100 production. The most recent quarter period gross margin was impacted by the lower sales volume, warranty costs and promotional discounts. We also were impacted by certain higher raw material prices in the second quarter to obtain certain parts. Our margin is expected to improve in future quarters as these issues abate.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limited history of revenue historical margins, however, may not be indicative of planned future margins. The BolaWrap 150 has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has been subject to significant component shortages, increased lead times, cost fluctuations, and logistics constraints that have impacted our product costs.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expense for the quarter ended June 30, 2022 were $2.8 million less than the prior year comparable quarter due to cost containment efforts and due to certain one-time costs in the prior year quarter.</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costs allocated to SG&amp;A decreased to $0.6 million compared to $2.0 million for the comparable prior quarter. This $1.4 million decrease resulted primarily from a one-time $1.2 million cost in the prior year quarter for legacy and new directors appointed in April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compensation costs of $1.5 million for the quarter ended June 30, 2022 were comparable to the prior year as staffing remained at similar levels. During the quarter ended June 30, 2022, as compared to the prior year comparable quarter, we incurred reduced advertising and promotions costs (including product promotion costs) of $254 thousand, reduced professional fees of $116 thousand, reduced annual meeting costs of $234 thousand and reduced consulting and contract services fees of $643 thousand. We expect expenditures for SG&amp;A expenses for the balance of 2022 to remain below the prior year due to management’s active cost containment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$314 thousand for the quarter ended June 30, 2022, compared to the comparable period in the prior year. Non-cash share-based compensation expense allocated to research and development personnel was $136 thousand for the quarter ended June 30, 2022 comparable to the $121 thousand for the prior period. Cash compensation costs for the quarter ended June 30, 2022 increased $102 thousand compared to the prior year resulting from an increase in headcount primarily associated with product development. Prototype related costs for quarter ended June 30, 2022, increased $106 thousand related to BolaWrap 150 continued improvements. We expect our research and development costs to remain at comparable levels for the balance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from operations during the three months ended June 30, 2022, of $4.8 million was a reduction of $3.0 million compared to that of the three months ended June 30, 2021 reflecting increased margin and the focus on reducing operating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inventory charge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11,557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2,227</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13,784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net revenue of $2.8 million for the six months ended June 30, 2022, as compared to $3.5 million for the quarter ended June 30, 2021. Domestic revenues of $2.3 million for the six months reflected growth of 30% over the prior comparable quarter of $1.8 million. International revenues decreased from $1.7 million for the six months ended June 30, 2021 to $0.5 million for the six months ended June 30, 2022. We incurred discounts of $549 thousand during the six months ended June 30, 2022, primarily as a result of promotional programs designed to encourage domestic customers to upgrade to the BolaWrap 150. The discounts compare to business discounts of $81 thousand in the comparable six-month period of the prior year. We expect selected discounts in the third quarter but thereafter a decline to minimal discounts as we have phased out our promotional upgrade offer.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revenues generally consist of larger orders with the end user being large, centralized government agencies. These orders continue to be lumpy and difficult to predict as to both timing and amount. International orders anticipated in the second quarter were delayed due to the change over from the BolaWrap 100 but those orders for BolaWrap 150 are anticipated in future quarters. We believe that revenue during the fiscal year 2022 will still be an increase compared to the revenue recorded during 2021 due to growth of domestic sales and anticipated international orders from a robust pipeline, although no assurances can be given.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$479 thousand during the six months ended June 30, 2022, related primarily to BolaWrap 150 demonstration products and the cost of training products and accessories delivered to law enforcement agencies that were expensed as marketing costs. A total of $678 thousand of such product promotional costs were incurred during the six months ended June 30, 2021. We are responding to increased demand for training as a result of expanded product and brand awareness with more efficient training approaches. With increased successful field use by agencies and greater brand awareness we expect reductions in product promotional costs to decline versus the prior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$344 thousand of deferred revenue at June 30, 2022, of which $221 thousand related to VR training and $123 thousand related to BolaWrap extended warranties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we had backlog of $72 thousand expected to be delivered in the next twelve months.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for the six months ended June 30, 2022, was $1.6 million resulting in a gross margin of 41%. The gross margin for the six months ended June 30, 2021, was 37% after adjusting excluding $747 thousand of restructuring charges related to the wind down of BolaWrap 100 production. The most recent period gross margin was impacted by the lower sales volume and promotional discounts. We also were impacted by certain higher raw material prices in 2022 to obtain certain parts. Our margin is expected to improve in future quarters as these issues abate.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limited history of revenue historical margins, however, may not be indicative of planned future margins. The BolaWrap 150 has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has been subject to component shortages, increased lead times, cost fluctuations, and logistics constraints that have impacted our product costs.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expense for the six months ended June 30, 2022 were $8.4 million reflecting a, decrease of $3.2 million when compared to $11.6 million for the six months ended June 30, 2021. The reduction in SG&amp;A costs reflected active cost containment efforts and nonrecurrence of certain one-time costs in the prior year quarter.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costs allocated to SG&amp;A was $1.5 million for the six months ended June 30, 2022 compared to $2.6 million for the comparable prior period. This $1.4 million decrease included the effect of a one-time $1.2 million cost in the prior period for legacy and new directors appointed in April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compensation costs of $3.1 million for the six months ended June 30, 2022 was a $179 thousand increase from the prior year six months but included a $300 thousand severance expense offset by cost containment efforts. During the six months ended June 30, 2002, as compared to the prior year comparable six months, we incurred reduced advertising and promotions costs (including product promotion costs) of $341 thousand, reduced professional fees of $842 thousand, reduced annual meeting costs of $234 thousand and reduced consulting and contract services fees of $748 thousand. We expect expenditures for SG&amp;A expenses for the balance of 2022 to remain below the prior year due to active cost containment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$744 thousand for the six months ended June 30, 2022, compared to the comparable six-month period in fiscal 2021. Non-cash share-based compensation expense allocated to research and development personnel was $271 thousand for the six months ended June 30, 2022 compared to the $378 thousand for the prior period which included effects of new hires. Cash compensation costs for the six months ended June 30, 2022 increased $269 thousand compared to the prior year resulting from an increase in headcount primarily associated with product development. Prototype related costs for the six months ended June 30, 2022, increased $305 thousand related to BolaWrap 150 startup costs and continued improvements. We expect our research and development costs to remain at comparable levels for the balance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from operations during the six months ended June 30, 2022, of $10.2 million was a reduction of $3.0 million compared to that of the six months ended June 30, 2021 reflecting second quarter reduced costs from the prior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June 30, 2022, we had cash and cash equivalents of $3.6 million, short-term investments of $24.9 million, positive working capital of $30 million and had sustained cumulative losses attributable to stockholders of $60 million. We believe that our cash on hand and short-term investments will sustain our operations for at least the next twelve months from the date of this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62" w:lineRule="exact"/>
        <w:rPr>
          <w:sz w:val="20"/>
          <w:szCs w:val="20"/>
          <w:color w:val="auto"/>
        </w:rPr>
      </w:pPr>
    </w:p>
    <w:p>
      <w:pPr>
        <w:ind w:left="840" w:hanging="414"/>
        <w:spacing w:after="0" w:line="26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the global outbreak of the COVID-19 pandemic, and other potential pandemics or contagious diseases or fear of such outbreaks;</w:t>
      </w: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staffing, development, production, marketing and other functions;</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market acceptance of our products;</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planned production and required customer and regulatory compliance of our products;</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filing and prosecuting our patent applications and defending any future intellectual property-related claims;</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additional product development;</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any future warranty claims or litigation against us associated with any of our products;</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accounts receivable; and</w:t>
      </w:r>
    </w:p>
    <w:p>
      <w:pPr>
        <w:spacing w:after="0" w:line="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associated with any new financing.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including from exercise of outstanding warrants and options include:</w:t>
      </w:r>
    </w:p>
    <w:p>
      <w:pPr>
        <w:spacing w:after="0" w:line="225" w:lineRule="exact"/>
        <w:rPr>
          <w:sz w:val="20"/>
          <w:szCs w:val="20"/>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capital markets; and</w:t>
      </w:r>
    </w:p>
    <w:p>
      <w:pPr>
        <w:spacing w:after="0" w:line="2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trading volume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net cash used in operating activities was $6.2 million. The net loss of $10.2 million was decreased by non-cash expense of $2.2 million consisting primarily of share-based compensation expense of $1.76 million. Other major component changes using operating cash included an increase of $467 thousand in inventories and a net reduction in accounts payable and accrued liabilities of $311 thousand. A decrease in accounts receivable of $2.4 million reduced the cash used in operating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2021, net cash used in operating activities was $10.25 milllion. The net loss of $13.2 million was decreased by non-cash expense of $4.3 million consisting primarily of share-based compensation expense of $3 million, restructuring inventory charges of $747 thousand and shares issued for services of $239 thousand. Other major component changes using operating cash included an increase of $798 thousand in accounts receivable and an increase in inventories of $713 thousand. An increase of $101 thousand in accounts payable and accrued expenses and an increase of $170 thousand in deferred revenue reduced the cash used in operating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used $14.9 million of cash to purchase short-term investments and we had proceeds from maturities of short-term investments of $20 million. During the six months ended June 30, 2021, we used $25 million of cash to purchase short-term investments and we had proceeds from maturities of short-term investments of $20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$168 thousand and $367 thousand of cash for the purchase of property and equipment during the six months ended June 30, 2022, and 2021, respectively. We invested $102 thousand and $96 thousand in patents during the six months ended June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received $75 thousand in proceeds from the exercise of previously issued stock options. During the six months ended June 30, 2021, we received $12 million in proceeds from the exercise of outstanding stock warrants, $278 thousand in proceeds from the exercise of previously issued stock options and repaid $200 thousand in debt relating to the NSENA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that certain exclusive Amended and Restated Intellectual Property License Agreement dated September 30, 2016, by and between the Company and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we are obligated to pay to Syzygy a 4% royalty fee on future product sales up to an aggregate amount of $1.0 million in royalty payments or until September 30, 2026, whichever occurs earlier.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aggregate lease payments on our facility lease of $58 thousand in 2022, $121 thousand in 2023, $126 thousand in 2024, and $75 thousand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we were committed for approximately $3.2 million for future component deliveries and contract services that are generally subject to modification or rescheduling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period ended June 30, 2022, or subsequently thereto, that we believe are of potential significance to our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our principal financial officer, as of June 30, 2022, we conducted an evaluation of our disclosure controls and procedures as such term is defined under Rules 13a-15(e) and 15d-15(e) promulgated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Based on this evaluation, our principal executive officer and our principal financial officer concluded that our disclosure controls and procedures were effective at the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fiscal quarter ended June 30, 2022,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Litigation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Naresh Rammohan filed a shareholder derivative action in the United States District Court for the Central District of California against current and former Company officers Tom Smith, James Barnes, Mike Rothans, Marc Thomas, and David Norris, as well as current and former Company directors Messrs. Scot Cohen, Patrick Kinsella, Michael Parris, and Wayne Walker, alleging unjust enrichment, breach of fiduciary duty, waste of corporate assets, and contribution claims under the Securities Exchange Act of 1934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docketed as Case No. 2:20-cv-10444-DMG-PVCx. On January 20,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Ray Westerman filed a second derivative action in the same court against the same parties, alleging breach of fiduciary duty and contribution claims under the Securities Exchange Act of 1934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docketed as Case No. 2:21-cv-00550-DMG-PVCx. On January 22,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Jesse Lowe filed a third derivative action in the same court against the same parties, alleging breach of fiduciary duty and asserting various claims under the Securities Exchange Act of 1934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docketed as Case No. 2:21-cv-00597-DMG-PVCx. The Company was named as a nominal defendant in each of these actions.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16,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Honorable Dolly M. Gee issued an order consolidating the three derivative actions under the caption </w:t>
      </w:r>
      <w:r>
        <w:rPr>
          <w:rFonts w:ascii="Times New Roman" w:cs="Times New Roman" w:eastAsia="Times New Roman" w:hAnsi="Times New Roman"/>
          <w:sz w:val="18"/>
          <w:szCs w:val="18"/>
          <w:i w:val="1"/>
          <w:iCs w:val="1"/>
          <w:color w:val="auto"/>
        </w:rPr>
        <w:t>In re Wrap Technologies,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Shareholder Derivative Litigation</w:t>
      </w:r>
      <w:r>
        <w:rPr>
          <w:rFonts w:ascii="Times New Roman" w:cs="Times New Roman" w:eastAsia="Times New Roman" w:hAnsi="Times New Roman"/>
          <w:sz w:val="18"/>
          <w:szCs w:val="18"/>
          <w:color w:val="auto"/>
        </w:rPr>
        <w:t>, Case No. 2:20-10444-DMG-PVCx, (the “</w:t>
      </w:r>
      <w:r>
        <w:rPr>
          <w:rFonts w:ascii="Times New Roman" w:cs="Times New Roman" w:eastAsia="Times New Roman" w:hAnsi="Times New Roman"/>
          <w:sz w:val="18"/>
          <w:szCs w:val="18"/>
          <w:i w:val="1"/>
          <w:iCs w:val="1"/>
          <w:color w:val="auto"/>
        </w:rPr>
        <w:t>Derivative Action</w:t>
      </w:r>
      <w:r>
        <w:rPr>
          <w:rFonts w:ascii="Times New Roman" w:cs="Times New Roman" w:eastAsia="Times New Roman" w:hAnsi="Times New Roman"/>
          <w:sz w:val="18"/>
          <w:szCs w:val="18"/>
          <w:color w:val="auto"/>
        </w:rPr>
        <w:t>”) and stayed the Derivative Action at least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resolution of the action captioned </w:t>
      </w:r>
      <w:r>
        <w:rPr>
          <w:rFonts w:ascii="Times New Roman" w:cs="Times New Roman" w:eastAsia="Times New Roman" w:hAnsi="Times New Roman"/>
          <w:sz w:val="18"/>
          <w:szCs w:val="18"/>
          <w:i w:val="1"/>
          <w:iCs w:val="1"/>
          <w:color w:val="auto"/>
        </w:rPr>
        <w:t>In re Wrap Technologies, Inc. Securities Exchange Act Litigation</w:t>
      </w:r>
      <w:r>
        <w:rPr>
          <w:rFonts w:ascii="Times New Roman" w:cs="Times New Roman" w:eastAsia="Times New Roman" w:hAnsi="Times New Roman"/>
          <w:sz w:val="18"/>
          <w:szCs w:val="18"/>
          <w:color w:val="auto"/>
        </w:rPr>
        <w:t>, Case No. 2:20-cv-08760-DMG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On December 20, 2021, Judge Gee dismissed the Securities Action with prejudice. On April 29, 2022 the above-mentioned parties jointly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stipulation of voluntary dismissal in order to dismiss the Derivative Action without prejudice to the plaintiffs, the Company, or Wrap shareholders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Stipulation</w:t>
      </w:r>
      <w:r>
        <w:rPr>
          <w:rFonts w:ascii="Times New Roman" w:cs="Times New Roman" w:eastAsia="Times New Roman" w:hAnsi="Times New Roman"/>
          <w:sz w:val="18"/>
          <w:szCs w:val="18"/>
          <w:color w:val="auto"/>
        </w:rPr>
        <w:t>”). The Stipulation was granted by Judge Gee on May 3,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June 30, 2022, we had no provision for liability under existing litigation.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Management is not aware of any material changes to the risk factors discussed in Part 1, Item 1A, of the Annual Report on Form 10-K for the year ended December 31, 2021. In addition to the other information set forth in this Quarterly Report on Form 10-Q, you should carefully consider the risk factors discussed in Part 1, Item 1A, of the Annual Report on Form 10-K for the year ended December 31, 2021, and subsequent reports filed pursuant to the Exchange Act which could materially and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unregistered securities were issued during the three months ended June 30, 2022, that were not previously reported.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4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Exhibit 31.1</w:t>
            </w: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Certification of TJ Kennedy, Principal Executive Officer, pursuant to Rule 13a-14(a) or 15d-14(a) of the Securities and Exchange</w:t>
            </w:r>
          </w:p>
        </w:tc>
        <w:tc>
          <w:tcPr>
            <w:tcW w:w="0" w:type="dxa"/>
            <w:vAlign w:val="bottom"/>
          </w:tcPr>
          <w:p>
            <w:pPr>
              <w:spacing w:after="0"/>
              <w:rPr>
                <w:sz w:val="1"/>
                <w:szCs w:val="1"/>
                <w:color w:val="auto"/>
              </w:rPr>
            </w:pPr>
          </w:p>
        </w:tc>
      </w:tr>
      <w:tr>
        <w:trPr>
          <w:trHeight w:val="218"/>
        </w:trPr>
        <w:tc>
          <w:tcPr>
            <w:tcW w:w="900" w:type="dxa"/>
            <w:vAlign w:val="bottom"/>
            <w:tcBorders>
              <w:top w:val="single" w:sz="8" w:color="0000EE"/>
            </w:tcBorders>
          </w:tcPr>
          <w:p>
            <w:pPr>
              <w:spacing w:after="0"/>
              <w:rPr>
                <w:sz w:val="18"/>
                <w:szCs w:val="18"/>
                <w:color w:val="auto"/>
              </w:rPr>
            </w:pPr>
          </w:p>
        </w:tc>
        <w:tc>
          <w:tcPr>
            <w:tcW w:w="900" w:type="dxa"/>
            <w:vAlign w:val="bottom"/>
          </w:tcPr>
          <w:p>
            <w:pPr>
              <w:spacing w:after="0"/>
              <w:rPr>
                <w:sz w:val="18"/>
                <w:szCs w:val="18"/>
                <w:color w:val="auto"/>
              </w:rPr>
            </w:pP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Act of 1934, as amended, as adopted pursuant to Section 302 of the Sarbanes-Oxley Act of 2002.*</w:t>
            </w:r>
          </w:p>
        </w:tc>
        <w:tc>
          <w:tcPr>
            <w:tcW w:w="0" w:type="dxa"/>
            <w:vAlign w:val="bottom"/>
          </w:tcPr>
          <w:p>
            <w:pPr>
              <w:spacing w:after="0"/>
              <w:rPr>
                <w:sz w:val="1"/>
                <w:szCs w:val="1"/>
                <w:color w:val="auto"/>
              </w:rPr>
            </w:pPr>
          </w:p>
        </w:tc>
      </w:tr>
      <w:tr>
        <w:trPr>
          <w:trHeight w:val="194"/>
        </w:trPr>
        <w:tc>
          <w:tcPr>
            <w:tcW w:w="1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Exhibit 31.2</w:t>
            </w:r>
          </w:p>
        </w:tc>
        <w:tc>
          <w:tcPr>
            <w:tcW w:w="944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Certification of James A. Barnes, Principal Financial Officer, pursuant to Rule 13a-14(a) or 15d-14(a) of the Securities and</w:t>
            </w:r>
          </w:p>
        </w:tc>
        <w:tc>
          <w:tcPr>
            <w:tcW w:w="0" w:type="dxa"/>
            <w:vAlign w:val="bottom"/>
          </w:tcPr>
          <w:p>
            <w:pPr>
              <w:spacing w:after="0"/>
              <w:rPr>
                <w:sz w:val="1"/>
                <w:szCs w:val="1"/>
                <w:color w:val="auto"/>
              </w:rPr>
            </w:pPr>
          </w:p>
        </w:tc>
      </w:tr>
      <w:tr>
        <w:trPr>
          <w:trHeight w:val="218"/>
        </w:trPr>
        <w:tc>
          <w:tcPr>
            <w:tcW w:w="900" w:type="dxa"/>
            <w:vAlign w:val="bottom"/>
            <w:tcBorders>
              <w:top w:val="single" w:sz="8" w:color="0000EE"/>
            </w:tcBorders>
          </w:tcPr>
          <w:p>
            <w:pPr>
              <w:spacing w:after="0"/>
              <w:rPr>
                <w:sz w:val="18"/>
                <w:szCs w:val="18"/>
                <w:color w:val="auto"/>
              </w:rPr>
            </w:pPr>
          </w:p>
        </w:tc>
        <w:tc>
          <w:tcPr>
            <w:tcW w:w="900" w:type="dxa"/>
            <w:vAlign w:val="bottom"/>
          </w:tcPr>
          <w:p>
            <w:pPr>
              <w:spacing w:after="0"/>
              <w:rPr>
                <w:sz w:val="18"/>
                <w:szCs w:val="18"/>
                <w:color w:val="auto"/>
              </w:rPr>
            </w:pP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Exchange Act of 1934, as amended, as adopted pursuant to Section 302 of the Sarbanes-Oxley Act of 2002.*</w:t>
            </w:r>
          </w:p>
        </w:tc>
        <w:tc>
          <w:tcPr>
            <w:tcW w:w="0" w:type="dxa"/>
            <w:vAlign w:val="bottom"/>
          </w:tcPr>
          <w:p>
            <w:pPr>
              <w:spacing w:after="0"/>
              <w:rPr>
                <w:sz w:val="1"/>
                <w:szCs w:val="1"/>
                <w:color w:val="auto"/>
              </w:rPr>
            </w:pPr>
          </w:p>
        </w:tc>
      </w:tr>
      <w:tr>
        <w:trPr>
          <w:trHeight w:val="194"/>
        </w:trPr>
        <w:tc>
          <w:tcPr>
            <w:tcW w:w="1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Exhibit 32.1</w:t>
            </w:r>
          </w:p>
        </w:tc>
        <w:tc>
          <w:tcPr>
            <w:tcW w:w="944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37"/>
        </w:trPr>
        <w:tc>
          <w:tcPr>
            <w:tcW w:w="90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executed by TJ Kennedy, Principal Executive Officer, and James A. Barnes, Principal Financial Officer.*</w:t>
            </w: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Extensible Business Reporting Language (XBRL) Exhibits*</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6"/>
        </w:trPr>
        <w:tc>
          <w:tcPr>
            <w:tcW w:w="1800" w:type="dxa"/>
            <w:vAlign w:val="bottom"/>
            <w:gridSpan w:val="2"/>
            <w:vMerge w:val="continue"/>
          </w:tcPr>
          <w:p>
            <w:pPr>
              <w:spacing w:after="0"/>
              <w:rPr>
                <w:sz w:val="10"/>
                <w:szCs w:val="10"/>
                <w:color w:val="auto"/>
              </w:rPr>
            </w:pPr>
          </w:p>
        </w:tc>
        <w:tc>
          <w:tcPr>
            <w:tcW w:w="9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90"/>
        </w:trPr>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concurrently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TJ Kennedy, certify that:</w:t>
      </w:r>
    </w:p>
    <w:p>
      <w:pPr>
        <w:spacing w:after="0" w:line="225"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6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right="20" w:hanging="216"/>
        <w:spacing w:after="0" w:line="282"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40" w:hanging="216"/>
        <w:spacing w:after="0" w:line="282"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hanging="216"/>
        <w:spacing w:after="0" w:line="282" w:lineRule="auto"/>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TJ KENNEDY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DeAlmeida, certify that:</w:t>
      </w:r>
    </w:p>
    <w:p>
      <w:pPr>
        <w:spacing w:after="0" w:line="225"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6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right="20" w:hanging="216"/>
        <w:spacing w:after="0" w:line="282"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40" w:hanging="216"/>
        <w:spacing w:after="0" w:line="266"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40" w:hanging="216"/>
        <w:spacing w:after="0" w:line="282"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hanging="216"/>
        <w:spacing w:after="0" w:line="282" w:lineRule="auto"/>
        <w:tabs>
          <w:tab w:leader="none" w:pos="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that, to his or her knowledge, the Quarterly Report of the Company on Form 10-Q for the period ended June 30, 2022,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TJ KENNEDY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Roman"/>
      <w:start w:val="3"/>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2022-08-10T15:22:50Z</dcterms:created>
  <dcterms:modified xsi:type="dcterms:W3CDTF">2022-08-10T15:22:50Z</dcterms:modified>
</cp:coreProperties>
</file>