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C_edei--DocumentQuarterlyReport_c2"/>
      <w:bookmarkEnd w:id="3"/>
      <w:r>
        <w:rPr>
          <w:caps w:val="false"/>
          <w:smallCaps w:val="false"/>
        </w:rPr>
        <w:t xml:space="preserve">☒ </w:t>
      </w:r>
      <w:r>
        <w:rPr>
          <w:rFonts w:ascii="Times New Roman;Times;Serif" w:hAnsi="Times New Roman;Times;Serif"/>
          <w:b w:val="false"/>
          <w:i w:val="false"/>
          <w:caps w:val="false"/>
          <w:smallCaps w:val="false"/>
          <w:sz w:val="20"/>
        </w:rPr>
        <w:t>QUARTERLY REPORT 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7_edei--DocumentPeriodEndDate_c202"/>
      <w:bookmarkEnd w:id="4"/>
      <w:r>
        <w:rPr>
          <w:rFonts w:ascii="Times New Roman;Times;Serif" w:hAnsi="Times New Roman;Times;Serif"/>
          <w:b/>
          <w:i w:val="false"/>
          <w:caps w:val="false"/>
          <w:smallCaps w:val="false"/>
          <w:sz w:val="20"/>
        </w:rPr>
        <w:t xml:space="preserve">March 31, </w:t>
      </w:r>
      <w:bookmarkStart w:id="5" w:name="xdx_906_edei--DocumentFiscalYearFocus_c2"/>
      <w:bookmarkEnd w:id="5"/>
      <w:r>
        <w:rPr>
          <w:rFonts w:ascii="Times New Roman;Times;Serif" w:hAnsi="Times New Roman;Times;Serif"/>
          <w:b/>
          <w:i w:val="false"/>
          <w:caps w:val="false"/>
          <w:smallCaps w:val="false"/>
          <w:sz w:val="20"/>
        </w:rPr>
        <w:t>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xdx_90F_edei--DocumentTransitionReport_c"/>
      <w:bookmarkEnd w:id="6"/>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 to 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9_edei--EntityFileNumber_c20250101"/>
      <w:bookmarkEnd w:id="7"/>
      <w:r>
        <w:rPr>
          <w:rFonts w:ascii="Times New Roman;Times;Serif" w:hAnsi="Times New Roman;Times;Serif"/>
          <w:b w:val="false"/>
          <w:i w:val="false"/>
          <w:caps w:val="false"/>
          <w:smallCaps w:val="false"/>
          <w:sz w:val="20"/>
        </w:rPr>
        <w:t>000-55838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5255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52550" cy="3048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6_edei--EntityRegistrantName_c2025"/>
      <w:bookmarkEnd w:id="8"/>
      <w:r>
        <w:rPr>
          <w:rFonts w:ascii="Times New Roman;Times;Serif" w:hAnsi="Times New Roman;Times;Serif"/>
          <w:b/>
          <w:i w:val="false"/>
          <w:caps w:val="false"/>
          <w:smallCaps w:val="false"/>
          <w:sz w:val="36"/>
        </w:rPr>
        <w:t>Wrap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F_edei--EntityIncorporationStateCo"/>
            <w:bookmarkEnd w:id="9"/>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4_edei--EntityTaxIdentificationNum"/>
            <w:bookmarkEnd w:id="10"/>
            <w:r>
              <w:rPr>
                <w:rFonts w:ascii="Times New Roman;Times;Serif" w:hAnsi="Times New Roman;Times;Serif"/>
                <w:b w:val="false"/>
                <w:i w:val="false"/>
                <w:caps w:val="false"/>
                <w:smallCaps w:val="false"/>
                <w:sz w:val="20"/>
              </w:rPr>
              <w:t>98-0551945</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11" w:name="xdx_907_edei--EntityAddressAddressLine1_"/>
      <w:bookmarkEnd w:id="11"/>
      <w:r>
        <w:rPr>
          <w:rFonts w:ascii="Times New Roman;Times;Serif" w:hAnsi="Times New Roman;Times;Serif"/>
          <w:b w:val="false"/>
          <w:i w:val="false"/>
          <w:caps w:val="false"/>
          <w:smallCaps w:val="false"/>
          <w:sz w:val="20"/>
          <w:u w:val="single"/>
        </w:rPr>
        <w:t xml:space="preserve">3480 Main Hwy, </w:t>
      </w:r>
      <w:bookmarkStart w:id="12" w:name="xdx_90A_edei--EntityAddressAddressLine2_"/>
      <w:bookmarkEnd w:id="12"/>
      <w:r>
        <w:rPr>
          <w:rFonts w:ascii="Times New Roman;Times;Serif" w:hAnsi="Times New Roman;Times;Serif"/>
          <w:b w:val="false"/>
          <w:i w:val="false"/>
          <w:caps w:val="false"/>
          <w:smallCaps w:val="false"/>
          <w:sz w:val="20"/>
          <w:u w:val="single"/>
        </w:rPr>
        <w:t>Suite 202</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13" w:name="xdx_90A_edei--EntityAddressCityOrTown_c2"/>
      <w:bookmarkEnd w:id="13"/>
      <w:r>
        <w:rPr>
          <w:rFonts w:ascii="Times New Roman;Times;Serif" w:hAnsi="Times New Roman;Times;Serif"/>
          <w:b w:val="false"/>
          <w:i w:val="false"/>
          <w:caps w:val="false"/>
          <w:smallCaps w:val="false"/>
          <w:sz w:val="20"/>
          <w:u w:val="single"/>
        </w:rPr>
        <w:t xml:space="preserve">Miami, </w:t>
      </w:r>
      <w:bookmarkStart w:id="14" w:name="xdx_90F_edei--EntityAddressStateOrProvin"/>
      <w:bookmarkEnd w:id="14"/>
      <w:r>
        <w:rPr>
          <w:rFonts w:ascii="Times New Roman;Times;Serif" w:hAnsi="Times New Roman;Times;Serif"/>
          <w:b w:val="false"/>
          <w:i w:val="false"/>
          <w:caps w:val="false"/>
          <w:smallCaps w:val="false"/>
          <w:sz w:val="20"/>
          <w:u w:val="single"/>
        </w:rPr>
        <w:t xml:space="preserve">Florida </w:t>
      </w:r>
      <w:bookmarkStart w:id="15" w:name="xdx_90F_edei--EntityAddressPostalZipCode"/>
      <w:bookmarkEnd w:id="15"/>
      <w:r>
        <w:rPr>
          <w:rFonts w:ascii="Times New Roman;Times;Serif" w:hAnsi="Times New Roman;Times;Serif"/>
          <w:b w:val="false"/>
          <w:i w:val="false"/>
          <w:caps w:val="false"/>
          <w:smallCaps w:val="false"/>
          <w:sz w:val="20"/>
          <w:u w:val="single"/>
        </w:rPr>
        <w:t>33133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16" w:name="xdx_903_edei--CityAreaCode_c20250101__20"/>
      <w:bookmarkEnd w:id="16"/>
      <w:r>
        <w:rPr>
          <w:rFonts w:ascii="Times New Roman;Times;Serif" w:hAnsi="Times New Roman;Times;Serif"/>
          <w:b w:val="false"/>
          <w:i w:val="false"/>
          <w:caps w:val="false"/>
          <w:smallCaps w:val="false"/>
          <w:sz w:val="20"/>
          <w:u w:val="single"/>
        </w:rPr>
        <w:t xml:space="preserve">(800) </w:t>
      </w:r>
      <w:bookmarkStart w:id="17" w:name="xdx_901_edei--LocalPhoneNumber_c20250101"/>
      <w:bookmarkEnd w:id="17"/>
      <w:r>
        <w:rPr>
          <w:rFonts w:ascii="Times New Roman;Times;Serif" w:hAnsi="Times New Roman;Times;Serif"/>
          <w:b w:val="false"/>
          <w:i w:val="false"/>
          <w:caps w:val="false"/>
          <w:smallCaps w:val="false"/>
          <w:sz w:val="20"/>
          <w:u w:val="single"/>
        </w:rPr>
        <w:t>583-2652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 W 4th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Tempe, Arizona 85281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535"/>
        <w:gridCol w:w="60"/>
        <w:gridCol w:w="359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Security12bTitle_c20250101"/>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TradingSymbol_c20250101__2"/>
            <w:bookmarkEnd w:id="19"/>
            <w:r>
              <w:rPr>
                <w:rFonts w:ascii="Times New Roman;Times;Serif" w:hAnsi="Times New Roman;Times;Serif"/>
                <w:b w:val="false"/>
                <w:i w:val="false"/>
                <w:caps w:val="false"/>
                <w:smallCaps w:val="false"/>
                <w:sz w:val="20"/>
              </w:rPr>
              <w:t>WRAP</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SecurityExchangeName_c2025"/>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8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bookmarkStart w:id="22" w:name="xdx_902_edei--EntityInteractiveDataCurre"/>
      <w:bookmarkEnd w:id="22"/>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1925"/>
        <w:gridCol w:w="230"/>
        <w:gridCol w:w="2225"/>
        <w:gridCol w:w="245"/>
      </w:tblGrid>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9_edei--EntityFilerCategory_c2025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4" w:name="xdx_90F_edei--EntitySmallBusiness_c20250"/>
            <w:bookmarkEnd w:id="24"/>
            <w:r>
              <w:rPr>
                <w:caps w:val="false"/>
                <w:smallCaps w:val="false"/>
              </w:rPr>
              <w:t>☒</w:t>
            </w:r>
          </w:p>
        </w:tc>
      </w:tr>
      <w:tr>
        <w:trPr/>
        <w:tc>
          <w:tcPr>
            <w:tcW w:w="21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5" w:name="xdx_904_edei--EntityEmergingGrowthCompan"/>
            <w:bookmarkEnd w:id="25"/>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6" w:name="xdx_90B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14, 2025, a total of </w:t>
      </w:r>
      <w:bookmarkStart w:id="27" w:name="xdx_90D_edei--EntityCommonStockSharesOut"/>
      <w:bookmarkEnd w:id="27"/>
      <w:r>
        <w:rPr>
          <w:rFonts w:ascii="Times New Roman;Times;Serif" w:hAnsi="Times New Roman;Times;Serif"/>
          <w:b w:val="false"/>
          <w:i w:val="false"/>
          <w:caps w:val="false"/>
          <w:smallCaps w:val="false"/>
          <w:sz w:val="20"/>
        </w:rPr>
        <w:t>50,577,168 shares of the Registrant’s common stock, par value $</w:t>
      </w:r>
      <w:bookmarkStart w:id="28" w:name="xdx_90F_edei--EntityListingParValuePerSh"/>
      <w:bookmarkEnd w:id="28"/>
      <w:r>
        <w:rPr>
          <w:rFonts w:ascii="Times New Roman;Times;Serif" w:hAnsi="Times New Roman;Times;Serif"/>
          <w:b w:val="false"/>
          <w:i w:val="false"/>
          <w:caps w:val="false"/>
          <w:smallCaps w:val="false"/>
          <w:sz w:val="20"/>
        </w:rPr>
        <w:t>0.0001 per share (“</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6"/>
        <w:gridCol w:w="9133"/>
        <w:gridCol w:w="426"/>
      </w:tblGrid>
      <w:tr>
        <w:trPr/>
        <w:tc>
          <w:tcPr>
            <w:tcW w:w="97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7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779"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PART I. FINANCIAL INFORMATION</w:t>
              </w:r>
            </w:hyperlink>
          </w:p>
        </w:tc>
        <w:tc>
          <w:tcPr>
            <w:tcW w:w="4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33"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w:t>
              </w:r>
            </w:hyperlink>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3"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 as of March 31, 2025 (unaudited) and December 31, 2024 (audited)</w:t>
              </w:r>
            </w:hyperlink>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3"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Operations and Comprehensive Loss for the three months ended March 31, 2025 and 2024 (unaudited)</w:t>
              </w:r>
            </w:hyperlink>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3"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Stockholders’ Equity for the three months ended March 31, 2025 and 2024 (unaudited)</w:t>
              </w:r>
            </w:hyperlink>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3"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Condensed Consolidated Statements of Cash Flows for the three months ended March 31, 2025 and 2024 (unaudited)</w:t>
              </w:r>
            </w:hyperlink>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3"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Notes to Condensed Consolidated Interim Financial Statements (unaudited)</w:t>
              </w:r>
            </w:hyperlink>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133"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133"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33"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Controls and Procedures</w:t>
              </w:r>
            </w:hyperlink>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779" w:type="dxa"/>
            <w:gridSpan w:val="2"/>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PART II. OTHER INFORMATION</w:t>
              </w:r>
            </w:hyperlink>
          </w:p>
        </w:tc>
        <w:tc>
          <w:tcPr>
            <w:tcW w:w="4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33"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Proceedings</w:t>
              </w:r>
            </w:hyperlink>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133"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Risk Factors</w:t>
              </w:r>
            </w:hyperlink>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133"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133"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Defaults Upon Senior Securities</w:t>
              </w:r>
            </w:hyperlink>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33"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Mine Safety Disclosures</w:t>
              </w:r>
            </w:hyperlink>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133"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Other Information</w:t>
              </w:r>
            </w:hyperlink>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133"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Exhibits</w:t>
              </w:r>
            </w:hyperlink>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779" w:type="dxa"/>
            <w:gridSpan w:val="2"/>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SIGNATURES</w:t>
              </w:r>
            </w:hyperlink>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01"/>
      <w:bookmarkEnd w:id="29"/>
      <w:r>
        <w:rPr>
          <w:rFonts w:ascii="Times New Roman;Times;Serif" w:hAnsi="Times New Roman;Times;Serif"/>
          <w:b/>
          <w:i w:val="false"/>
          <w:caps w:val="false"/>
          <w:smallCaps w:val="false"/>
          <w:sz w:val="20"/>
        </w:rPr>
        <w:t>PART I.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02"/>
      <w:bookmarkEnd w:id="30"/>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03"/>
      <w:bookmarkEnd w:id="31"/>
      <w:r>
        <w:rPr>
          <w:rFonts w:ascii="Times New Roman;Times;Serif" w:hAnsi="Times New Roman;Times;Serif"/>
          <w:b/>
          <w:i w:val="false"/>
          <w:caps w:val="false"/>
          <w:smallCaps w:val="false"/>
          <w:sz w:val="20"/>
        </w:rPr>
        <w:t>Wrap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par value and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D_111_pn3n3_zFOZ4JgFq1Cj"/>
      <w:bookmarkStart w:id="33" w:name="xdx_30D_111_pn3n3_zFOZ4JgFq1Cj"/>
      <w:bookmarkEnd w:id="33"/>
    </w:p>
    <w:tbl>
      <w:tblPr>
        <w:tblW w:w="10205" w:type="dxa"/>
        <w:jc w:val="left"/>
        <w:tblInd w:w="0" w:type="dxa"/>
        <w:tblLayout w:type="fixed"/>
        <w:tblCellMar>
          <w:top w:w="0" w:type="dxa"/>
          <w:left w:w="0" w:type="dxa"/>
          <w:bottom w:w="0" w:type="dxa"/>
          <w:right w:w="0" w:type="dxa"/>
        </w:tblCellMar>
      </w:tblPr>
      <w:tblGrid>
        <w:gridCol w:w="7515"/>
        <w:gridCol w:w="60"/>
        <w:gridCol w:w="155"/>
        <w:gridCol w:w="976"/>
        <w:gridCol w:w="95"/>
        <w:gridCol w:w="60"/>
        <w:gridCol w:w="169"/>
        <w:gridCol w:w="1061"/>
        <w:gridCol w:w="114"/>
      </w:tblGrid>
      <w:tr>
        <w:trPr/>
        <w:tc>
          <w:tcPr>
            <w:tcW w:w="7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3_20250331_zukyZs7l6zI7"/>
            <w:bookmarkEnd w:id="34"/>
          </w:p>
        </w:tc>
        <w:tc>
          <w:tcPr>
            <w:tcW w:w="1131"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4_20241231_zKIXO98ia10j"/>
            <w:bookmarkEnd w:id="35"/>
          </w:p>
        </w:tc>
        <w:tc>
          <w:tcPr>
            <w:tcW w:w="123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7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114" w:type="dxa"/>
            <w:tcBorders/>
            <w:vAlign w:val="center"/>
          </w:tcPr>
          <w:p>
            <w:pPr>
              <w:pStyle w:val="TableContents"/>
              <w:bidi w:val="0"/>
              <w:spacing w:before="0" w:after="283"/>
              <w:jc w:val="left"/>
              <w:rPr/>
            </w:pPr>
            <w:r>
              <w:rPr/>
              <w:t> </w:t>
            </w:r>
            <w:bookmarkStart w:id="36" w:name="xdx_403_eus-gaap--AssetsAbstract_iB_zcbN"/>
            <w:bookmarkEnd w:id="36"/>
          </w:p>
        </w:tc>
      </w:tr>
      <w:tr>
        <w:trPr/>
        <w:tc>
          <w:tcPr>
            <w:tcW w:w="751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37" w:name="xdx_405_eus-gaap--AssetsCurrentAbstract_"/>
            <w:bookmarkEnd w:id="37"/>
          </w:p>
        </w:tc>
      </w:tr>
      <w:tr>
        <w:trPr/>
        <w:tc>
          <w:tcPr>
            <w:tcW w:w="751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38" w:name="xdx_40B_eus-gaap--CashAndCashEquivalents"/>
            <w:bookmarkEnd w:id="38"/>
          </w:p>
        </w:tc>
      </w:tr>
      <w:tr>
        <w:trPr/>
        <w:tc>
          <w:tcPr>
            <w:tcW w:w="75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6,170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3,610</w:t>
            </w:r>
          </w:p>
        </w:tc>
        <w:tc>
          <w:tcPr>
            <w:tcW w:w="114" w:type="dxa"/>
            <w:tcBorders/>
            <w:shd w:fill="CCEEFF" w:val="clear"/>
            <w:vAlign w:val="center"/>
          </w:tcPr>
          <w:p>
            <w:pPr>
              <w:pStyle w:val="TableContents"/>
              <w:bidi w:val="0"/>
              <w:spacing w:before="0" w:after="283"/>
              <w:jc w:val="left"/>
              <w:rPr/>
            </w:pPr>
            <w:r>
              <w:rPr/>
              <w:t> </w:t>
            </w:r>
            <w:bookmarkStart w:id="39" w:name="xdx_403_eus-gaap--AccountsReceivableNetC"/>
            <w:bookmarkEnd w:id="39"/>
          </w:p>
        </w:tc>
      </w:tr>
      <w:tr>
        <w:trPr/>
        <w:tc>
          <w:tcPr>
            <w:tcW w:w="7515" w:type="dxa"/>
            <w:tcBorders/>
            <w:shd w:fill="FFFFFF" w:val="clear"/>
            <w:vAlign w:val="center"/>
          </w:tcPr>
          <w:p>
            <w:pPr>
              <w:pStyle w:val="TableContents"/>
              <w:bidi w:val="0"/>
              <w:spacing w:before="0" w:after="283"/>
              <w:jc w:val="left"/>
              <w:rPr/>
            </w:pPr>
            <w:r>
              <w:rPr/>
              <w:t>Accounts receivable and contract assets,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513</w:t>
            </w:r>
          </w:p>
        </w:tc>
        <w:tc>
          <w:tcPr>
            <w:tcW w:w="114" w:type="dxa"/>
            <w:tcBorders/>
            <w:shd w:fill="FFFFFF" w:val="clear"/>
            <w:vAlign w:val="center"/>
          </w:tcPr>
          <w:p>
            <w:pPr>
              <w:pStyle w:val="TableContents"/>
              <w:bidi w:val="0"/>
              <w:spacing w:before="0" w:after="283"/>
              <w:jc w:val="left"/>
              <w:rPr/>
            </w:pPr>
            <w:r>
              <w:rPr/>
              <w:t> </w:t>
            </w:r>
            <w:bookmarkStart w:id="40" w:name="xdx_407_eus-gaap--InventoryNet_i02I_maCz"/>
            <w:bookmarkEnd w:id="40"/>
          </w:p>
        </w:tc>
      </w:tr>
      <w:tr>
        <w:trPr/>
        <w:tc>
          <w:tcPr>
            <w:tcW w:w="7515" w:type="dxa"/>
            <w:tcBorders/>
            <w:shd w:fill="CCEEFF" w:val="clear"/>
            <w:vAlign w:val="center"/>
          </w:tcPr>
          <w:p>
            <w:pPr>
              <w:pStyle w:val="TableContents"/>
              <w:bidi w:val="0"/>
              <w:spacing w:before="0" w:after="283"/>
              <w:jc w:val="left"/>
              <w:rPr/>
            </w:pPr>
            <w:r>
              <w:rPr/>
              <w:t>Inventories,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6,081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6,170</w:t>
            </w:r>
          </w:p>
        </w:tc>
        <w:tc>
          <w:tcPr>
            <w:tcW w:w="114" w:type="dxa"/>
            <w:tcBorders/>
            <w:shd w:fill="CCEEFF" w:val="clear"/>
            <w:vAlign w:val="center"/>
          </w:tcPr>
          <w:p>
            <w:pPr>
              <w:pStyle w:val="TableContents"/>
              <w:bidi w:val="0"/>
              <w:spacing w:before="0" w:after="283"/>
              <w:jc w:val="left"/>
              <w:rPr/>
            </w:pPr>
            <w:r>
              <w:rPr/>
              <w:t> </w:t>
            </w:r>
            <w:bookmarkStart w:id="41" w:name="xdx_404_eus-gaap--PrepaidExpenseAndOther"/>
            <w:bookmarkEnd w:id="41"/>
          </w:p>
        </w:tc>
      </w:tr>
      <w:tr>
        <w:trPr/>
        <w:tc>
          <w:tcPr>
            <w:tcW w:w="7515" w:type="dxa"/>
            <w:tcBorders/>
            <w:shd w:fill="FFFFFF" w:val="clear"/>
            <w:vAlign w:val="center"/>
          </w:tcPr>
          <w:p>
            <w:pPr>
              <w:pStyle w:val="TableContents"/>
              <w:bidi w:val="0"/>
              <w:spacing w:before="0" w:after="283"/>
              <w:jc w:val="left"/>
              <w:rPr/>
            </w:pPr>
            <w:r>
              <w:rPr/>
              <w:t>Prepaid expense and other current assets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pPr>
            <w:r>
              <w:rPr/>
              <w:t>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pPr>
            <w:r>
              <w:rPr/>
              <w:t>178</w:t>
            </w:r>
          </w:p>
        </w:tc>
        <w:tc>
          <w:tcPr>
            <w:tcW w:w="114" w:type="dxa"/>
            <w:tcBorders/>
            <w:shd w:fill="FFFFFF" w:val="clear"/>
            <w:vAlign w:val="center"/>
          </w:tcPr>
          <w:p>
            <w:pPr>
              <w:pStyle w:val="TableContents"/>
              <w:bidi w:val="0"/>
              <w:spacing w:before="0" w:after="283"/>
              <w:jc w:val="left"/>
              <w:rPr/>
            </w:pPr>
            <w:r>
              <w:rPr/>
              <w:t> </w:t>
            </w:r>
            <w:bookmarkStart w:id="42" w:name="xdx_40A_eus-gaap--AssetsCurrent_i01TI_mt"/>
            <w:bookmarkEnd w:id="42"/>
          </w:p>
        </w:tc>
      </w:tr>
      <w:tr>
        <w:trPr/>
        <w:tc>
          <w:tcPr>
            <w:tcW w:w="751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13,493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10,471</w:t>
            </w:r>
          </w:p>
        </w:tc>
        <w:tc>
          <w:tcPr>
            <w:tcW w:w="114" w:type="dxa"/>
            <w:tcBorders/>
            <w:shd w:fill="CCEEFF" w:val="clear"/>
            <w:vAlign w:val="center"/>
          </w:tcPr>
          <w:p>
            <w:pPr>
              <w:pStyle w:val="TableContents"/>
              <w:bidi w:val="0"/>
              <w:spacing w:before="0" w:after="283"/>
              <w:jc w:val="left"/>
              <w:rPr/>
            </w:pPr>
            <w:r>
              <w:rPr/>
              <w:t> </w:t>
            </w:r>
            <w:bookmarkStart w:id="43" w:name="xdx_40E_eus-gaap--PropertyPlantAndEquipm"/>
            <w:bookmarkEnd w:id="43"/>
          </w:p>
        </w:tc>
      </w:tr>
      <w:tr>
        <w:trPr/>
        <w:tc>
          <w:tcPr>
            <w:tcW w:w="7515"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146</w:t>
            </w:r>
          </w:p>
        </w:tc>
        <w:tc>
          <w:tcPr>
            <w:tcW w:w="114" w:type="dxa"/>
            <w:tcBorders/>
            <w:shd w:fill="FFFFFF" w:val="clear"/>
            <w:vAlign w:val="center"/>
          </w:tcPr>
          <w:p>
            <w:pPr>
              <w:pStyle w:val="TableContents"/>
              <w:bidi w:val="0"/>
              <w:spacing w:before="0" w:after="283"/>
              <w:jc w:val="left"/>
              <w:rPr/>
            </w:pPr>
            <w:r>
              <w:rPr/>
              <w:t> </w:t>
            </w:r>
            <w:bookmarkStart w:id="44" w:name="xdx_409_eus-gaap--OperatingLeaseRightOfU"/>
            <w:bookmarkEnd w:id="44"/>
          </w:p>
        </w:tc>
      </w:tr>
      <w:tr>
        <w:trPr/>
        <w:tc>
          <w:tcPr>
            <w:tcW w:w="7515" w:type="dxa"/>
            <w:tcBorders/>
            <w:shd w:fill="CCEEFF" w:val="clear"/>
            <w:vAlign w:val="center"/>
          </w:tcPr>
          <w:p>
            <w:pPr>
              <w:pStyle w:val="TableContents"/>
              <w:bidi w:val="0"/>
              <w:spacing w:before="0" w:after="283"/>
              <w:jc w:val="left"/>
              <w:rPr>
                <w:b/>
              </w:rPr>
            </w:pPr>
            <w:r>
              <w:rPr>
                <w:b/>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1,890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1,964</w:t>
            </w:r>
          </w:p>
        </w:tc>
        <w:tc>
          <w:tcPr>
            <w:tcW w:w="114" w:type="dxa"/>
            <w:tcBorders/>
            <w:shd w:fill="CCEEFF" w:val="clear"/>
            <w:vAlign w:val="center"/>
          </w:tcPr>
          <w:p>
            <w:pPr>
              <w:pStyle w:val="TableContents"/>
              <w:bidi w:val="0"/>
              <w:spacing w:before="0" w:after="283"/>
              <w:jc w:val="left"/>
              <w:rPr/>
            </w:pPr>
            <w:r>
              <w:rPr/>
              <w:t> </w:t>
            </w:r>
            <w:bookmarkStart w:id="45" w:name="xdx_408_eus-gaap--IntangibleAssetsNetExc"/>
            <w:bookmarkEnd w:id="45"/>
          </w:p>
        </w:tc>
      </w:tr>
      <w:tr>
        <w:trPr/>
        <w:tc>
          <w:tcPr>
            <w:tcW w:w="7515" w:type="dxa"/>
            <w:tcBorders/>
            <w:shd w:fill="FFFFFF" w:val="clear"/>
            <w:vAlign w:val="center"/>
          </w:tcPr>
          <w:p>
            <w:pPr>
              <w:pStyle w:val="TableContents"/>
              <w:bidi w:val="0"/>
              <w:spacing w:before="0" w:after="283"/>
              <w:jc w:val="left"/>
              <w:rPr>
                <w:b/>
              </w:rPr>
            </w:pPr>
            <w:r>
              <w:rPr>
                <w:b/>
              </w:rPr>
              <w:t>Intangible assets,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2,338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2,354</w:t>
            </w:r>
          </w:p>
        </w:tc>
        <w:tc>
          <w:tcPr>
            <w:tcW w:w="114" w:type="dxa"/>
            <w:tcBorders/>
            <w:shd w:fill="FFFFFF" w:val="clear"/>
            <w:vAlign w:val="center"/>
          </w:tcPr>
          <w:p>
            <w:pPr>
              <w:pStyle w:val="TableContents"/>
              <w:bidi w:val="0"/>
              <w:spacing w:before="0" w:after="283"/>
              <w:jc w:val="left"/>
              <w:rPr/>
            </w:pPr>
            <w:r>
              <w:rPr/>
              <w:t> </w:t>
            </w:r>
            <w:bookmarkStart w:id="46" w:name="xdx_40F_eus-gaap--OtherAssetsNoncurrent_"/>
            <w:bookmarkEnd w:id="46"/>
          </w:p>
        </w:tc>
      </w:tr>
      <w:tr>
        <w:trPr/>
        <w:tc>
          <w:tcPr>
            <w:tcW w:w="7515" w:type="dxa"/>
            <w:tcBorders/>
            <w:shd w:fill="CCEEFF" w:val="clear"/>
            <w:vAlign w:val="center"/>
          </w:tcPr>
          <w:p>
            <w:pPr>
              <w:pStyle w:val="TableContents"/>
              <w:bidi w:val="0"/>
              <w:spacing w:before="0" w:after="283"/>
              <w:jc w:val="left"/>
              <w:rPr>
                <w:b/>
              </w:rPr>
            </w:pPr>
            <w:r>
              <w:rPr>
                <w:b/>
              </w:rPr>
              <w:t>Other assets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pPr>
            <w:r>
              <w:rPr/>
              <w:t>143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CCEEFF" w:val="clear"/>
            <w:tcMar>
              <w:bottom w:w="28" w:type="dxa"/>
            </w:tcMar>
            <w:vAlign w:val="center"/>
          </w:tcPr>
          <w:p>
            <w:pPr>
              <w:pStyle w:val="TableContents"/>
              <w:bidi w:val="0"/>
              <w:spacing w:before="0" w:after="283"/>
              <w:jc w:val="right"/>
              <w:rPr/>
            </w:pPr>
            <w:r>
              <w:rPr/>
              <w:t>186</w:t>
            </w:r>
          </w:p>
        </w:tc>
        <w:tc>
          <w:tcPr>
            <w:tcW w:w="114" w:type="dxa"/>
            <w:tcBorders/>
            <w:shd w:fill="CCEEFF" w:val="clear"/>
            <w:vAlign w:val="center"/>
          </w:tcPr>
          <w:p>
            <w:pPr>
              <w:pStyle w:val="TableContents"/>
              <w:bidi w:val="0"/>
              <w:spacing w:before="0" w:after="283"/>
              <w:jc w:val="left"/>
              <w:rPr/>
            </w:pPr>
            <w:r>
              <w:rPr/>
              <w:t> </w:t>
            </w:r>
            <w:bookmarkStart w:id="47" w:name="xdx_408_eus-gaap--Assets_i01TI_mtCzmfg_z"/>
            <w:bookmarkEnd w:id="47"/>
          </w:p>
        </w:tc>
      </w:tr>
      <w:tr>
        <w:trPr/>
        <w:tc>
          <w:tcPr>
            <w:tcW w:w="75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pPr>
            <w:r>
              <w:rPr/>
              <w:t>17,972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1" w:type="dxa"/>
            <w:tcBorders>
              <w:bottom w:val="double" w:sz="6" w:space="0" w:color="000000"/>
            </w:tcBorders>
            <w:shd w:fill="FFFFFF" w:val="clear"/>
            <w:tcMar>
              <w:bottom w:w="28" w:type="dxa"/>
            </w:tcMar>
            <w:vAlign w:val="center"/>
          </w:tcPr>
          <w:p>
            <w:pPr>
              <w:pStyle w:val="TableContents"/>
              <w:bidi w:val="0"/>
              <w:spacing w:before="0" w:after="283"/>
              <w:jc w:val="right"/>
              <w:rPr/>
            </w:pPr>
            <w:r>
              <w:rPr/>
              <w:t>15,121</w:t>
            </w:r>
          </w:p>
        </w:tc>
        <w:tc>
          <w:tcPr>
            <w:tcW w:w="114" w:type="dxa"/>
            <w:tcBorders/>
            <w:shd w:fill="FFFFFF" w:val="clear"/>
            <w:vAlign w:val="center"/>
          </w:tcPr>
          <w:p>
            <w:pPr>
              <w:pStyle w:val="TableContents"/>
              <w:bidi w:val="0"/>
              <w:spacing w:before="0" w:after="283"/>
              <w:jc w:val="left"/>
              <w:rPr/>
            </w:pPr>
            <w:r>
              <w:rPr/>
              <w:t> </w:t>
            </w:r>
          </w:p>
        </w:tc>
      </w:tr>
      <w:tr>
        <w:trPr/>
        <w:tc>
          <w:tcPr>
            <w:tcW w:w="7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48" w:name="xdx_40E_eus-gaap--LiabilitiesAndStockhol"/>
            <w:bookmarkEnd w:id="48"/>
          </w:p>
        </w:tc>
      </w:tr>
      <w:tr>
        <w:trPr/>
        <w:tc>
          <w:tcPr>
            <w:tcW w:w="751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49" w:name="xdx_408_eus-gaap--LiabilitiesCurrentAbst"/>
            <w:bookmarkEnd w:id="49"/>
          </w:p>
        </w:tc>
      </w:tr>
      <w:tr>
        <w:trPr/>
        <w:tc>
          <w:tcPr>
            <w:tcW w:w="751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50" w:name="xdx_401_eus-gaap--AccountsPayableCurrent"/>
            <w:bookmarkEnd w:id="50"/>
          </w:p>
        </w:tc>
      </w:tr>
      <w:tr>
        <w:trPr/>
        <w:tc>
          <w:tcPr>
            <w:tcW w:w="751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976" w:type="dxa"/>
            <w:tcBorders/>
            <w:shd w:fill="FFFFFF" w:val="clear"/>
            <w:vAlign w:val="center"/>
          </w:tcPr>
          <w:p>
            <w:pPr>
              <w:pStyle w:val="TableContents"/>
              <w:bidi w:val="0"/>
              <w:spacing w:before="0" w:after="283"/>
              <w:jc w:val="right"/>
              <w:rPr/>
            </w:pPr>
            <w:r>
              <w:rPr/>
              <w:t>494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1061" w:type="dxa"/>
            <w:tcBorders/>
            <w:shd w:fill="FFFFFF" w:val="clear"/>
            <w:vAlign w:val="center"/>
          </w:tcPr>
          <w:p>
            <w:pPr>
              <w:pStyle w:val="TableContents"/>
              <w:bidi w:val="0"/>
              <w:spacing w:before="0" w:after="283"/>
              <w:jc w:val="right"/>
              <w:rPr/>
            </w:pPr>
            <w:r>
              <w:rPr/>
              <w:t>609</w:t>
            </w:r>
          </w:p>
        </w:tc>
        <w:tc>
          <w:tcPr>
            <w:tcW w:w="114" w:type="dxa"/>
            <w:tcBorders/>
            <w:shd w:fill="FFFFFF" w:val="clear"/>
            <w:vAlign w:val="center"/>
          </w:tcPr>
          <w:p>
            <w:pPr>
              <w:pStyle w:val="TableContents"/>
              <w:bidi w:val="0"/>
              <w:spacing w:before="0" w:after="283"/>
              <w:jc w:val="left"/>
              <w:rPr/>
            </w:pPr>
            <w:r>
              <w:rPr/>
              <w:t> </w:t>
            </w:r>
            <w:bookmarkStart w:id="51" w:name="xdx_403_eus-gaap--AccruedLiabilitiesCurr"/>
            <w:bookmarkEnd w:id="51"/>
          </w:p>
        </w:tc>
      </w:tr>
      <w:tr>
        <w:trPr/>
        <w:tc>
          <w:tcPr>
            <w:tcW w:w="7515"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1,125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1,403</w:t>
            </w:r>
          </w:p>
        </w:tc>
        <w:tc>
          <w:tcPr>
            <w:tcW w:w="114" w:type="dxa"/>
            <w:tcBorders/>
            <w:shd w:fill="CCEEFF" w:val="clear"/>
            <w:vAlign w:val="center"/>
          </w:tcPr>
          <w:p>
            <w:pPr>
              <w:pStyle w:val="TableContents"/>
              <w:bidi w:val="0"/>
              <w:spacing w:before="0" w:after="283"/>
              <w:jc w:val="left"/>
              <w:rPr/>
            </w:pPr>
            <w:r>
              <w:rPr/>
              <w:t> </w:t>
            </w:r>
            <w:bookmarkStart w:id="52" w:name="xdx_40C_ecustom--CurrentLiabilitiesCusto"/>
            <w:bookmarkEnd w:id="52"/>
          </w:p>
        </w:tc>
      </w:tr>
      <w:tr>
        <w:trPr/>
        <w:tc>
          <w:tcPr>
            <w:tcW w:w="7515"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27</w:t>
            </w:r>
          </w:p>
        </w:tc>
        <w:tc>
          <w:tcPr>
            <w:tcW w:w="114" w:type="dxa"/>
            <w:tcBorders/>
            <w:shd w:fill="FFFFFF" w:val="clear"/>
            <w:vAlign w:val="center"/>
          </w:tcPr>
          <w:p>
            <w:pPr>
              <w:pStyle w:val="TableContents"/>
              <w:bidi w:val="0"/>
              <w:spacing w:before="0" w:after="283"/>
              <w:jc w:val="left"/>
              <w:rPr/>
            </w:pPr>
            <w:r>
              <w:rPr/>
              <w:t> </w:t>
            </w:r>
            <w:bookmarkStart w:id="53" w:name="xdx_401_eus-gaap--ContractWithCustomerLi"/>
            <w:bookmarkEnd w:id="53"/>
          </w:p>
        </w:tc>
      </w:tr>
      <w:tr>
        <w:trPr/>
        <w:tc>
          <w:tcPr>
            <w:tcW w:w="7515" w:type="dxa"/>
            <w:tcBorders/>
            <w:shd w:fill="CCEEFF" w:val="clear"/>
            <w:vAlign w:val="center"/>
          </w:tcPr>
          <w:p>
            <w:pPr>
              <w:pStyle w:val="TableContents"/>
              <w:bidi w:val="0"/>
              <w:spacing w:before="0" w:after="283"/>
              <w:jc w:val="left"/>
              <w:rPr/>
            </w:pPr>
            <w:r>
              <w:rPr/>
              <w:t>Deferred revenue - short term</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466</w:t>
            </w:r>
          </w:p>
        </w:tc>
        <w:tc>
          <w:tcPr>
            <w:tcW w:w="114" w:type="dxa"/>
            <w:tcBorders/>
            <w:shd w:fill="CCEEFF" w:val="clear"/>
            <w:vAlign w:val="center"/>
          </w:tcPr>
          <w:p>
            <w:pPr>
              <w:pStyle w:val="TableContents"/>
              <w:bidi w:val="0"/>
              <w:spacing w:before="0" w:after="283"/>
              <w:jc w:val="left"/>
              <w:rPr/>
            </w:pPr>
            <w:r>
              <w:rPr/>
              <w:t> </w:t>
            </w:r>
            <w:bookmarkStart w:id="54" w:name="xdx_406_eus-gaap--OperatingLeaseLiabilit"/>
            <w:bookmarkEnd w:id="54"/>
          </w:p>
        </w:tc>
      </w:tr>
      <w:tr>
        <w:trPr/>
        <w:tc>
          <w:tcPr>
            <w:tcW w:w="7515" w:type="dxa"/>
            <w:tcBorders/>
            <w:shd w:fill="FFFFFF" w:val="clear"/>
            <w:vAlign w:val="center"/>
          </w:tcPr>
          <w:p>
            <w:pPr>
              <w:pStyle w:val="TableContents"/>
              <w:bidi w:val="0"/>
              <w:spacing w:before="0" w:after="283"/>
              <w:jc w:val="left"/>
              <w:rPr/>
            </w:pPr>
            <w:r>
              <w:rPr/>
              <w:t>Operating lease liability - short term</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567</w:t>
            </w:r>
          </w:p>
        </w:tc>
        <w:tc>
          <w:tcPr>
            <w:tcW w:w="114" w:type="dxa"/>
            <w:tcBorders/>
            <w:shd w:fill="FFFFFF" w:val="clear"/>
            <w:vAlign w:val="center"/>
          </w:tcPr>
          <w:p>
            <w:pPr>
              <w:pStyle w:val="TableContents"/>
              <w:bidi w:val="0"/>
              <w:spacing w:before="0" w:after="283"/>
              <w:jc w:val="left"/>
              <w:rPr/>
            </w:pPr>
            <w:r>
              <w:rPr/>
              <w:t> </w:t>
            </w:r>
            <w:bookmarkStart w:id="55" w:name="xdx_400_eus-gaap--WarrantsAndRightsOutst"/>
            <w:bookmarkEnd w:id="55"/>
          </w:p>
        </w:tc>
      </w:tr>
      <w:tr>
        <w:trPr/>
        <w:tc>
          <w:tcPr>
            <w:tcW w:w="751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pPr>
            <w:r>
              <w:rPr/>
              <w:t>11,287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CCEEFF" w:val="clear"/>
            <w:tcMar>
              <w:bottom w:w="28" w:type="dxa"/>
            </w:tcMar>
            <w:vAlign w:val="center"/>
          </w:tcPr>
          <w:p>
            <w:pPr>
              <w:pStyle w:val="TableContents"/>
              <w:bidi w:val="0"/>
              <w:spacing w:before="0" w:after="283"/>
              <w:jc w:val="right"/>
              <w:rPr/>
            </w:pPr>
            <w:r>
              <w:rPr/>
              <w:t>10,131</w:t>
            </w:r>
          </w:p>
        </w:tc>
        <w:tc>
          <w:tcPr>
            <w:tcW w:w="114" w:type="dxa"/>
            <w:tcBorders/>
            <w:shd w:fill="CCEEFF" w:val="clear"/>
            <w:vAlign w:val="center"/>
          </w:tcPr>
          <w:p>
            <w:pPr>
              <w:pStyle w:val="TableContents"/>
              <w:bidi w:val="0"/>
              <w:spacing w:before="0" w:after="283"/>
              <w:jc w:val="left"/>
              <w:rPr/>
            </w:pPr>
            <w:r>
              <w:rPr/>
              <w:t> </w:t>
            </w:r>
            <w:bookmarkStart w:id="56" w:name="xdx_40C_eus-gaap--LiabilitiesCurrent_i01"/>
            <w:bookmarkEnd w:id="56"/>
          </w:p>
        </w:tc>
      </w:tr>
      <w:tr>
        <w:trPr/>
        <w:tc>
          <w:tcPr>
            <w:tcW w:w="751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pPr>
            <w:r>
              <w:rPr/>
              <w:t>13,825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pPr>
            <w:r>
              <w:rPr/>
              <w:t>13,203</w:t>
            </w:r>
          </w:p>
        </w:tc>
        <w:tc>
          <w:tcPr>
            <w:tcW w:w="114" w:type="dxa"/>
            <w:tcBorders/>
            <w:shd w:fill="FFFFFF" w:val="clear"/>
            <w:vAlign w:val="center"/>
          </w:tcPr>
          <w:p>
            <w:pPr>
              <w:pStyle w:val="TableContents"/>
              <w:bidi w:val="0"/>
              <w:spacing w:before="0" w:after="283"/>
              <w:jc w:val="left"/>
              <w:rPr/>
            </w:pPr>
            <w:r>
              <w:rPr/>
              <w:t> </w:t>
            </w:r>
          </w:p>
        </w:tc>
      </w:tr>
      <w:tr>
        <w:trPr/>
        <w:tc>
          <w:tcPr>
            <w:tcW w:w="7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57" w:name="xdx_402_eus-gaap--LiabilitiesNoncurrentA"/>
            <w:bookmarkEnd w:id="57"/>
          </w:p>
        </w:tc>
      </w:tr>
      <w:tr>
        <w:trPr/>
        <w:tc>
          <w:tcPr>
            <w:tcW w:w="7515" w:type="dxa"/>
            <w:tcBorders/>
            <w:shd w:fill="FFFFFF" w:val="clear"/>
            <w:vAlign w:val="center"/>
          </w:tcPr>
          <w:p>
            <w:pPr>
              <w:pStyle w:val="TableContents"/>
              <w:bidi w:val="0"/>
              <w:spacing w:before="0" w:after="283"/>
              <w:jc w:val="left"/>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58" w:name="xdx_406_eus-gaap--ContractWithCustomerLi"/>
            <w:bookmarkEnd w:id="58"/>
          </w:p>
        </w:tc>
      </w:tr>
      <w:tr>
        <w:trPr/>
        <w:tc>
          <w:tcPr>
            <w:tcW w:w="7515" w:type="dxa"/>
            <w:tcBorders/>
            <w:shd w:fill="CCEEFF" w:val="clear"/>
            <w:vAlign w:val="center"/>
          </w:tcPr>
          <w:p>
            <w:pPr>
              <w:pStyle w:val="TableContents"/>
              <w:bidi w:val="0"/>
              <w:spacing w:before="0" w:after="283"/>
              <w:jc w:val="left"/>
              <w:rPr/>
            </w:pPr>
            <w:r>
              <w:rPr/>
              <w:t>Deferred revenue - long term</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39</w:t>
            </w:r>
          </w:p>
        </w:tc>
        <w:tc>
          <w:tcPr>
            <w:tcW w:w="114" w:type="dxa"/>
            <w:tcBorders/>
            <w:shd w:fill="CCEEFF" w:val="clear"/>
            <w:vAlign w:val="center"/>
          </w:tcPr>
          <w:p>
            <w:pPr>
              <w:pStyle w:val="TableContents"/>
              <w:bidi w:val="0"/>
              <w:spacing w:before="0" w:after="283"/>
              <w:jc w:val="left"/>
              <w:rPr/>
            </w:pPr>
            <w:r>
              <w:rPr/>
              <w:t> </w:t>
            </w:r>
            <w:bookmarkStart w:id="59" w:name="xdx_407_eus-gaap--OperatingLeaseLiabilit"/>
            <w:bookmarkEnd w:id="59"/>
          </w:p>
        </w:tc>
      </w:tr>
      <w:tr>
        <w:trPr/>
        <w:tc>
          <w:tcPr>
            <w:tcW w:w="7515" w:type="dxa"/>
            <w:tcBorders/>
            <w:shd w:fill="FFFFFF" w:val="clear"/>
            <w:vAlign w:val="center"/>
          </w:tcPr>
          <w:p>
            <w:pPr>
              <w:pStyle w:val="TableContents"/>
              <w:bidi w:val="0"/>
              <w:spacing w:before="0" w:after="283"/>
              <w:jc w:val="left"/>
              <w:rPr/>
            </w:pPr>
            <w:r>
              <w:rPr/>
              <w:t>Operating lease liability - long term</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pPr>
            <w:r>
              <w:rPr/>
              <w:t>1,552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pPr>
            <w:r>
              <w:rPr/>
              <w:t>1,629</w:t>
            </w:r>
          </w:p>
        </w:tc>
        <w:tc>
          <w:tcPr>
            <w:tcW w:w="114" w:type="dxa"/>
            <w:tcBorders/>
            <w:shd w:fill="FFFFFF" w:val="clear"/>
            <w:vAlign w:val="center"/>
          </w:tcPr>
          <w:p>
            <w:pPr>
              <w:pStyle w:val="TableContents"/>
              <w:bidi w:val="0"/>
              <w:spacing w:before="0" w:after="283"/>
              <w:jc w:val="left"/>
              <w:rPr/>
            </w:pPr>
            <w:r>
              <w:rPr/>
              <w:t> </w:t>
            </w:r>
            <w:bookmarkStart w:id="60" w:name="xdx_407_eus-gaap--LiabilitiesNoncurrent_"/>
            <w:bookmarkEnd w:id="60"/>
          </w:p>
        </w:tc>
      </w:tr>
      <w:tr>
        <w:trPr/>
        <w:tc>
          <w:tcPr>
            <w:tcW w:w="7515" w:type="dxa"/>
            <w:tcBorders/>
            <w:shd w:fill="CCEEFF" w:val="clear"/>
            <w:vAlign w:val="center"/>
          </w:tcPr>
          <w:p>
            <w:pPr>
              <w:pStyle w:val="TableContents"/>
              <w:bidi w:val="0"/>
              <w:spacing w:before="0" w:after="283"/>
              <w:jc w:val="left"/>
              <w:rPr>
                <w:b/>
              </w:rPr>
            </w:pPr>
            <w:r>
              <w:rPr>
                <w:b/>
              </w:rPr>
              <w:t>Total long-term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pPr>
            <w:r>
              <w:rPr/>
              <w:t>1,580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CCEEFF" w:val="clear"/>
            <w:tcMar>
              <w:bottom w:w="28" w:type="dxa"/>
            </w:tcMar>
            <w:vAlign w:val="center"/>
          </w:tcPr>
          <w:p>
            <w:pPr>
              <w:pStyle w:val="TableContents"/>
              <w:bidi w:val="0"/>
              <w:spacing w:before="0" w:after="283"/>
              <w:jc w:val="right"/>
              <w:rPr/>
            </w:pPr>
            <w:r>
              <w:rPr/>
              <w:t>1,668</w:t>
            </w:r>
          </w:p>
        </w:tc>
        <w:tc>
          <w:tcPr>
            <w:tcW w:w="114" w:type="dxa"/>
            <w:tcBorders/>
            <w:shd w:fill="CCEEFF" w:val="clear"/>
            <w:vAlign w:val="center"/>
          </w:tcPr>
          <w:p>
            <w:pPr>
              <w:pStyle w:val="TableContents"/>
              <w:bidi w:val="0"/>
              <w:spacing w:before="0" w:after="283"/>
              <w:jc w:val="left"/>
              <w:rPr/>
            </w:pPr>
            <w:r>
              <w:rPr/>
              <w:t> </w:t>
            </w:r>
            <w:bookmarkStart w:id="61" w:name="xdx_406_eus-gaap--Liabilities_i01TI_mtCz"/>
            <w:bookmarkEnd w:id="61"/>
          </w:p>
        </w:tc>
      </w:tr>
      <w:tr>
        <w:trPr/>
        <w:tc>
          <w:tcPr>
            <w:tcW w:w="751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pPr>
            <w:r>
              <w:rPr/>
              <w:t>15,405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pPr>
            <w:r>
              <w:rPr/>
              <w:t>14,871</w:t>
            </w:r>
          </w:p>
        </w:tc>
        <w:tc>
          <w:tcPr>
            <w:tcW w:w="114" w:type="dxa"/>
            <w:tcBorders/>
            <w:shd w:fill="FFFFFF" w:val="clear"/>
            <w:vAlign w:val="center"/>
          </w:tcPr>
          <w:p>
            <w:pPr>
              <w:pStyle w:val="TableContents"/>
              <w:bidi w:val="0"/>
              <w:spacing w:before="0" w:after="283"/>
              <w:jc w:val="left"/>
              <w:rPr/>
            </w:pPr>
            <w:r>
              <w:rPr/>
              <w:t> </w:t>
            </w:r>
          </w:p>
        </w:tc>
      </w:tr>
      <w:tr>
        <w:trPr/>
        <w:tc>
          <w:tcPr>
            <w:tcW w:w="7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62" w:name="xdx_405_eus-gaap--CommitmentsAndContinge"/>
            <w:bookmarkEnd w:id="62"/>
          </w:p>
        </w:tc>
      </w:tr>
      <w:tr>
        <w:trPr/>
        <w:tc>
          <w:tcPr>
            <w:tcW w:w="7515" w:type="dxa"/>
            <w:tcBorders/>
            <w:shd w:fill="FFFFFF" w:val="clear"/>
            <w:vAlign w:val="center"/>
          </w:tcPr>
          <w:p>
            <w:pPr>
              <w:pStyle w:val="TableContents"/>
              <w:bidi w:val="0"/>
              <w:spacing w:before="0" w:after="283"/>
              <w:jc w:val="left"/>
              <w:rPr>
                <w:b/>
              </w:rPr>
            </w:pPr>
            <w:r>
              <w:rPr>
                <w:b/>
              </w:rPr>
              <w:t>Commitments and contingencies (Note 13)</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4" w:type="dxa"/>
            <w:tcBorders/>
            <w:shd w:fill="FFFFFF" w:val="clear"/>
            <w:vAlign w:val="center"/>
          </w:tcPr>
          <w:p>
            <w:pPr>
              <w:pStyle w:val="TableContents"/>
              <w:bidi w:val="0"/>
              <w:spacing w:before="0" w:after="283"/>
              <w:jc w:val="left"/>
              <w:rPr/>
            </w:pPr>
            <w:r>
              <w:rPr/>
              <w:t> </w:t>
            </w:r>
          </w:p>
        </w:tc>
      </w:tr>
      <w:tr>
        <w:trPr/>
        <w:tc>
          <w:tcPr>
            <w:tcW w:w="7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63" w:name="xdx_40F_eus-gaap--StockholdersEquityAbst"/>
            <w:bookmarkEnd w:id="63"/>
          </w:p>
        </w:tc>
      </w:tr>
      <w:tr>
        <w:trPr/>
        <w:tc>
          <w:tcPr>
            <w:tcW w:w="7515"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64" w:name="xdx_403_eus-gaap--PreferredStockValue_i0"/>
            <w:bookmarkEnd w:id="64"/>
          </w:p>
        </w:tc>
      </w:tr>
      <w:tr>
        <w:trPr/>
        <w:tc>
          <w:tcPr>
            <w:tcW w:w="7515" w:type="dxa"/>
            <w:tcBorders/>
            <w:shd w:fill="CCEEFF" w:val="clear"/>
            <w:vAlign w:val="center"/>
          </w:tcPr>
          <w:p>
            <w:pPr>
              <w:pStyle w:val="TableContents"/>
              <w:bidi w:val="0"/>
              <w:spacing w:before="0" w:after="283"/>
              <w:jc w:val="left"/>
              <w:rPr/>
            </w:pPr>
            <w:r>
              <w:rPr/>
              <w:t xml:space="preserve">Preferred stock - </w:t>
            </w:r>
            <w:bookmarkStart w:id="65" w:name="xdx_908_eus-gaap--PreferredStockSharesAu"/>
            <w:bookmarkStart w:id="66" w:name="xdx_90F_eus-gaap--PreferredStockSharesAu"/>
            <w:bookmarkEnd w:id="65"/>
            <w:bookmarkEnd w:id="66"/>
            <w:r>
              <w:rPr/>
              <w:t>5,000,000 authorized; par value $</w:t>
            </w:r>
            <w:bookmarkStart w:id="67" w:name="xdx_904_eus-gaap--PreferredStockParOrSta"/>
            <w:bookmarkStart w:id="68" w:name="xdx_906_eus-gaap--PreferredStockParOrSta"/>
            <w:bookmarkEnd w:id="67"/>
            <w:bookmarkEnd w:id="68"/>
            <w:r>
              <w:rPr/>
              <w:t xml:space="preserve">0.0001 per share; </w:t>
            </w:r>
            <w:bookmarkStart w:id="69" w:name="xdx_909_eus-gaap--PreferredStockSharesOu"/>
            <w:bookmarkStart w:id="70" w:name="xdx_90B_eus-gaap--PreferredStockSharesIs"/>
            <w:bookmarkStart w:id="71" w:name="xdx_901_eus-gaap--PreferredStockSharesOu"/>
            <w:bookmarkStart w:id="72" w:name="xdx_900_eus-gaap--PreferredStockSharesIs"/>
            <w:bookmarkEnd w:id="69"/>
            <w:bookmarkEnd w:id="70"/>
            <w:bookmarkEnd w:id="71"/>
            <w:bookmarkEnd w:id="72"/>
            <w:r>
              <w:rPr/>
              <w:t>0 shares issued and outstanding at March 31,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73" w:name="xdx_407_eus-gaap--CommonStockValue_i02I_"/>
            <w:bookmarkEnd w:id="73"/>
          </w:p>
        </w:tc>
      </w:tr>
      <w:tr>
        <w:trPr/>
        <w:tc>
          <w:tcPr>
            <w:tcW w:w="7515" w:type="dxa"/>
            <w:tcBorders/>
            <w:shd w:fill="FFFFFF" w:val="clear"/>
            <w:vAlign w:val="center"/>
          </w:tcPr>
          <w:p>
            <w:pPr>
              <w:pStyle w:val="TableContents"/>
              <w:bidi w:val="0"/>
              <w:spacing w:before="0" w:after="283"/>
              <w:jc w:val="left"/>
              <w:rPr/>
            </w:pPr>
            <w:r>
              <w:rPr/>
              <w:t xml:space="preserve">Common stock - </w:t>
            </w:r>
            <w:bookmarkStart w:id="74" w:name="xdx_90A_eus-gaap--CommonStockSharesAutho"/>
            <w:bookmarkStart w:id="75" w:name="xdx_904_eus-gaap--CommonStockSharesAutho"/>
            <w:bookmarkEnd w:id="74"/>
            <w:bookmarkEnd w:id="75"/>
            <w:r>
              <w:rPr/>
              <w:t>150,000,000 authorized; par value $</w:t>
            </w:r>
            <w:bookmarkStart w:id="76" w:name="xdx_900_eus-gaap--CommonStockParOrStated"/>
            <w:bookmarkStart w:id="77" w:name="xdx_90A_eus-gaap--CommonStockParOrStated"/>
            <w:bookmarkEnd w:id="76"/>
            <w:bookmarkEnd w:id="77"/>
            <w:r>
              <w:rPr/>
              <w:t xml:space="preserve">0.0001 per share; </w:t>
            </w:r>
            <w:bookmarkStart w:id="78" w:name="xdx_908_eus-gaap--CommonStockSharesOutst"/>
            <w:bookmarkStart w:id="79" w:name="xdx_908_eus-gaap--CommonStockSharesIssue"/>
            <w:bookmarkEnd w:id="78"/>
            <w:bookmarkEnd w:id="79"/>
            <w:r>
              <w:rPr/>
              <w:t xml:space="preserve">50,494,701 and </w:t>
            </w:r>
            <w:bookmarkStart w:id="80" w:name="xdx_901_eus-gaap--CommonStockSharesOutst"/>
            <w:bookmarkStart w:id="81" w:name="xdx_903_eus-gaap--CommonStockSharesIssue"/>
            <w:bookmarkEnd w:id="80"/>
            <w:bookmarkEnd w:id="81"/>
            <w:r>
              <w:rPr/>
              <w:t>47,101,631 shares issued and outstanding at March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5</w:t>
            </w:r>
          </w:p>
        </w:tc>
        <w:tc>
          <w:tcPr>
            <w:tcW w:w="114" w:type="dxa"/>
            <w:tcBorders/>
            <w:shd w:fill="FFFFFF" w:val="clear"/>
            <w:vAlign w:val="center"/>
          </w:tcPr>
          <w:p>
            <w:pPr>
              <w:pStyle w:val="TableContents"/>
              <w:bidi w:val="0"/>
              <w:spacing w:before="0" w:after="283"/>
              <w:jc w:val="left"/>
              <w:rPr/>
            </w:pPr>
            <w:r>
              <w:rPr/>
              <w:t> </w:t>
            </w:r>
            <w:bookmarkStart w:id="82" w:name="xdx_400_eus-gaap--PreferredStockValue_i0"/>
            <w:bookmarkEnd w:id="82"/>
          </w:p>
        </w:tc>
      </w:tr>
      <w:tr>
        <w:trPr/>
        <w:tc>
          <w:tcPr>
            <w:tcW w:w="7515" w:type="dxa"/>
            <w:tcBorders/>
            <w:shd w:fill="CCEEFF" w:val="clear"/>
            <w:vAlign w:val="center"/>
          </w:tcPr>
          <w:p>
            <w:pPr>
              <w:pStyle w:val="TableContents"/>
              <w:bidi w:val="0"/>
              <w:spacing w:before="0" w:after="283"/>
              <w:jc w:val="left"/>
              <w:rPr/>
            </w:pPr>
            <w:r>
              <w:rPr/>
              <w:t xml:space="preserve">Convertible Preferred Stock - </w:t>
            </w:r>
            <w:bookmarkStart w:id="83" w:name="xdx_902_eus-gaap--PreferredStockSharesAu"/>
            <w:bookmarkStart w:id="84" w:name="xdx_90D_eus-gaap--PreferredStockSharesAu"/>
            <w:bookmarkEnd w:id="83"/>
            <w:bookmarkEnd w:id="84"/>
            <w:r>
              <w:rPr/>
              <w:t>10,000 authorized, par value $</w:t>
            </w:r>
            <w:bookmarkStart w:id="85" w:name="xdx_900_eus-gaap--PreferredStockParOrSta"/>
            <w:bookmarkStart w:id="86" w:name="xdx_907_eus-gaap--PreferredStockParOrSta"/>
            <w:bookmarkEnd w:id="85"/>
            <w:bookmarkEnd w:id="86"/>
            <w:r>
              <w:rPr/>
              <w:t xml:space="preserve">0.0001 per share; </w:t>
            </w:r>
            <w:bookmarkStart w:id="87" w:name="xdx_908_eus-gaap--PreferredStockSharesOu"/>
            <w:bookmarkStart w:id="88" w:name="xdx_90D_eus-gaap--PreferredStockSharesIs"/>
            <w:bookmarkStart w:id="89" w:name="xdx_90A_eus-gaap--PreferredStockSharesOu"/>
            <w:bookmarkStart w:id="90" w:name="xdx_90A_eus-gaap--PreferredStockSharesIs"/>
            <w:bookmarkEnd w:id="87"/>
            <w:bookmarkEnd w:id="88"/>
            <w:bookmarkEnd w:id="89"/>
            <w:bookmarkEnd w:id="90"/>
            <w:r>
              <w:rPr/>
              <w:t>8,207 shares issued and outstanding at March 31,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91" w:name="xdx_406_eus-gaap--PreferredStockValue_i0"/>
            <w:bookmarkEnd w:id="91"/>
          </w:p>
        </w:tc>
      </w:tr>
      <w:tr>
        <w:trPr/>
        <w:tc>
          <w:tcPr>
            <w:tcW w:w="7515"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92" w:name="xdx_40A_eus-gaap--AdditionalPaidInCapita"/>
            <w:bookmarkEnd w:id="92"/>
          </w:p>
        </w:tc>
      </w:tr>
      <w:tr>
        <w:trPr/>
        <w:tc>
          <w:tcPr>
            <w:tcW w:w="751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107,698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105,326</w:t>
            </w:r>
          </w:p>
        </w:tc>
        <w:tc>
          <w:tcPr>
            <w:tcW w:w="114" w:type="dxa"/>
            <w:tcBorders/>
            <w:shd w:fill="FFFFFF" w:val="clear"/>
            <w:vAlign w:val="center"/>
          </w:tcPr>
          <w:p>
            <w:pPr>
              <w:pStyle w:val="TableContents"/>
              <w:bidi w:val="0"/>
              <w:spacing w:before="0" w:after="283"/>
              <w:jc w:val="left"/>
              <w:rPr/>
            </w:pPr>
            <w:r>
              <w:rPr/>
              <w:t> </w:t>
            </w:r>
            <w:bookmarkStart w:id="93" w:name="xdx_405_eus-gaap--RetainedEarningsAccumu"/>
            <w:bookmarkEnd w:id="93"/>
          </w:p>
        </w:tc>
      </w:tr>
      <w:tr>
        <w:trPr/>
        <w:tc>
          <w:tcPr>
            <w:tcW w:w="751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(105,136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(105,081</w:t>
            </w:r>
          </w:p>
        </w:tc>
        <w:tc>
          <w:tcPr>
            <w:tcW w:w="114" w:type="dxa"/>
            <w:tcBorders/>
            <w:shd w:fill="CCEEFF" w:val="clear"/>
            <w:vAlign w:val="center"/>
          </w:tcPr>
          <w:p>
            <w:pPr>
              <w:pStyle w:val="TableContents"/>
              <w:bidi w:val="0"/>
              <w:spacing w:before="0" w:after="283"/>
              <w:jc w:val="left"/>
              <w:rPr/>
            </w:pPr>
            <w:r>
              <w:rPr/>
              <w:t>)</w:t>
            </w:r>
            <w:bookmarkStart w:id="94" w:name="xdx_40E_eus-gaap--StockholdersEquity_i02"/>
            <w:bookmarkEnd w:id="94"/>
          </w:p>
        </w:tc>
      </w:tr>
      <w:tr>
        <w:trPr/>
        <w:tc>
          <w:tcPr>
            <w:tcW w:w="7515"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pPr>
            <w:r>
              <w:rPr/>
              <w:t>2,567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pPr>
            <w:r>
              <w:rPr/>
              <w:t>250</w:t>
            </w:r>
          </w:p>
        </w:tc>
        <w:tc>
          <w:tcPr>
            <w:tcW w:w="114" w:type="dxa"/>
            <w:tcBorders/>
            <w:shd w:fill="FFFFFF" w:val="clear"/>
            <w:vAlign w:val="center"/>
          </w:tcPr>
          <w:p>
            <w:pPr>
              <w:pStyle w:val="TableContents"/>
              <w:bidi w:val="0"/>
              <w:spacing w:before="0" w:after="283"/>
              <w:jc w:val="left"/>
              <w:rPr/>
            </w:pPr>
            <w:r>
              <w:rPr/>
              <w:t> </w:t>
            </w:r>
            <w:bookmarkStart w:id="95" w:name="xdx_40D_eus-gaap--LiabilitiesAndStockhol"/>
            <w:bookmarkEnd w:id="95"/>
          </w:p>
        </w:tc>
      </w:tr>
      <w:tr>
        <w:trPr/>
        <w:tc>
          <w:tcPr>
            <w:tcW w:w="7515"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pPr>
            <w:r>
              <w:rPr/>
              <w:t>17,972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1" w:type="dxa"/>
            <w:tcBorders>
              <w:bottom w:val="double" w:sz="6" w:space="0" w:color="000000"/>
            </w:tcBorders>
            <w:shd w:fill="CCEEFF" w:val="clear"/>
            <w:tcMar>
              <w:bottom w:w="28" w:type="dxa"/>
            </w:tcMar>
            <w:vAlign w:val="center"/>
          </w:tcPr>
          <w:p>
            <w:pPr>
              <w:pStyle w:val="TableContents"/>
              <w:bidi w:val="0"/>
              <w:spacing w:before="0" w:after="283"/>
              <w:jc w:val="right"/>
              <w:rPr/>
            </w:pPr>
            <w:r>
              <w:rPr/>
              <w:t>15,121</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interim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6" w:name="a_004"/>
      <w:bookmarkEnd w:id="96"/>
      <w:r>
        <w:rPr>
          <w:rFonts w:ascii="Times New Roman;Times;Serif" w:hAnsi="Times New Roman;Times;Serif"/>
          <w:b/>
          <w:i w:val="false"/>
          <w:caps w:val="false"/>
          <w:smallCaps w:val="false"/>
          <w:sz w:val="20"/>
        </w:rPr>
        <w:t>Wrap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amounts)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7" w:name="xdx_308_113_pn3n3_zIkI0jiWO9y8"/>
      <w:bookmarkStart w:id="98" w:name="xdx_308_113_pn3n3_zIkI0jiWO9y8"/>
      <w:bookmarkEnd w:id="98"/>
    </w:p>
    <w:tbl>
      <w:tblPr>
        <w:tblW w:w="10205" w:type="dxa"/>
        <w:jc w:val="left"/>
        <w:tblInd w:w="0" w:type="dxa"/>
        <w:tblLayout w:type="fixed"/>
        <w:tblCellMar>
          <w:top w:w="0" w:type="dxa"/>
          <w:left w:w="0" w:type="dxa"/>
          <w:bottom w:w="0" w:type="dxa"/>
          <w:right w:w="0" w:type="dxa"/>
        </w:tblCellMar>
      </w:tblPr>
      <w:tblGrid>
        <w:gridCol w:w="6956"/>
        <w:gridCol w:w="60"/>
        <w:gridCol w:w="163"/>
        <w:gridCol w:w="1285"/>
        <w:gridCol w:w="110"/>
        <w:gridCol w:w="69"/>
        <w:gridCol w:w="163"/>
        <w:gridCol w:w="1285"/>
        <w:gridCol w:w="114"/>
      </w:tblGrid>
      <w:tr>
        <w:trPr/>
        <w:tc>
          <w:tcPr>
            <w:tcW w:w="69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 w:name="xdx_49E_20250101__20250331_zz2WgJ6jDEsd"/>
            <w:bookmarkEnd w:id="99"/>
          </w:p>
        </w:tc>
        <w:tc>
          <w:tcPr>
            <w:tcW w:w="14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100" w:name="xdx_49A_20240101__20240331_zNdDrakRAie4"/>
            <w:bookmarkEnd w:id="100"/>
          </w:p>
        </w:tc>
        <w:tc>
          <w:tcPr>
            <w:tcW w:w="14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p>
        </w:tc>
      </w:tr>
      <w:tr>
        <w:trPr/>
        <w:tc>
          <w:tcPr>
            <w:tcW w:w="69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4" w:type="dxa"/>
            <w:tcBorders/>
            <w:vAlign w:val="center"/>
          </w:tcPr>
          <w:p>
            <w:pPr>
              <w:pStyle w:val="TableContents"/>
              <w:bidi w:val="0"/>
              <w:spacing w:before="0" w:after="283"/>
              <w:jc w:val="left"/>
              <w:rPr/>
            </w:pPr>
            <w:r>
              <w:rPr/>
              <w:t> </w:t>
            </w:r>
          </w:p>
        </w:tc>
      </w:tr>
      <w:tr>
        <w:trPr/>
        <w:tc>
          <w:tcPr>
            <w:tcW w:w="69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bookmarkStart w:id="101" w:name="xdx_408_eus-gaap--RevenuesAbstract_iB_zw"/>
            <w:bookmarkEnd w:id="101"/>
          </w:p>
        </w:tc>
      </w:tr>
      <w:tr>
        <w:trPr/>
        <w:tc>
          <w:tcPr>
            <w:tcW w:w="6956"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02" w:name="xdx_406_eus-gaap--RevenueFromContractWit"/>
            <w:bookmarkEnd w:id="102"/>
          </w:p>
        </w:tc>
      </w:tr>
      <w:tr>
        <w:trPr/>
        <w:tc>
          <w:tcPr>
            <w:tcW w:w="6956" w:type="dxa"/>
            <w:tcBorders/>
            <w:shd w:fill="FFFFFF" w:val="clear"/>
            <w:vAlign w:val="center"/>
          </w:tcPr>
          <w:p>
            <w:pPr>
              <w:pStyle w:val="TableContents"/>
              <w:bidi w:val="0"/>
              <w:spacing w:before="0" w:after="283"/>
              <w:jc w:val="left"/>
              <w:rPr/>
            </w:pPr>
            <w:r>
              <w:rPr/>
              <w:t>Product sales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1285" w:type="dxa"/>
            <w:tcBorders/>
            <w:shd w:fill="FFFFFF" w:val="clear"/>
            <w:vAlign w:val="center"/>
          </w:tcPr>
          <w:p>
            <w:pPr>
              <w:pStyle w:val="TableContents"/>
              <w:bidi w:val="0"/>
              <w:spacing w:before="0" w:after="283"/>
              <w:jc w:val="right"/>
              <w:rPr/>
            </w:pPr>
            <w:r>
              <w:rPr/>
              <w:t>353</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1,327</w:t>
            </w:r>
          </w:p>
        </w:tc>
        <w:tc>
          <w:tcPr>
            <w:tcW w:w="114" w:type="dxa"/>
            <w:tcBorders/>
            <w:shd w:fill="FFFFFF" w:val="clear"/>
            <w:vAlign w:val="center"/>
          </w:tcPr>
          <w:p>
            <w:pPr>
              <w:pStyle w:val="TableContents"/>
              <w:bidi w:val="0"/>
              <w:spacing w:before="0" w:after="283"/>
              <w:jc w:val="left"/>
              <w:rPr/>
            </w:pPr>
            <w:r>
              <w:rPr/>
              <w:t> </w:t>
            </w:r>
            <w:bookmarkStart w:id="103" w:name="xdx_405_ecustom--ManagedServices_i01_maR"/>
            <w:bookmarkEnd w:id="103"/>
          </w:p>
        </w:tc>
      </w:tr>
      <w:tr>
        <w:trPr/>
        <w:tc>
          <w:tcPr>
            <w:tcW w:w="6956" w:type="dxa"/>
            <w:tcBorders/>
            <w:shd w:fill="CCEEFF" w:val="clear"/>
            <w:vAlign w:val="center"/>
          </w:tcPr>
          <w:p>
            <w:pPr>
              <w:pStyle w:val="TableContents"/>
              <w:bidi w:val="0"/>
              <w:spacing w:before="0" w:after="283"/>
              <w:jc w:val="left"/>
              <w:rPr/>
            </w:pPr>
            <w:r>
              <w:rPr/>
              <w:t>Managed services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234</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04" w:name="xdx_408_eus-gaap--OtherOperatingIncome_i"/>
            <w:bookmarkEnd w:id="104"/>
          </w:p>
        </w:tc>
      </w:tr>
      <w:tr>
        <w:trPr/>
        <w:tc>
          <w:tcPr>
            <w:tcW w:w="6956" w:type="dxa"/>
            <w:tcBorders/>
            <w:shd w:fill="FFFFFF" w:val="clear"/>
            <w:vAlign w:val="center"/>
          </w:tcPr>
          <w:p>
            <w:pPr>
              <w:pStyle w:val="TableContents"/>
              <w:bidi w:val="0"/>
              <w:spacing w:before="0" w:after="283"/>
              <w:jc w:val="left"/>
              <w:rPr/>
            </w:pPr>
            <w:r>
              <w:rPr/>
              <w:t>Other revenue</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FFFFFF" w:val="clear"/>
            <w:tcMar>
              <w:bottom w:w="28" w:type="dxa"/>
            </w:tcMar>
            <w:vAlign w:val="center"/>
          </w:tcPr>
          <w:p>
            <w:pPr>
              <w:pStyle w:val="TableContents"/>
              <w:bidi w:val="0"/>
              <w:spacing w:before="0" w:after="283"/>
              <w:jc w:val="right"/>
              <w:rPr/>
            </w:pPr>
            <w:r>
              <w:rPr/>
              <w:t>178</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FFFFFF" w:val="clear"/>
            <w:tcMar>
              <w:bottom w:w="28" w:type="dxa"/>
            </w:tcMar>
            <w:vAlign w:val="center"/>
          </w:tcPr>
          <w:p>
            <w:pPr>
              <w:pStyle w:val="TableContents"/>
              <w:bidi w:val="0"/>
              <w:spacing w:before="0" w:after="283"/>
              <w:jc w:val="right"/>
              <w:rPr/>
            </w:pPr>
            <w:r>
              <w:rPr/>
              <w:t>149</w:t>
            </w:r>
          </w:p>
        </w:tc>
        <w:tc>
          <w:tcPr>
            <w:tcW w:w="114" w:type="dxa"/>
            <w:tcBorders/>
            <w:shd w:fill="FFFFFF" w:val="clear"/>
            <w:vAlign w:val="center"/>
          </w:tcPr>
          <w:p>
            <w:pPr>
              <w:pStyle w:val="TableContents"/>
              <w:bidi w:val="0"/>
              <w:spacing w:before="0" w:after="283"/>
              <w:jc w:val="left"/>
              <w:rPr/>
            </w:pPr>
            <w:r>
              <w:rPr/>
              <w:t> </w:t>
            </w:r>
            <w:bookmarkStart w:id="105" w:name="xdx_40C_eus-gaap--Revenues_i01T_mtRzfia_"/>
            <w:bookmarkEnd w:id="105"/>
          </w:p>
        </w:tc>
      </w:tr>
      <w:tr>
        <w:trPr/>
        <w:tc>
          <w:tcPr>
            <w:tcW w:w="6956"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765</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1,476</w:t>
            </w:r>
          </w:p>
        </w:tc>
        <w:tc>
          <w:tcPr>
            <w:tcW w:w="114" w:type="dxa"/>
            <w:tcBorders/>
            <w:shd w:fill="CCEEFF" w:val="clear"/>
            <w:vAlign w:val="center"/>
          </w:tcPr>
          <w:p>
            <w:pPr>
              <w:pStyle w:val="TableContents"/>
              <w:bidi w:val="0"/>
              <w:spacing w:before="0" w:after="283"/>
              <w:jc w:val="left"/>
              <w:rPr/>
            </w:pPr>
            <w:r>
              <w:rPr/>
              <w:t> </w:t>
            </w:r>
            <w:bookmarkStart w:id="106" w:name="xdx_40C_eus-gaap--CostOfRevenue_i01_msGP"/>
            <w:bookmarkEnd w:id="106"/>
          </w:p>
        </w:tc>
      </w:tr>
      <w:tr>
        <w:trPr/>
        <w:tc>
          <w:tcPr>
            <w:tcW w:w="6956"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FFFFFF" w:val="clear"/>
            <w:tcMar>
              <w:bottom w:w="28" w:type="dxa"/>
            </w:tcMar>
            <w:vAlign w:val="center"/>
          </w:tcPr>
          <w:p>
            <w:pPr>
              <w:pStyle w:val="TableContents"/>
              <w:bidi w:val="0"/>
              <w:spacing w:before="0" w:after="283"/>
              <w:jc w:val="right"/>
              <w:rPr/>
            </w:pPr>
            <w:r>
              <w:rPr/>
              <w:t>170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FFFFFF" w:val="clear"/>
            <w:tcMar>
              <w:bottom w:w="28" w:type="dxa"/>
            </w:tcMar>
            <w:vAlign w:val="center"/>
          </w:tcPr>
          <w:p>
            <w:pPr>
              <w:pStyle w:val="TableContents"/>
              <w:bidi w:val="0"/>
              <w:spacing w:before="0" w:after="283"/>
              <w:jc w:val="right"/>
              <w:rPr/>
            </w:pPr>
            <w:r>
              <w:rPr/>
              <w:t>640</w:t>
            </w:r>
          </w:p>
        </w:tc>
        <w:tc>
          <w:tcPr>
            <w:tcW w:w="114" w:type="dxa"/>
            <w:tcBorders/>
            <w:shd w:fill="FFFFFF" w:val="clear"/>
            <w:vAlign w:val="center"/>
          </w:tcPr>
          <w:p>
            <w:pPr>
              <w:pStyle w:val="TableContents"/>
              <w:bidi w:val="0"/>
              <w:spacing w:before="0" w:after="283"/>
              <w:jc w:val="left"/>
              <w:rPr/>
            </w:pPr>
            <w:r>
              <w:rPr/>
              <w:t> </w:t>
            </w:r>
            <w:bookmarkStart w:id="107" w:name="xdx_403_eus-gaap--GrossProfit_i01T_mtGPz"/>
            <w:bookmarkEnd w:id="107"/>
          </w:p>
        </w:tc>
      </w:tr>
      <w:tr>
        <w:trPr/>
        <w:tc>
          <w:tcPr>
            <w:tcW w:w="6956"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595</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836</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08" w:name="xdx_409_eus-gaap--OperatingExpensesAbstr"/>
            <w:bookmarkEnd w:id="108"/>
          </w:p>
        </w:tc>
      </w:tr>
      <w:tr>
        <w:trPr/>
        <w:tc>
          <w:tcPr>
            <w:tcW w:w="6956"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09" w:name="xdx_409_eus-gaap--SellingGeneralAndAdmin"/>
            <w:bookmarkEnd w:id="109"/>
          </w:p>
        </w:tc>
      </w:tr>
      <w:tr>
        <w:trPr/>
        <w:tc>
          <w:tcPr>
            <w:tcW w:w="6956"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4,139</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4,220</w:t>
            </w:r>
          </w:p>
        </w:tc>
        <w:tc>
          <w:tcPr>
            <w:tcW w:w="114" w:type="dxa"/>
            <w:tcBorders/>
            <w:shd w:fill="FFFFFF" w:val="clear"/>
            <w:vAlign w:val="center"/>
          </w:tcPr>
          <w:p>
            <w:pPr>
              <w:pStyle w:val="TableContents"/>
              <w:bidi w:val="0"/>
              <w:spacing w:before="0" w:after="283"/>
              <w:jc w:val="left"/>
              <w:rPr/>
            </w:pPr>
            <w:r>
              <w:rPr/>
              <w:t> </w:t>
            </w:r>
            <w:bookmarkStart w:id="110" w:name="xdx_40C_eus-gaap--ResearchAndDevelopment"/>
            <w:bookmarkEnd w:id="110"/>
          </w:p>
        </w:tc>
      </w:tr>
      <w:tr>
        <w:trPr/>
        <w:tc>
          <w:tcPr>
            <w:tcW w:w="6956"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378</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755</w:t>
            </w:r>
          </w:p>
        </w:tc>
        <w:tc>
          <w:tcPr>
            <w:tcW w:w="114" w:type="dxa"/>
            <w:tcBorders/>
            <w:shd w:fill="CCEEFF" w:val="clear"/>
            <w:vAlign w:val="center"/>
          </w:tcPr>
          <w:p>
            <w:pPr>
              <w:pStyle w:val="TableContents"/>
              <w:bidi w:val="0"/>
              <w:spacing w:before="0" w:after="283"/>
              <w:jc w:val="left"/>
              <w:rPr/>
            </w:pPr>
            <w:r>
              <w:rPr/>
              <w:t> </w:t>
            </w:r>
            <w:bookmarkStart w:id="111" w:name="xdx_408_eus-gaap--OperatingExpenses_i01T"/>
            <w:bookmarkEnd w:id="111"/>
          </w:p>
        </w:tc>
      </w:tr>
      <w:tr>
        <w:trPr/>
        <w:tc>
          <w:tcPr>
            <w:tcW w:w="6956"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FFFFFF" w:val="clear"/>
            <w:tcMar>
              <w:bottom w:w="28" w:type="dxa"/>
            </w:tcMar>
            <w:vAlign w:val="center"/>
          </w:tcPr>
          <w:p>
            <w:pPr>
              <w:pStyle w:val="TableContents"/>
              <w:bidi w:val="0"/>
              <w:spacing w:before="0" w:after="283"/>
              <w:jc w:val="right"/>
              <w:rPr/>
            </w:pPr>
            <w:r>
              <w:rPr/>
              <w:t>4,517</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FFFFFF" w:val="clear"/>
            <w:tcMar>
              <w:bottom w:w="28" w:type="dxa"/>
            </w:tcMar>
            <w:vAlign w:val="center"/>
          </w:tcPr>
          <w:p>
            <w:pPr>
              <w:pStyle w:val="TableContents"/>
              <w:bidi w:val="0"/>
              <w:spacing w:before="0" w:after="283"/>
              <w:jc w:val="right"/>
              <w:rPr/>
            </w:pPr>
            <w:r>
              <w:rPr/>
              <w:t>4,975</w:t>
            </w:r>
          </w:p>
        </w:tc>
        <w:tc>
          <w:tcPr>
            <w:tcW w:w="114" w:type="dxa"/>
            <w:tcBorders/>
            <w:shd w:fill="FFFFFF" w:val="clear"/>
            <w:vAlign w:val="center"/>
          </w:tcPr>
          <w:p>
            <w:pPr>
              <w:pStyle w:val="TableContents"/>
              <w:bidi w:val="0"/>
              <w:spacing w:before="0" w:after="283"/>
              <w:jc w:val="left"/>
              <w:rPr/>
            </w:pPr>
            <w:r>
              <w:rPr/>
              <w:t> </w:t>
            </w:r>
            <w:bookmarkStart w:id="112" w:name="xdx_40E_eus-gaap--OperatingIncomeLoss_i0"/>
            <w:bookmarkEnd w:id="112"/>
          </w:p>
        </w:tc>
      </w:tr>
      <w:tr>
        <w:trPr/>
        <w:tc>
          <w:tcPr>
            <w:tcW w:w="6956"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(3,922</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(4,139</w:t>
            </w:r>
          </w:p>
        </w:tc>
        <w:tc>
          <w:tcPr>
            <w:tcW w:w="114" w:type="dxa"/>
            <w:tcBorders/>
            <w:shd w:fill="CCEEFF" w:val="clear"/>
            <w:vAlign w:val="center"/>
          </w:tcPr>
          <w:p>
            <w:pPr>
              <w:pStyle w:val="TableContents"/>
              <w:bidi w:val="0"/>
              <w:spacing w:before="0" w:after="283"/>
              <w:jc w:val="left"/>
              <w:rPr/>
            </w:pPr>
            <w:r>
              <w:rPr/>
              <w:t>)</w:t>
            </w:r>
          </w:p>
        </w:tc>
      </w:tr>
      <w:tr>
        <w:trPr/>
        <w:tc>
          <w:tcPr>
            <w:tcW w:w="69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13" w:name="xdx_406_eus-gaap--NonoperatingIncomeExpe"/>
            <w:bookmarkEnd w:id="113"/>
          </w:p>
        </w:tc>
      </w:tr>
      <w:tr>
        <w:trPr/>
        <w:tc>
          <w:tcPr>
            <w:tcW w:w="6956"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14" w:name="xdx_405_eus-gaap--InvestmentIncomeIntere"/>
            <w:bookmarkEnd w:id="114"/>
          </w:p>
        </w:tc>
      </w:tr>
      <w:tr>
        <w:trPr/>
        <w:tc>
          <w:tcPr>
            <w:tcW w:w="6956"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78</w:t>
            </w:r>
          </w:p>
        </w:tc>
        <w:tc>
          <w:tcPr>
            <w:tcW w:w="114" w:type="dxa"/>
            <w:tcBorders/>
            <w:shd w:fill="FFFFFF" w:val="clear"/>
            <w:vAlign w:val="center"/>
          </w:tcPr>
          <w:p>
            <w:pPr>
              <w:pStyle w:val="TableContents"/>
              <w:bidi w:val="0"/>
              <w:spacing w:before="0" w:after="283"/>
              <w:jc w:val="left"/>
              <w:rPr/>
            </w:pPr>
            <w:r>
              <w:rPr/>
              <w:t> </w:t>
            </w:r>
            <w:bookmarkStart w:id="115" w:name="xdx_40F_eus-gaap--FairValueAdjustmentOfW"/>
            <w:bookmarkEnd w:id="115"/>
          </w:p>
        </w:tc>
      </w:tr>
      <w:tr>
        <w:trPr/>
        <w:tc>
          <w:tcPr>
            <w:tcW w:w="6956" w:type="dxa"/>
            <w:tcBorders/>
            <w:shd w:fill="CCEEFF" w:val="clear"/>
            <w:vAlign w:val="center"/>
          </w:tcPr>
          <w:p>
            <w:pPr>
              <w:pStyle w:val="TableContents"/>
              <w:bidi w:val="0"/>
              <w:spacing w:before="0" w:after="283"/>
              <w:jc w:val="left"/>
              <w:rPr/>
            </w:pPr>
            <w:r>
              <w:rPr/>
              <w:t>Change in fair value of warranty liabilities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4,029</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4,179</w:t>
            </w:r>
          </w:p>
        </w:tc>
        <w:tc>
          <w:tcPr>
            <w:tcW w:w="114" w:type="dxa"/>
            <w:tcBorders/>
            <w:shd w:fill="CCEEFF" w:val="clear"/>
            <w:vAlign w:val="center"/>
          </w:tcPr>
          <w:p>
            <w:pPr>
              <w:pStyle w:val="TableContents"/>
              <w:bidi w:val="0"/>
              <w:spacing w:before="0" w:after="283"/>
              <w:jc w:val="left"/>
              <w:rPr/>
            </w:pPr>
            <w:r>
              <w:rPr/>
              <w:t> </w:t>
            </w:r>
            <w:bookmarkStart w:id="116" w:name="xdx_40B_eus-gaap--OtherNonoperatingIncom"/>
            <w:bookmarkEnd w:id="116"/>
          </w:p>
        </w:tc>
      </w:tr>
      <w:tr>
        <w:trPr/>
        <w:tc>
          <w:tcPr>
            <w:tcW w:w="6956"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14" w:type="dxa"/>
            <w:tcBorders/>
            <w:shd w:fill="FFFFFF" w:val="clear"/>
            <w:vAlign w:val="center"/>
          </w:tcPr>
          <w:p>
            <w:pPr>
              <w:pStyle w:val="TableContents"/>
              <w:bidi w:val="0"/>
              <w:spacing w:before="0" w:after="283"/>
              <w:jc w:val="left"/>
              <w:rPr/>
            </w:pPr>
            <w:r>
              <w:rPr/>
              <w:t>)</w:t>
            </w:r>
            <w:bookmarkStart w:id="117" w:name="xdx_408_eus-gaap--NonoperatingIncomeExpe"/>
            <w:bookmarkEnd w:id="117"/>
          </w:p>
        </w:tc>
      </w:tr>
      <w:tr>
        <w:trPr/>
        <w:tc>
          <w:tcPr>
            <w:tcW w:w="6956"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4,031</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4,256</w:t>
            </w:r>
          </w:p>
        </w:tc>
        <w:tc>
          <w:tcPr>
            <w:tcW w:w="114" w:type="dxa"/>
            <w:tcBorders/>
            <w:shd w:fill="CCEEFF" w:val="clear"/>
            <w:vAlign w:val="center"/>
          </w:tcPr>
          <w:p>
            <w:pPr>
              <w:pStyle w:val="TableContents"/>
              <w:bidi w:val="0"/>
              <w:spacing w:before="0" w:after="283"/>
              <w:jc w:val="left"/>
              <w:rPr/>
            </w:pPr>
            <w:r>
              <w:rPr/>
              <w:t> </w:t>
            </w:r>
            <w:bookmarkStart w:id="118" w:name="xdx_40D_eus-gaap--NetIncomeLoss_i01T_mtN"/>
            <w:bookmarkEnd w:id="118"/>
          </w:p>
        </w:tc>
      </w:tr>
      <w:tr>
        <w:trPr/>
        <w:tc>
          <w:tcPr>
            <w:tcW w:w="6956"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5" w:type="dxa"/>
            <w:tcBorders>
              <w:bottom w:val="double" w:sz="6" w:space="0" w:color="000000"/>
            </w:tcBorders>
            <w:shd w:fill="FFFFFF" w:val="clear"/>
            <w:tcMar>
              <w:bottom w:w="28" w:type="dxa"/>
            </w:tcMar>
            <w:vAlign w:val="center"/>
          </w:tcPr>
          <w:p>
            <w:pPr>
              <w:pStyle w:val="TableContents"/>
              <w:bidi w:val="0"/>
              <w:spacing w:before="0" w:after="283"/>
              <w:jc w:val="right"/>
              <w:rPr/>
            </w:pPr>
            <w:r>
              <w:rPr/>
              <w:t>109</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5" w:type="dxa"/>
            <w:tcBorders>
              <w:bottom w:val="double" w:sz="6" w:space="0" w:color="000000"/>
            </w:tcBorders>
            <w:shd w:fill="FFFFFF" w:val="clear"/>
            <w:tcMar>
              <w:bottom w:w="28" w:type="dxa"/>
            </w:tcMar>
            <w:vAlign w:val="center"/>
          </w:tcPr>
          <w:p>
            <w:pPr>
              <w:pStyle w:val="TableContents"/>
              <w:bidi w:val="0"/>
              <w:spacing w:before="0" w:after="283"/>
              <w:jc w:val="right"/>
              <w:rPr/>
            </w:pPr>
            <w:r>
              <w:rPr/>
              <w:t>117</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19" w:name="xdx_405_eus-gaap--PreferredStockDividend"/>
            <w:bookmarkEnd w:id="119"/>
          </w:p>
        </w:tc>
      </w:tr>
      <w:tr>
        <w:trPr/>
        <w:tc>
          <w:tcPr>
            <w:tcW w:w="6956" w:type="dxa"/>
            <w:tcBorders/>
            <w:shd w:fill="FFFFFF" w:val="clear"/>
            <w:vAlign w:val="center"/>
          </w:tcPr>
          <w:p>
            <w:pPr>
              <w:pStyle w:val="TableContents"/>
              <w:bidi w:val="0"/>
              <w:spacing w:before="0" w:after="283"/>
              <w:jc w:val="left"/>
              <w:rPr/>
            </w:pPr>
            <w:r>
              <w:rPr/>
              <w:t>Less: Convertible preferred stock dividends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FFFFFF" w:val="clear"/>
            <w:tcMar>
              <w:bottom w:w="28" w:type="dxa"/>
            </w:tcMar>
            <w:vAlign w:val="center"/>
          </w:tcPr>
          <w:p>
            <w:pPr>
              <w:pStyle w:val="TableContents"/>
              <w:bidi w:val="0"/>
              <w:spacing w:before="0" w:after="283"/>
              <w:jc w:val="right"/>
              <w:rPr/>
            </w:pPr>
            <w:r>
              <w:rPr/>
              <w:t>(164</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FFFFFF" w:val="clear"/>
            <w:tcMar>
              <w:bottom w:w="28" w:type="dxa"/>
            </w:tcMar>
            <w:vAlign w:val="center"/>
          </w:tcPr>
          <w:p>
            <w:pPr>
              <w:pStyle w:val="TableContents"/>
              <w:bidi w:val="0"/>
              <w:spacing w:before="0" w:after="283"/>
              <w:jc w:val="right"/>
              <w:rPr/>
            </w:pPr>
            <w:r>
              <w:rPr/>
              <w:t>(189</w:t>
            </w:r>
          </w:p>
        </w:tc>
        <w:tc>
          <w:tcPr>
            <w:tcW w:w="114" w:type="dxa"/>
            <w:tcBorders/>
            <w:shd w:fill="FFFFFF" w:val="clear"/>
            <w:vAlign w:val="center"/>
          </w:tcPr>
          <w:p>
            <w:pPr>
              <w:pStyle w:val="TableContents"/>
              <w:bidi w:val="0"/>
              <w:spacing w:before="0" w:after="283"/>
              <w:jc w:val="left"/>
              <w:rPr/>
            </w:pPr>
            <w:r>
              <w:rPr/>
              <w:t>)</w:t>
            </w:r>
            <w:bookmarkStart w:id="120" w:name="xdx_400_eus-gaap--NetIncomeLossAvailable"/>
            <w:bookmarkEnd w:id="120"/>
          </w:p>
        </w:tc>
      </w:tr>
      <w:tr>
        <w:trPr/>
        <w:tc>
          <w:tcPr>
            <w:tcW w:w="6956" w:type="dxa"/>
            <w:tcBorders/>
            <w:shd w:fill="CCEEFF" w:val="clear"/>
            <w:vAlign w:val="center"/>
          </w:tcPr>
          <w:p>
            <w:pPr>
              <w:pStyle w:val="TableContents"/>
              <w:bidi w:val="0"/>
              <w:spacing w:before="0" w:after="283"/>
              <w:jc w:val="left"/>
              <w:rPr>
                <w:b/>
              </w:rPr>
            </w:pPr>
            <w:r>
              <w:rPr>
                <w:b/>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pPr>
            <w:r>
              <w:rPr/>
              <w:t>(55</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pPr>
            <w:r>
              <w:rPr/>
              <w:t>(72</w:t>
            </w:r>
          </w:p>
        </w:tc>
        <w:tc>
          <w:tcPr>
            <w:tcW w:w="114" w:type="dxa"/>
            <w:tcBorders/>
            <w:shd w:fill="CCEEFF" w:val="clear"/>
            <w:vAlign w:val="center"/>
          </w:tcPr>
          <w:p>
            <w:pPr>
              <w:pStyle w:val="TableContents"/>
              <w:bidi w:val="0"/>
              <w:spacing w:before="0" w:after="283"/>
              <w:jc w:val="left"/>
              <w:rPr/>
            </w:pPr>
            <w:r>
              <w:rPr/>
              <w:t>)</w:t>
            </w:r>
          </w:p>
        </w:tc>
      </w:tr>
      <w:tr>
        <w:trPr/>
        <w:tc>
          <w:tcPr>
            <w:tcW w:w="69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pPr>
            <w:r>
              <w:rPr/>
              <w:t>Net loss per basic and diluted common share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1" w:name="xdx_903_eus-gaap--EarningsPerShareDilute"/>
            <w:bookmarkStart w:id="122" w:name="xdx_908_eus-gaap--EarningsPerShareBasic_"/>
            <w:bookmarkEnd w:id="121"/>
            <w:bookmarkEnd w:id="122"/>
            <w:r>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3" w:name="xdx_900_eus-gaap--EarningsPerShareDilute"/>
            <w:bookmarkStart w:id="124" w:name="xdx_901_eus-gaap--EarningsPerShareBasic_"/>
            <w:bookmarkEnd w:id="123"/>
            <w:bookmarkEnd w:id="124"/>
            <w:r>
              <w:rPr/>
              <w:t>-</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pPr>
            <w:r>
              <w:rPr/>
              <w:t>Weighted average common shares used to compute net loss per basic and diluted common share</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5" w:name="xdx_90D_eus-gaap--WeightedAverageNumberO"/>
            <w:bookmarkStart w:id="126" w:name="xdx_90F_eus-gaap--WeightedAverageNumberO"/>
            <w:bookmarkEnd w:id="125"/>
            <w:bookmarkEnd w:id="126"/>
            <w:r>
              <w:rPr/>
              <w:t>48,396,271</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7" w:name="xdx_90B_eus-gaap--WeightedAverageNumberO"/>
            <w:bookmarkStart w:id="128" w:name="xdx_902_eus-gaap--WeightedAverageNumberO"/>
            <w:bookmarkEnd w:id="127"/>
            <w:bookmarkEnd w:id="128"/>
            <w:r>
              <w:rPr/>
              <w:t>44,155,391</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29" w:name="xdx_40A_eus-gaap--ComprehensiveIncomeNet"/>
            <w:bookmarkEnd w:id="129"/>
          </w:p>
        </w:tc>
      </w:tr>
      <w:tr>
        <w:trPr/>
        <w:tc>
          <w:tcPr>
            <w:tcW w:w="6956"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30" w:name="xdx_404_eus-gaap--NetIncomeLossAvailable"/>
            <w:bookmarkEnd w:id="130"/>
          </w:p>
        </w:tc>
      </w:tr>
      <w:tr>
        <w:trPr/>
        <w:tc>
          <w:tcPr>
            <w:tcW w:w="695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(55</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(72</w:t>
            </w:r>
          </w:p>
        </w:tc>
        <w:tc>
          <w:tcPr>
            <w:tcW w:w="114" w:type="dxa"/>
            <w:tcBorders/>
            <w:shd w:fill="CCEEFF" w:val="clear"/>
            <w:vAlign w:val="center"/>
          </w:tcPr>
          <w:p>
            <w:pPr>
              <w:pStyle w:val="TableContents"/>
              <w:bidi w:val="0"/>
              <w:spacing w:before="0" w:after="283"/>
              <w:jc w:val="left"/>
              <w:rPr/>
            </w:pPr>
            <w:r>
              <w:rPr/>
              <w:t>)</w:t>
            </w:r>
            <w:bookmarkStart w:id="131" w:name="xdx_40E_eus-gaap--ComprehensiveIncomeNet"/>
            <w:bookmarkEnd w:id="131"/>
          </w:p>
        </w:tc>
      </w:tr>
      <w:tr>
        <w:trPr/>
        <w:tc>
          <w:tcPr>
            <w:tcW w:w="6956"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5" w:type="dxa"/>
            <w:tcBorders>
              <w:bottom w:val="double" w:sz="6" w:space="0" w:color="000000"/>
            </w:tcBorders>
            <w:shd w:fill="FFFFFF" w:val="clear"/>
            <w:tcMar>
              <w:bottom w:w="28" w:type="dxa"/>
            </w:tcMar>
            <w:vAlign w:val="center"/>
          </w:tcPr>
          <w:p>
            <w:pPr>
              <w:pStyle w:val="TableContents"/>
              <w:bidi w:val="0"/>
              <w:spacing w:before="0" w:after="283"/>
              <w:jc w:val="right"/>
              <w:rPr/>
            </w:pPr>
            <w:r>
              <w:rPr/>
              <w:t>(55</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5" w:type="dxa"/>
            <w:tcBorders>
              <w:bottom w:val="double" w:sz="6" w:space="0" w:color="000000"/>
            </w:tcBorders>
            <w:shd w:fill="FFFFFF" w:val="clear"/>
            <w:tcMar>
              <w:bottom w:w="28" w:type="dxa"/>
            </w:tcMar>
            <w:vAlign w:val="center"/>
          </w:tcPr>
          <w:p>
            <w:pPr>
              <w:pStyle w:val="TableContents"/>
              <w:bidi w:val="0"/>
              <w:spacing w:before="0" w:after="283"/>
              <w:jc w:val="right"/>
              <w:rPr/>
            </w:pPr>
            <w:r>
              <w:rPr/>
              <w:t>(72</w:t>
            </w:r>
          </w:p>
        </w:tc>
        <w:tc>
          <w:tcPr>
            <w:tcW w:w="11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interim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2" w:name="a_005"/>
      <w:bookmarkEnd w:id="132"/>
      <w:r>
        <w:rPr>
          <w:rFonts w:ascii="Times New Roman;Times;Serif" w:hAnsi="Times New Roman;Times;Serif"/>
          <w:b/>
          <w:i w:val="false"/>
          <w:caps w:val="false"/>
          <w:smallCaps w:val="false"/>
          <w:sz w:val="20"/>
        </w:rPr>
        <w:t>Wrap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Stockholders’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amounts)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3" w:name="xdx_306_114_pn3n3_zDWHnFzeDQOa"/>
      <w:bookmarkStart w:id="134" w:name="xdx_306_114_pn3n3_zDWHnFzeDQOa"/>
      <w:bookmarkEnd w:id="134"/>
    </w:p>
    <w:tbl>
      <w:tblPr>
        <w:tblW w:w="10205" w:type="dxa"/>
        <w:jc w:val="left"/>
        <w:tblInd w:w="0" w:type="dxa"/>
        <w:tblLayout w:type="fixed"/>
        <w:tblCellMar>
          <w:top w:w="0" w:type="dxa"/>
          <w:left w:w="0" w:type="dxa"/>
          <w:bottom w:w="0" w:type="dxa"/>
          <w:right w:w="0" w:type="dxa"/>
        </w:tblCellMar>
      </w:tblPr>
      <w:tblGrid>
        <w:gridCol w:w="1984"/>
        <w:gridCol w:w="60"/>
        <w:gridCol w:w="60"/>
        <w:gridCol w:w="1100"/>
        <w:gridCol w:w="60"/>
        <w:gridCol w:w="60"/>
        <w:gridCol w:w="261"/>
        <w:gridCol w:w="599"/>
        <w:gridCol w:w="60"/>
        <w:gridCol w:w="60"/>
        <w:gridCol w:w="68"/>
        <w:gridCol w:w="642"/>
        <w:gridCol w:w="95"/>
        <w:gridCol w:w="60"/>
        <w:gridCol w:w="512"/>
        <w:gridCol w:w="348"/>
        <w:gridCol w:w="60"/>
        <w:gridCol w:w="60"/>
        <w:gridCol w:w="174"/>
        <w:gridCol w:w="1005"/>
        <w:gridCol w:w="60"/>
        <w:gridCol w:w="60"/>
        <w:gridCol w:w="188"/>
        <w:gridCol w:w="1182"/>
        <w:gridCol w:w="95"/>
        <w:gridCol w:w="60"/>
        <w:gridCol w:w="156"/>
        <w:gridCol w:w="963"/>
        <w:gridCol w:w="113"/>
      </w:tblGrid>
      <w:tr>
        <w:trPr/>
        <w:tc>
          <w:tcPr>
            <w:tcW w:w="1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 w:name="xdx_4B2_us-gaap--StatementEquityComponen"/>
            <w:bookmarkEnd w:id="13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6" w:name="xdx_4B4_us-gaap--StatementEquityComponen"/>
            <w:bookmarkEnd w:id="13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 w:name="xdx_4B8_us-gaap--StatementEquityComponen"/>
            <w:bookmarkEnd w:id="137"/>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8" w:name="xdx_4BC_us-gaap--StatementEquityComponen"/>
            <w:bookmarkEnd w:id="138"/>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 w:name="xdx_4B5_zILPO9jGFO3i"/>
            <w:bookmarkEnd w:id="139"/>
          </w:p>
        </w:tc>
        <w:tc>
          <w:tcPr>
            <w:tcW w:w="11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3" w:type="dxa"/>
            <w:tcBorders/>
            <w:vAlign w:val="center"/>
          </w:tcPr>
          <w:p>
            <w:pPr>
              <w:pStyle w:val="TableContents"/>
              <w:bidi w:val="0"/>
              <w:spacing w:before="0" w:after="283"/>
              <w:jc w:val="left"/>
              <w:rPr/>
            </w:pPr>
            <w:r>
              <w:rPr/>
              <w:t> </w:t>
            </w:r>
          </w:p>
        </w:tc>
      </w:tr>
      <w:tr>
        <w:trPr/>
        <w:tc>
          <w:tcPr>
            <w:tcW w:w="1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3" w:type="dxa"/>
            <w:tcBorders/>
            <w:vAlign w:val="center"/>
          </w:tcPr>
          <w:p>
            <w:pPr>
              <w:pStyle w:val="TableContents"/>
              <w:bidi w:val="0"/>
              <w:spacing w:before="0" w:after="283"/>
              <w:jc w:val="left"/>
              <w:rPr/>
            </w:pPr>
            <w:r>
              <w:rPr/>
              <w:t> </w:t>
            </w:r>
          </w:p>
        </w:tc>
      </w:tr>
      <w:tr>
        <w:trPr/>
        <w:tc>
          <w:tcPr>
            <w:tcW w:w="1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3" w:type="dxa"/>
            <w:tcBorders/>
            <w:vAlign w:val="center"/>
          </w:tcPr>
          <w:p>
            <w:pPr>
              <w:pStyle w:val="TableContents"/>
              <w:bidi w:val="0"/>
              <w:spacing w:before="0" w:after="283"/>
              <w:jc w:val="left"/>
              <w:rPr/>
            </w:pPr>
            <w:r>
              <w:rPr/>
              <w:t> </w:t>
            </w:r>
            <w:bookmarkStart w:id="140" w:name="xdx_435_c20250101__20250331_eus-gaap--St"/>
            <w:bookmarkEnd w:id="140"/>
          </w:p>
        </w:tc>
      </w:tr>
      <w:tr>
        <w:trPr/>
        <w:tc>
          <w:tcPr>
            <w:tcW w:w="1984"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1" w:name="xdx_98E_eus-gaap--SharesOutstanding_iS_p"/>
            <w:bookmarkEnd w:id="141"/>
          </w:p>
        </w:tc>
        <w:tc>
          <w:tcPr>
            <w:tcW w:w="1100" w:type="dxa"/>
            <w:tcBorders/>
            <w:shd w:fill="CCEEFF" w:val="clear"/>
            <w:vAlign w:val="center"/>
          </w:tcPr>
          <w:p>
            <w:pPr>
              <w:pStyle w:val="TableContents"/>
              <w:bidi w:val="0"/>
              <w:spacing w:before="0" w:after="283"/>
              <w:jc w:val="right"/>
              <w:rPr/>
            </w:pPr>
            <w:r>
              <w:rPr/>
              <w:t>47,101,631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599" w:type="dxa"/>
            <w:tcBorders/>
            <w:shd w:fill="CCEEFF" w:val="clear"/>
            <w:vAlign w:val="center"/>
          </w:tcPr>
          <w:p>
            <w:pPr>
              <w:pStyle w:val="TableContents"/>
              <w:bidi w:val="0"/>
              <w:spacing w:before="0" w:after="283"/>
              <w:jc w:val="right"/>
              <w:rPr/>
            </w:pPr>
            <w:r>
              <w:rPr/>
              <w:t>   </w:t>
            </w: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42" w:name="xdx_986_eus-gaap--SharesOutstanding_iS_p"/>
            <w:bookmarkEnd w:id="142"/>
          </w:p>
        </w:tc>
        <w:tc>
          <w:tcPr>
            <w:tcW w:w="642" w:type="dxa"/>
            <w:tcBorders/>
            <w:shd w:fill="CCEEFF" w:val="clear"/>
            <w:vAlign w:val="center"/>
          </w:tcPr>
          <w:p>
            <w:pPr>
              <w:pStyle w:val="TableContents"/>
              <w:bidi w:val="0"/>
              <w:spacing w:before="0" w:after="283"/>
              <w:jc w:val="right"/>
              <w:rPr/>
            </w:pPr>
            <w:r>
              <w:rPr/>
              <w:t>8,207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5" w:type="dxa"/>
            <w:tcBorders/>
            <w:shd w:fill="CCEEFF" w:val="clear"/>
            <w:vAlign w:val="center"/>
          </w:tcPr>
          <w:p>
            <w:pPr>
              <w:pStyle w:val="TableContents"/>
              <w:bidi w:val="0"/>
              <w:spacing w:before="0" w:after="283"/>
              <w:jc w:val="right"/>
              <w:rPr/>
            </w:pPr>
            <w:r>
              <w:rPr/>
              <w:t>105,326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(105,081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        </w:t>
            </w:r>
            <w:r>
              <w:rPr/>
              <w:t>250</w:t>
            </w:r>
          </w:p>
        </w:tc>
        <w:tc>
          <w:tcPr>
            <w:tcW w:w="113" w:type="dxa"/>
            <w:tcBorders/>
            <w:shd w:fill="CCEEFF" w:val="clear"/>
            <w:vAlign w:val="center"/>
          </w:tcPr>
          <w:p>
            <w:pPr>
              <w:pStyle w:val="TableContents"/>
              <w:bidi w:val="0"/>
              <w:spacing w:before="0" w:after="283"/>
              <w:jc w:val="left"/>
              <w:rPr/>
            </w:pPr>
            <w:r>
              <w:rPr/>
              <w:t> </w:t>
            </w:r>
          </w:p>
        </w:tc>
      </w:tr>
      <w:tr>
        <w:trPr/>
        <w:tc>
          <w:tcPr>
            <w:tcW w:w="19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3" w:name="xdx_403_eus-gaap--AdjustmentsToAdditiona"/>
            <w:bookmarkEnd w:id="143"/>
          </w:p>
        </w:tc>
      </w:tr>
      <w:tr>
        <w:trPr/>
        <w:tc>
          <w:tcPr>
            <w:tcW w:w="1984"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1,665</w:t>
            </w:r>
          </w:p>
        </w:tc>
        <w:tc>
          <w:tcPr>
            <w:tcW w:w="113" w:type="dxa"/>
            <w:tcBorders/>
            <w:shd w:fill="CCEEFF" w:val="clear"/>
            <w:vAlign w:val="center"/>
          </w:tcPr>
          <w:p>
            <w:pPr>
              <w:pStyle w:val="TableContents"/>
              <w:bidi w:val="0"/>
              <w:spacing w:before="0" w:after="283"/>
              <w:jc w:val="left"/>
              <w:rPr/>
            </w:pPr>
            <w:r>
              <w:rPr/>
              <w:t> </w:t>
            </w:r>
            <w:bookmarkStart w:id="144" w:name="xdx_404_ecustom--StockIssuedDuringPeriod"/>
            <w:bookmarkEnd w:id="144"/>
          </w:p>
        </w:tc>
      </w:tr>
      <w:tr>
        <w:trPr/>
        <w:tc>
          <w:tcPr>
            <w:tcW w:w="1984" w:type="dxa"/>
            <w:tcBorders/>
            <w:shd w:fill="FFFFFF" w:val="clear"/>
            <w:vAlign w:val="center"/>
          </w:tcPr>
          <w:p>
            <w:pPr>
              <w:pStyle w:val="TableContents"/>
              <w:bidi w:val="0"/>
              <w:spacing w:before="0" w:after="283"/>
              <w:jc w:val="left"/>
              <w:rPr/>
            </w:pPr>
            <w:r>
              <w:rPr/>
              <w:t>Dividends on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5" w:name="xdx_982_ecustom--StockIssuedDuringPeriod"/>
            <w:bookmarkEnd w:id="145"/>
          </w:p>
        </w:tc>
        <w:tc>
          <w:tcPr>
            <w:tcW w:w="1100" w:type="dxa"/>
            <w:tcBorders/>
            <w:shd w:fill="FFFFFF" w:val="clear"/>
            <w:vAlign w:val="center"/>
          </w:tcPr>
          <w:p>
            <w:pPr>
              <w:pStyle w:val="TableContents"/>
              <w:bidi w:val="0"/>
              <w:spacing w:before="0" w:after="283"/>
              <w:jc w:val="right"/>
              <w:rPr/>
            </w:pPr>
            <w:r>
              <w:rPr/>
              <w:t>113,205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46" w:name="xdx_408_ecustom--StockIssuedDuringPeriod"/>
            <w:bookmarkEnd w:id="146"/>
          </w:p>
        </w:tc>
      </w:tr>
      <w:tr>
        <w:trPr/>
        <w:tc>
          <w:tcPr>
            <w:tcW w:w="1984" w:type="dxa"/>
            <w:tcBorders/>
            <w:shd w:fill="CCEEFF" w:val="clear"/>
            <w:vAlign w:val="center"/>
          </w:tcPr>
          <w:p>
            <w:pPr>
              <w:pStyle w:val="TableContents"/>
              <w:bidi w:val="0"/>
              <w:spacing w:before="0" w:after="283"/>
              <w:jc w:val="left"/>
              <w:rPr/>
            </w:pPr>
            <w:r>
              <w:rPr/>
              <w:t>Common Stock issued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7" w:name="xdx_98F_ecustom--StockIssuedDuringPeriod"/>
            <w:bookmarkEnd w:id="147"/>
          </w:p>
        </w:tc>
        <w:tc>
          <w:tcPr>
            <w:tcW w:w="1100" w:type="dxa"/>
            <w:tcBorders/>
            <w:shd w:fill="CCEEFF" w:val="clear"/>
            <w:vAlign w:val="center"/>
          </w:tcPr>
          <w:p>
            <w:pPr>
              <w:pStyle w:val="TableContents"/>
              <w:bidi w:val="0"/>
              <w:spacing w:before="0" w:after="283"/>
              <w:jc w:val="right"/>
              <w:rPr/>
            </w:pPr>
            <w:r>
              <w:rPr/>
              <w:t>63,199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48" w:name="xdx_408_eus-gaap--StockIssuedDuringPerio"/>
            <w:bookmarkEnd w:id="148"/>
          </w:p>
        </w:tc>
      </w:tr>
      <w:tr>
        <w:trPr/>
        <w:tc>
          <w:tcPr>
            <w:tcW w:w="1984" w:type="dxa"/>
            <w:tcBorders/>
            <w:shd w:fill="FFFFFF" w:val="clear"/>
            <w:vAlign w:val="center"/>
          </w:tcPr>
          <w:p>
            <w:pPr>
              <w:pStyle w:val="TableContents"/>
              <w:bidi w:val="0"/>
              <w:spacing w:before="0" w:after="283"/>
              <w:jc w:val="left"/>
              <w:rPr/>
            </w:pPr>
            <w:r>
              <w:rPr/>
              <w:t>Common Stock issued with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9" w:name="xdx_985_eus-gaap--StockIssuedDuringPerio"/>
            <w:bookmarkEnd w:id="149"/>
          </w:p>
        </w:tc>
        <w:tc>
          <w:tcPr>
            <w:tcW w:w="1100" w:type="dxa"/>
            <w:tcBorders/>
            <w:shd w:fill="FFFFFF" w:val="clear"/>
            <w:vAlign w:val="center"/>
          </w:tcPr>
          <w:p>
            <w:pPr>
              <w:pStyle w:val="TableContents"/>
              <w:bidi w:val="0"/>
              <w:spacing w:before="0" w:after="283"/>
              <w:jc w:val="right"/>
              <w:rPr/>
            </w:pPr>
            <w:r>
              <w:rPr/>
              <w:t>3,216,666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543</w:t>
            </w:r>
          </w:p>
        </w:tc>
        <w:tc>
          <w:tcPr>
            <w:tcW w:w="113" w:type="dxa"/>
            <w:tcBorders/>
            <w:shd w:fill="FFFFFF" w:val="clear"/>
            <w:vAlign w:val="center"/>
          </w:tcPr>
          <w:p>
            <w:pPr>
              <w:pStyle w:val="TableContents"/>
              <w:bidi w:val="0"/>
              <w:spacing w:before="0" w:after="283"/>
              <w:jc w:val="left"/>
              <w:rPr/>
            </w:pPr>
            <w:r>
              <w:rPr/>
              <w:t> </w:t>
            </w:r>
            <w:bookmarkStart w:id="150" w:name="xdx_40D_eus-gaap--NetIncomeLoss_zTXlSSmq"/>
            <w:bookmarkEnd w:id="150"/>
          </w:p>
        </w:tc>
      </w:tr>
      <w:tr>
        <w:trPr/>
        <w:tc>
          <w:tcPr>
            <w:tcW w:w="1984" w:type="dxa"/>
            <w:tcBorders/>
            <w:shd w:fill="CCEEFF" w:val="clear"/>
            <w:vAlign w:val="center"/>
          </w:tcPr>
          <w:p>
            <w:pPr>
              <w:pStyle w:val="TableContents"/>
              <w:bidi w:val="0"/>
              <w:spacing w:before="0" w:after="283"/>
              <w:jc w:val="left"/>
              <w:rPr/>
            </w:pPr>
            <w:r>
              <w:rPr/>
              <w:t>Net income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8" w:space="0" w:color="000000"/>
            </w:tcBorders>
            <w:shd w:fill="CCEEFF" w:val="clear"/>
            <w:tcMar>
              <w:bottom w:w="28" w:type="dxa"/>
            </w:tcMar>
            <w:vAlign w:val="center"/>
          </w:tcPr>
          <w:p>
            <w:pPr>
              <w:pStyle w:val="TableContents"/>
              <w:bidi w:val="0"/>
              <w:spacing w:before="0" w:after="283"/>
              <w:jc w:val="right"/>
              <w:rPr/>
            </w:pPr>
            <w:r>
              <w:rPr/>
              <w:t>109</w:t>
            </w:r>
          </w:p>
        </w:tc>
        <w:tc>
          <w:tcPr>
            <w:tcW w:w="113" w:type="dxa"/>
            <w:tcBorders/>
            <w:shd w:fill="CCEEFF" w:val="clear"/>
            <w:vAlign w:val="center"/>
          </w:tcPr>
          <w:p>
            <w:pPr>
              <w:pStyle w:val="TableContents"/>
              <w:bidi w:val="0"/>
              <w:spacing w:before="0" w:after="283"/>
              <w:jc w:val="left"/>
              <w:rPr/>
            </w:pPr>
            <w:r>
              <w:rPr/>
              <w:t> </w:t>
            </w:r>
            <w:bookmarkStart w:id="151" w:name="xdx_43E_c20250101__20250331_eus-gaap--St"/>
            <w:bookmarkEnd w:id="151"/>
          </w:p>
        </w:tc>
      </w:tr>
      <w:tr>
        <w:trPr/>
        <w:tc>
          <w:tcPr>
            <w:tcW w:w="1984" w:type="dxa"/>
            <w:tcBorders/>
            <w:shd w:fill="FFFFFF" w:val="clear"/>
            <w:vAlign w:val="center"/>
          </w:tcPr>
          <w:p>
            <w:pPr>
              <w:pStyle w:val="TableContents"/>
              <w:bidi w:val="0"/>
              <w:spacing w:before="0" w:after="283"/>
              <w:jc w:val="left"/>
              <w:rPr>
                <w:b/>
              </w:rPr>
            </w:pPr>
            <w:r>
              <w:rPr>
                <w:b/>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2" w:name="xdx_988_eus-gaap--SharesOutstanding_iE_p"/>
            <w:bookmarkEnd w:id="152"/>
          </w:p>
        </w:tc>
        <w:tc>
          <w:tcPr>
            <w:tcW w:w="1100" w:type="dxa"/>
            <w:tcBorders/>
            <w:shd w:fill="FFFFFF" w:val="clear"/>
            <w:vAlign w:val="center"/>
          </w:tcPr>
          <w:p>
            <w:pPr>
              <w:pStyle w:val="TableContents"/>
              <w:bidi w:val="0"/>
              <w:spacing w:before="0" w:after="283"/>
              <w:jc w:val="right"/>
              <w:rPr>
                <w:b/>
              </w:rPr>
            </w:pPr>
            <w:r>
              <w:rPr>
                <w:b/>
              </w:rPr>
              <w:t>50,494,701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b/>
              </w:rPr>
            </w:pPr>
            <w:r>
              <w:rPr>
                <w:b/>
              </w:rPr>
              <w:t>$</w:t>
            </w:r>
          </w:p>
        </w:tc>
        <w:tc>
          <w:tcPr>
            <w:tcW w:w="599" w:type="dxa"/>
            <w:tcBorders/>
            <w:shd w:fill="FFFFFF" w:val="cle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53" w:name="xdx_98D_eus-gaap--SharesOutstanding_iE_p"/>
            <w:bookmarkEnd w:id="153"/>
          </w:p>
        </w:tc>
        <w:tc>
          <w:tcPr>
            <w:tcW w:w="642" w:type="dxa"/>
            <w:tcBorders/>
            <w:shd w:fill="FFFFFF" w:val="clear"/>
            <w:vAlign w:val="center"/>
          </w:tcPr>
          <w:p>
            <w:pPr>
              <w:pStyle w:val="TableContents"/>
              <w:bidi w:val="0"/>
              <w:spacing w:before="0" w:after="283"/>
              <w:jc w:val="right"/>
              <w:rPr>
                <w:b/>
              </w:rPr>
            </w:pPr>
            <w:r>
              <w:rPr>
                <w:b/>
              </w:rPr>
              <w:t>8,207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b/>
              </w:rPr>
            </w:pPr>
            <w:r>
              <w:rPr>
                <w:b/>
              </w:rPr>
              <w:t>$</w:t>
            </w:r>
          </w:p>
        </w:tc>
        <w:tc>
          <w:tcPr>
            <w:tcW w:w="348"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b/>
              </w:rPr>
            </w:pPr>
            <w:r>
              <w:rPr>
                <w:b/>
              </w:rPr>
              <w:t>$</w:t>
            </w:r>
          </w:p>
        </w:tc>
        <w:tc>
          <w:tcPr>
            <w:tcW w:w="1005" w:type="dxa"/>
            <w:tcBorders/>
            <w:shd w:fill="FFFFFF" w:val="clear"/>
            <w:vAlign w:val="center"/>
          </w:tcPr>
          <w:p>
            <w:pPr>
              <w:pStyle w:val="TableContents"/>
              <w:bidi w:val="0"/>
              <w:spacing w:before="0" w:after="283"/>
              <w:jc w:val="right"/>
              <w:rPr>
                <w:b/>
              </w:rPr>
            </w:pPr>
            <w:r>
              <w:rPr>
                <w:b/>
              </w:rPr>
              <w:t>107,698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(105,136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b/>
              </w:rPr>
            </w:pPr>
            <w:r>
              <w:rPr>
                <w:b/>
              </w:rPr>
              <w:t>$</w:t>
            </w:r>
          </w:p>
        </w:tc>
        <w:tc>
          <w:tcPr>
            <w:tcW w:w="963" w:type="dxa"/>
            <w:tcBorders/>
            <w:shd w:fill="FFFFFF" w:val="clear"/>
            <w:vAlign w:val="center"/>
          </w:tcPr>
          <w:p>
            <w:pPr>
              <w:pStyle w:val="TableContents"/>
              <w:bidi w:val="0"/>
              <w:spacing w:before="0" w:after="283"/>
              <w:jc w:val="right"/>
              <w:rPr>
                <w:b/>
              </w:rPr>
            </w:pPr>
            <w:r>
              <w:rPr>
                <w:b/>
              </w:rPr>
              <w:t>2,567</w:t>
            </w:r>
          </w:p>
        </w:tc>
        <w:tc>
          <w:tcPr>
            <w:tcW w:w="113" w:type="dxa"/>
            <w:tcBorders/>
            <w:shd w:fill="FFFFFF" w:val="clear"/>
            <w:vAlign w:val="center"/>
          </w:tcPr>
          <w:p>
            <w:pPr>
              <w:pStyle w:val="TableContents"/>
              <w:bidi w:val="0"/>
              <w:spacing w:before="0" w:after="283"/>
              <w:jc w:val="left"/>
              <w:rPr/>
            </w:pPr>
            <w:r>
              <w:rPr/>
              <w:t> </w:t>
            </w:r>
          </w:p>
        </w:tc>
      </w:tr>
      <w:tr>
        <w:trPr/>
        <w:tc>
          <w:tcPr>
            <w:tcW w:w="19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4" w:name="xdx_433_c20240101__20240331_eus-gaap--St"/>
            <w:bookmarkEnd w:id="154"/>
          </w:p>
        </w:tc>
      </w:tr>
      <w:tr>
        <w:trPr/>
        <w:tc>
          <w:tcPr>
            <w:tcW w:w="1984" w:type="dxa"/>
            <w:tcBorders/>
            <w:shd w:fill="FFFFFF" w:val="clear"/>
            <w:vAlign w:val="center"/>
          </w:tcPr>
          <w:p>
            <w:pPr>
              <w:pStyle w:val="TableContents"/>
              <w:bidi w:val="0"/>
              <w:spacing w:before="0" w:after="283"/>
              <w:jc w:val="left"/>
              <w:rPr>
                <w:b/>
              </w:rPr>
            </w:pPr>
            <w:r>
              <w:rPr>
                <w:b/>
              </w:rPr>
              <w:t>Balance at January 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5" w:name="xdx_981_eus-gaap--SharesOutstanding_iS_p"/>
            <w:bookmarkEnd w:id="155"/>
          </w:p>
        </w:tc>
        <w:tc>
          <w:tcPr>
            <w:tcW w:w="1100" w:type="dxa"/>
            <w:tcBorders/>
            <w:shd w:fill="FFFFFF" w:val="clear"/>
            <w:vAlign w:val="center"/>
          </w:tcPr>
          <w:p>
            <w:pPr>
              <w:pStyle w:val="TableContents"/>
              <w:bidi w:val="0"/>
              <w:spacing w:before="0" w:after="283"/>
              <w:jc w:val="right"/>
              <w:rPr/>
            </w:pPr>
            <w:r>
              <w:rPr/>
              <w:t>43,855,503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w:t>
            </w:r>
          </w:p>
        </w:tc>
        <w:tc>
          <w:tcPr>
            <w:tcW w:w="599"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56" w:name="xdx_989_eus-gaap--SharesOutstanding_iS_p"/>
            <w:bookmarkEnd w:id="156"/>
          </w:p>
        </w:tc>
        <w:tc>
          <w:tcPr>
            <w:tcW w:w="642" w:type="dxa"/>
            <w:tcBorders/>
            <w:shd w:fill="FFFFFF" w:val="clear"/>
            <w:vAlign w:val="center"/>
          </w:tcPr>
          <w:p>
            <w:pPr>
              <w:pStyle w:val="TableContents"/>
              <w:bidi w:val="0"/>
              <w:spacing w:before="0" w:after="283"/>
              <w:jc w:val="right"/>
              <w:rPr/>
            </w:pPr>
            <w:r>
              <w:rPr/>
              <w:t>9,898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1005" w:type="dxa"/>
            <w:tcBorders/>
            <w:shd w:fill="FFFFFF" w:val="clear"/>
            <w:vAlign w:val="center"/>
          </w:tcPr>
          <w:p>
            <w:pPr>
              <w:pStyle w:val="TableContents"/>
              <w:bidi w:val="0"/>
              <w:spacing w:before="0" w:after="283"/>
              <w:jc w:val="right"/>
              <w:rPr/>
            </w:pPr>
            <w:r>
              <w:rPr/>
              <w:t>101,147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182" w:type="dxa"/>
            <w:tcBorders/>
            <w:shd w:fill="FFFFFF" w:val="clear"/>
            <w:vAlign w:val="center"/>
          </w:tcPr>
          <w:p>
            <w:pPr>
              <w:pStyle w:val="TableContents"/>
              <w:bidi w:val="0"/>
              <w:spacing w:before="0" w:after="283"/>
              <w:jc w:val="right"/>
              <w:rPr/>
            </w:pPr>
            <w:r>
              <w:rPr/>
              <w:t>(97,988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963" w:type="dxa"/>
            <w:tcBorders/>
            <w:shd w:fill="FFFFFF" w:val="clear"/>
            <w:vAlign w:val="center"/>
          </w:tcPr>
          <w:p>
            <w:pPr>
              <w:pStyle w:val="TableContents"/>
              <w:bidi w:val="0"/>
              <w:spacing w:before="0" w:after="283"/>
              <w:jc w:val="right"/>
              <w:rPr/>
            </w:pPr>
            <w:r>
              <w:rPr/>
              <w:t>3,163</w:t>
            </w:r>
          </w:p>
        </w:tc>
        <w:tc>
          <w:tcPr>
            <w:tcW w:w="113" w:type="dxa"/>
            <w:tcBorders/>
            <w:shd w:fill="FFFFFF" w:val="clear"/>
            <w:vAlign w:val="center"/>
          </w:tcPr>
          <w:p>
            <w:pPr>
              <w:pStyle w:val="TableContents"/>
              <w:bidi w:val="0"/>
              <w:spacing w:before="0" w:after="283"/>
              <w:jc w:val="left"/>
              <w:rPr/>
            </w:pPr>
            <w:r>
              <w:rPr/>
              <w:t> </w:t>
            </w:r>
            <w:bookmarkStart w:id="157" w:name="xdx_43D_c20240101__20240331_eus-gaap--St"/>
            <w:bookmarkEnd w:id="157"/>
          </w:p>
        </w:tc>
      </w:tr>
      <w:tr>
        <w:trPr/>
        <w:tc>
          <w:tcPr>
            <w:tcW w:w="1984"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8" w:name="xdx_983_eus-gaap--SharesOutstanding_iS_p"/>
            <w:bookmarkEnd w:id="158"/>
          </w:p>
        </w:tc>
        <w:tc>
          <w:tcPr>
            <w:tcW w:w="1100" w:type="dxa"/>
            <w:tcBorders/>
            <w:shd w:fill="CCEEFF" w:val="clear"/>
            <w:vAlign w:val="center"/>
          </w:tcPr>
          <w:p>
            <w:pPr>
              <w:pStyle w:val="TableContents"/>
              <w:bidi w:val="0"/>
              <w:spacing w:before="0" w:after="283"/>
              <w:jc w:val="right"/>
              <w:rPr/>
            </w:pPr>
            <w:r>
              <w:rPr/>
              <w:t>43,855,503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599"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59" w:name="xdx_981_eus-gaap--SharesOutstanding_iS_p"/>
            <w:bookmarkEnd w:id="159"/>
          </w:p>
        </w:tc>
        <w:tc>
          <w:tcPr>
            <w:tcW w:w="642" w:type="dxa"/>
            <w:tcBorders/>
            <w:shd w:fill="CCEEFF" w:val="clear"/>
            <w:vAlign w:val="center"/>
          </w:tcPr>
          <w:p>
            <w:pPr>
              <w:pStyle w:val="TableContents"/>
              <w:bidi w:val="0"/>
              <w:spacing w:before="0" w:after="283"/>
              <w:jc w:val="right"/>
              <w:rPr/>
            </w:pPr>
            <w:r>
              <w:rPr/>
              <w:t>9,898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5" w:type="dxa"/>
            <w:tcBorders/>
            <w:shd w:fill="CCEEFF" w:val="clear"/>
            <w:vAlign w:val="center"/>
          </w:tcPr>
          <w:p>
            <w:pPr>
              <w:pStyle w:val="TableContents"/>
              <w:bidi w:val="0"/>
              <w:spacing w:before="0" w:after="283"/>
              <w:jc w:val="right"/>
              <w:rPr/>
            </w:pPr>
            <w:r>
              <w:rPr/>
              <w:t>101,147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(97,988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3,163</w:t>
            </w:r>
          </w:p>
        </w:tc>
        <w:tc>
          <w:tcPr>
            <w:tcW w:w="113" w:type="dxa"/>
            <w:tcBorders/>
            <w:shd w:fill="CCEEFF" w:val="clear"/>
            <w:vAlign w:val="center"/>
          </w:tcPr>
          <w:p>
            <w:pPr>
              <w:pStyle w:val="TableContents"/>
              <w:bidi w:val="0"/>
              <w:spacing w:before="0" w:after="283"/>
              <w:jc w:val="left"/>
              <w:rPr/>
            </w:pPr>
            <w:r>
              <w:rPr/>
              <w:t> </w:t>
            </w:r>
            <w:bookmarkStart w:id="160" w:name="xdx_403_eus-gaap--StockIssuedDuringPerio"/>
            <w:bookmarkEnd w:id="160"/>
          </w:p>
        </w:tc>
      </w:tr>
      <w:tr>
        <w:trPr/>
        <w:tc>
          <w:tcPr>
            <w:tcW w:w="1984" w:type="dxa"/>
            <w:tcBorders/>
            <w:shd w:fill="FFFFFF" w:val="clear"/>
            <w:vAlign w:val="center"/>
          </w:tcPr>
          <w:p>
            <w:pPr>
              <w:pStyle w:val="TableContents"/>
              <w:bidi w:val="0"/>
              <w:spacing w:before="0" w:after="283"/>
              <w:jc w:val="left"/>
              <w:rPr/>
            </w:pPr>
            <w:r>
              <w:rPr/>
              <w:t>Common Stock issued upon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1" w:name="xdx_988_eus-gaap--StockIssuedDuringPerio"/>
            <w:bookmarkEnd w:id="161"/>
          </w:p>
        </w:tc>
        <w:tc>
          <w:tcPr>
            <w:tcW w:w="1100" w:type="dxa"/>
            <w:tcBorders/>
            <w:shd w:fill="FFFFFF" w:val="clear"/>
            <w:vAlign w:val="center"/>
          </w:tcPr>
          <w:p>
            <w:pPr>
              <w:pStyle w:val="TableContents"/>
              <w:bidi w:val="0"/>
              <w:spacing w:before="0" w:after="283"/>
              <w:jc w:val="right"/>
              <w:rPr/>
            </w:pPr>
            <w:r>
              <w:rPr/>
              <w:t>232,081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588</w:t>
            </w:r>
          </w:p>
        </w:tc>
        <w:tc>
          <w:tcPr>
            <w:tcW w:w="113" w:type="dxa"/>
            <w:tcBorders/>
            <w:shd w:fill="FFFFFF" w:val="clear"/>
            <w:vAlign w:val="center"/>
          </w:tcPr>
          <w:p>
            <w:pPr>
              <w:pStyle w:val="TableContents"/>
              <w:bidi w:val="0"/>
              <w:spacing w:before="0" w:after="283"/>
              <w:jc w:val="left"/>
              <w:rPr/>
            </w:pPr>
            <w:r>
              <w:rPr/>
              <w:t> </w:t>
            </w:r>
            <w:bookmarkStart w:id="162" w:name="xdx_408_eus-gaap--AdjustmentsToAdditiona"/>
            <w:bookmarkEnd w:id="162"/>
          </w:p>
        </w:tc>
      </w:tr>
      <w:tr>
        <w:trPr/>
        <w:tc>
          <w:tcPr>
            <w:tcW w:w="1984"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675</w:t>
            </w:r>
          </w:p>
        </w:tc>
        <w:tc>
          <w:tcPr>
            <w:tcW w:w="113" w:type="dxa"/>
            <w:tcBorders/>
            <w:shd w:fill="CCEEFF" w:val="clear"/>
            <w:vAlign w:val="center"/>
          </w:tcPr>
          <w:p>
            <w:pPr>
              <w:pStyle w:val="TableContents"/>
              <w:bidi w:val="0"/>
              <w:spacing w:before="0" w:after="283"/>
              <w:jc w:val="left"/>
              <w:rPr/>
            </w:pPr>
            <w:r>
              <w:rPr/>
              <w:t> </w:t>
            </w:r>
            <w:bookmarkStart w:id="163" w:name="xdx_405_ecustom--StockIssuedDuringPeriod"/>
            <w:bookmarkEnd w:id="163"/>
          </w:p>
        </w:tc>
      </w:tr>
      <w:tr>
        <w:trPr/>
        <w:tc>
          <w:tcPr>
            <w:tcW w:w="1984" w:type="dxa"/>
            <w:tcBorders/>
            <w:shd w:fill="FFFFFF" w:val="clear"/>
            <w:vAlign w:val="center"/>
          </w:tcPr>
          <w:p>
            <w:pPr>
              <w:pStyle w:val="TableContents"/>
              <w:bidi w:val="0"/>
              <w:spacing w:before="0" w:after="283"/>
              <w:jc w:val="left"/>
              <w:rPr/>
            </w:pPr>
            <w:r>
              <w:rPr/>
              <w:t>Dividends on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 w:name="xdx_984_ecustom--StockIssuedDuringPeriod"/>
            <w:bookmarkEnd w:id="164"/>
          </w:p>
        </w:tc>
        <w:tc>
          <w:tcPr>
            <w:tcW w:w="1100" w:type="dxa"/>
            <w:tcBorders/>
            <w:shd w:fill="FFFFFF" w:val="clear"/>
            <w:vAlign w:val="center"/>
          </w:tcPr>
          <w:p>
            <w:pPr>
              <w:pStyle w:val="TableContents"/>
              <w:bidi w:val="0"/>
              <w:spacing w:before="0" w:after="283"/>
              <w:jc w:val="right"/>
              <w:rPr/>
            </w:pPr>
            <w:r>
              <w:rPr/>
              <w:t>128,233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(60</w:t>
            </w:r>
          </w:p>
        </w:tc>
        <w:tc>
          <w:tcPr>
            <w:tcW w:w="113" w:type="dxa"/>
            <w:tcBorders/>
            <w:shd w:fill="FFFFFF" w:val="clear"/>
            <w:vAlign w:val="center"/>
          </w:tcPr>
          <w:p>
            <w:pPr>
              <w:pStyle w:val="TableContents"/>
              <w:bidi w:val="0"/>
              <w:spacing w:before="0" w:after="283"/>
              <w:jc w:val="left"/>
              <w:rPr/>
            </w:pPr>
            <w:r>
              <w:rPr/>
              <w:t>)</w:t>
            </w:r>
            <w:bookmarkStart w:id="165" w:name="xdx_40A_eus-gaap--StockIssuedDuringPerio"/>
            <w:bookmarkEnd w:id="165"/>
          </w:p>
        </w:tc>
      </w:tr>
      <w:tr>
        <w:trPr/>
        <w:tc>
          <w:tcPr>
            <w:tcW w:w="1984" w:type="dxa"/>
            <w:tcBorders/>
            <w:shd w:fill="CCEEFF" w:val="clear"/>
            <w:vAlign w:val="center"/>
          </w:tcPr>
          <w:p>
            <w:pPr>
              <w:pStyle w:val="TableContents"/>
              <w:bidi w:val="0"/>
              <w:spacing w:before="0" w:after="283"/>
              <w:jc w:val="left"/>
              <w:rPr/>
            </w:pPr>
            <w:r>
              <w:rPr/>
              <w:t>Common Stock issued upon convertible preferred stock exercising conversion rights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7_eus-gaap--StockIssuedDuringPerio"/>
            <w:bookmarkEnd w:id="166"/>
          </w:p>
        </w:tc>
        <w:tc>
          <w:tcPr>
            <w:tcW w:w="1100" w:type="dxa"/>
            <w:tcBorders/>
            <w:shd w:fill="CCEEFF" w:val="clear"/>
            <w:vAlign w:val="center"/>
          </w:tcPr>
          <w:p>
            <w:pPr>
              <w:pStyle w:val="TableContents"/>
              <w:bidi w:val="0"/>
              <w:spacing w:before="0" w:after="283"/>
              <w:jc w:val="right"/>
              <w:rPr/>
            </w:pPr>
            <w:r>
              <w:rPr/>
              <w:t>74,484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67" w:name="xdx_98A_eus-gaap--StockIssuedDuringPerio"/>
            <w:bookmarkEnd w:id="167"/>
          </w:p>
        </w:tc>
        <w:tc>
          <w:tcPr>
            <w:tcW w:w="642"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68" w:name="xdx_401_ecustom--StockIssuedDuringPeriod"/>
            <w:bookmarkEnd w:id="168"/>
          </w:p>
        </w:tc>
      </w:tr>
      <w:tr>
        <w:trPr/>
        <w:tc>
          <w:tcPr>
            <w:tcW w:w="1984" w:type="dxa"/>
            <w:tcBorders/>
            <w:shd w:fill="FFFFFF" w:val="clear"/>
            <w:vAlign w:val="center"/>
          </w:tcPr>
          <w:p>
            <w:pPr>
              <w:pStyle w:val="TableContents"/>
              <w:bidi w:val="0"/>
              <w:spacing w:before="0" w:after="283"/>
              <w:jc w:val="left"/>
              <w:rPr/>
            </w:pPr>
            <w:r>
              <w:rPr/>
              <w:t>Common Stock issued upon 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9" w:name="xdx_984_ecustom--StockIssuedDuringPeriod"/>
            <w:bookmarkEnd w:id="169"/>
          </w:p>
        </w:tc>
        <w:tc>
          <w:tcPr>
            <w:tcW w:w="1100" w:type="dxa"/>
            <w:tcBorders/>
            <w:shd w:fill="FFFFFF" w:val="clear"/>
            <w:vAlign w:val="center"/>
          </w:tcPr>
          <w:p>
            <w:pPr>
              <w:pStyle w:val="TableContents"/>
              <w:bidi w:val="0"/>
              <w:spacing w:before="0" w:after="283"/>
              <w:jc w:val="right"/>
              <w:rPr/>
            </w:pPr>
            <w:r>
              <w:rPr/>
              <w:t>82,806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70" w:name="xdx_404_eus-gaap--NetIncomeLoss_zaukk97l"/>
            <w:bookmarkEnd w:id="170"/>
          </w:p>
        </w:tc>
      </w:tr>
      <w:tr>
        <w:trPr/>
        <w:tc>
          <w:tcPr>
            <w:tcW w:w="1984" w:type="dxa"/>
            <w:tcBorders/>
            <w:shd w:fill="CCEEFF" w:val="clear"/>
            <w:vAlign w:val="center"/>
          </w:tcPr>
          <w:p>
            <w:pPr>
              <w:pStyle w:val="TableContents"/>
              <w:bidi w:val="0"/>
              <w:spacing w:before="0" w:after="283"/>
              <w:jc w:val="left"/>
              <w:rPr/>
            </w:pPr>
            <w:r>
              <w:rPr/>
              <w:t>Net income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8" w:space="0" w:color="000000"/>
            </w:tcBorders>
            <w:shd w:fill="CCEEFF" w:val="clear"/>
            <w:tcMar>
              <w:bottom w:w="28" w:type="dxa"/>
            </w:tcMar>
            <w:vAlign w:val="center"/>
          </w:tcPr>
          <w:p>
            <w:pPr>
              <w:pStyle w:val="TableContents"/>
              <w:bidi w:val="0"/>
              <w:spacing w:before="0" w:after="283"/>
              <w:jc w:val="right"/>
              <w:rPr/>
            </w:pPr>
            <w:r>
              <w:rPr/>
              <w:t>117</w:t>
            </w:r>
          </w:p>
        </w:tc>
        <w:tc>
          <w:tcPr>
            <w:tcW w:w="113" w:type="dxa"/>
            <w:tcBorders/>
            <w:shd w:fill="CCEEFF" w:val="clear"/>
            <w:vAlign w:val="center"/>
          </w:tcPr>
          <w:p>
            <w:pPr>
              <w:pStyle w:val="TableContents"/>
              <w:bidi w:val="0"/>
              <w:spacing w:before="0" w:after="283"/>
              <w:jc w:val="left"/>
              <w:rPr/>
            </w:pPr>
            <w:r>
              <w:rPr/>
              <w:t> </w:t>
            </w:r>
            <w:bookmarkStart w:id="171" w:name="xdx_431_c20240101__20240331_eus-gaap--St"/>
            <w:bookmarkEnd w:id="171"/>
          </w:p>
        </w:tc>
      </w:tr>
      <w:tr>
        <w:trPr/>
        <w:tc>
          <w:tcPr>
            <w:tcW w:w="1984" w:type="dxa"/>
            <w:tcBorders/>
            <w:shd w:fill="FFFFFF" w:val="clear"/>
            <w:vAlign w:val="center"/>
          </w:tcPr>
          <w:p>
            <w:pPr>
              <w:pStyle w:val="TableContents"/>
              <w:bidi w:val="0"/>
              <w:spacing w:before="0" w:after="283"/>
              <w:jc w:val="left"/>
              <w:rPr>
                <w:b/>
              </w:rPr>
            </w:pPr>
            <w:r>
              <w:rPr>
                <w:b/>
              </w:rPr>
              <w:t>Balance at 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2" w:name="xdx_98C_eus-gaap--SharesOutstanding_iE_p"/>
            <w:bookmarkEnd w:id="172"/>
          </w:p>
        </w:tc>
        <w:tc>
          <w:tcPr>
            <w:tcW w:w="1100" w:type="dxa"/>
            <w:tcBorders/>
            <w:shd w:fill="FFFFFF" w:val="clear"/>
            <w:vAlign w:val="center"/>
          </w:tcPr>
          <w:p>
            <w:pPr>
              <w:pStyle w:val="TableContents"/>
              <w:bidi w:val="0"/>
              <w:spacing w:before="0" w:after="283"/>
              <w:jc w:val="right"/>
              <w:rPr>
                <w:b/>
              </w:rPr>
            </w:pPr>
            <w:r>
              <w:rPr>
                <w:b/>
              </w:rPr>
              <w:t>44,373,107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b/>
              </w:rPr>
            </w:pPr>
            <w:r>
              <w:rPr>
                <w:b/>
              </w:rPr>
              <w:t>$</w:t>
            </w:r>
          </w:p>
        </w:tc>
        <w:tc>
          <w:tcPr>
            <w:tcW w:w="599" w:type="dxa"/>
            <w:tcBorders/>
            <w:shd w:fill="FFFFFF" w:val="clear"/>
            <w:vAlign w:val="center"/>
          </w:tcPr>
          <w:p>
            <w:pPr>
              <w:pStyle w:val="TableContents"/>
              <w:bidi w:val="0"/>
              <w:spacing w:before="0" w:after="283"/>
              <w:jc w:val="right"/>
              <w:rPr>
                <w:b/>
              </w:rPr>
            </w:pPr>
            <w:r>
              <w:rPr>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73" w:name="xdx_98F_eus-gaap--SharesOutstanding_iE_p"/>
            <w:bookmarkEnd w:id="173"/>
          </w:p>
        </w:tc>
        <w:tc>
          <w:tcPr>
            <w:tcW w:w="642" w:type="dxa"/>
            <w:tcBorders/>
            <w:shd w:fill="FFFFFF" w:val="clear"/>
            <w:vAlign w:val="center"/>
          </w:tcPr>
          <w:p>
            <w:pPr>
              <w:pStyle w:val="TableContents"/>
              <w:bidi w:val="0"/>
              <w:spacing w:before="0" w:after="283"/>
              <w:jc w:val="right"/>
              <w:rPr>
                <w:b/>
              </w:rPr>
            </w:pPr>
            <w:r>
              <w:rPr>
                <w:b/>
              </w:rPr>
              <w:t>9,798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b/>
              </w:rPr>
            </w:pPr>
            <w:r>
              <w:rPr>
                <w:b/>
              </w:rPr>
              <w:t>$</w:t>
            </w:r>
          </w:p>
        </w:tc>
        <w:tc>
          <w:tcPr>
            <w:tcW w:w="348"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b/>
              </w:rPr>
            </w:pPr>
            <w:r>
              <w:rPr>
                <w:b/>
              </w:rPr>
              <w:t>$</w:t>
            </w:r>
          </w:p>
        </w:tc>
        <w:tc>
          <w:tcPr>
            <w:tcW w:w="1005" w:type="dxa"/>
            <w:tcBorders/>
            <w:shd w:fill="FFFFFF" w:val="clear"/>
            <w:vAlign w:val="center"/>
          </w:tcPr>
          <w:p>
            <w:pPr>
              <w:pStyle w:val="TableContents"/>
              <w:bidi w:val="0"/>
              <w:spacing w:before="0" w:after="283"/>
              <w:jc w:val="right"/>
              <w:rPr>
                <w:b/>
              </w:rPr>
            </w:pPr>
            <w:r>
              <w:rPr>
                <w:b/>
              </w:rPr>
              <w:t>102,539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(98,060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b/>
              </w:rPr>
            </w:pPr>
            <w:r>
              <w:rPr>
                <w:b/>
              </w:rPr>
              <w:t>$</w:t>
            </w:r>
          </w:p>
        </w:tc>
        <w:tc>
          <w:tcPr>
            <w:tcW w:w="963" w:type="dxa"/>
            <w:tcBorders/>
            <w:shd w:fill="FFFFFF" w:val="clear"/>
            <w:vAlign w:val="center"/>
          </w:tcPr>
          <w:p>
            <w:pPr>
              <w:pStyle w:val="TableContents"/>
              <w:bidi w:val="0"/>
              <w:spacing w:before="0" w:after="283"/>
              <w:jc w:val="right"/>
              <w:rPr>
                <w:b/>
              </w:rPr>
            </w:pPr>
            <w:r>
              <w:rPr>
                <w:b/>
              </w:rPr>
              <w:t>4,483</w:t>
            </w:r>
          </w:p>
        </w:tc>
        <w:tc>
          <w:tcPr>
            <w:tcW w:w="113" w:type="dxa"/>
            <w:tcBorders/>
            <w:shd w:fill="FFFFFF" w:val="clear"/>
            <w:vAlign w:val="center"/>
          </w:tcPr>
          <w:p>
            <w:pPr>
              <w:pStyle w:val="TableContents"/>
              <w:bidi w:val="0"/>
              <w:spacing w:before="0" w:after="283"/>
              <w:jc w:val="left"/>
              <w:rPr/>
            </w:pPr>
            <w:r>
              <w:rPr/>
              <w:t> </w:t>
            </w:r>
            <w:bookmarkStart w:id="174" w:name="xdx_436_c20240101__20240331_eus-gaap--St"/>
            <w:bookmarkEnd w:id="174"/>
          </w:p>
        </w:tc>
      </w:tr>
      <w:tr>
        <w:trPr/>
        <w:tc>
          <w:tcPr>
            <w:tcW w:w="1984"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 w:name="xdx_98D_eus-gaap--SharesOutstanding_iE_p"/>
            <w:bookmarkEnd w:id="175"/>
          </w:p>
        </w:tc>
        <w:tc>
          <w:tcPr>
            <w:tcW w:w="1100" w:type="dxa"/>
            <w:tcBorders/>
            <w:shd w:fill="CCEEFF" w:val="clear"/>
            <w:vAlign w:val="center"/>
          </w:tcPr>
          <w:p>
            <w:pPr>
              <w:pStyle w:val="TableContents"/>
              <w:bidi w:val="0"/>
              <w:spacing w:before="0" w:after="283"/>
              <w:jc w:val="right"/>
              <w:rPr>
                <w:b/>
              </w:rPr>
            </w:pPr>
            <w:r>
              <w:rPr>
                <w:b/>
              </w:rPr>
              <w:t>44,373,107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b/>
              </w:rPr>
            </w:pPr>
            <w:r>
              <w:rPr>
                <w:b/>
              </w:rPr>
              <w:t>$</w:t>
            </w:r>
          </w:p>
        </w:tc>
        <w:tc>
          <w:tcPr>
            <w:tcW w:w="599" w:type="dxa"/>
            <w:tcBorders/>
            <w:shd w:fill="CCEEFF" w:val="cle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76" w:name="xdx_98F_eus-gaap--SharesOutstanding_iE_p"/>
            <w:bookmarkEnd w:id="176"/>
          </w:p>
        </w:tc>
        <w:tc>
          <w:tcPr>
            <w:tcW w:w="642" w:type="dxa"/>
            <w:tcBorders/>
            <w:shd w:fill="CCEEFF" w:val="clear"/>
            <w:vAlign w:val="center"/>
          </w:tcPr>
          <w:p>
            <w:pPr>
              <w:pStyle w:val="TableContents"/>
              <w:bidi w:val="0"/>
              <w:spacing w:before="0" w:after="283"/>
              <w:jc w:val="right"/>
              <w:rPr>
                <w:b/>
              </w:rPr>
            </w:pPr>
            <w:r>
              <w:rPr>
                <w:b/>
              </w:rPr>
              <w:t>9,798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b/>
              </w:rPr>
            </w:pPr>
            <w:r>
              <w:rPr>
                <w:b/>
              </w:rPr>
              <w:t>$</w:t>
            </w:r>
          </w:p>
        </w:tc>
        <w:tc>
          <w:tcPr>
            <w:tcW w:w="348"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b/>
              </w:rPr>
            </w:pPr>
            <w:r>
              <w:rPr>
                <w:b/>
              </w:rPr>
              <w:t>$</w:t>
            </w:r>
          </w:p>
        </w:tc>
        <w:tc>
          <w:tcPr>
            <w:tcW w:w="1005" w:type="dxa"/>
            <w:tcBorders/>
            <w:shd w:fill="CCEEFF" w:val="clear"/>
            <w:vAlign w:val="center"/>
          </w:tcPr>
          <w:p>
            <w:pPr>
              <w:pStyle w:val="TableContents"/>
              <w:bidi w:val="0"/>
              <w:spacing w:before="0" w:after="283"/>
              <w:jc w:val="right"/>
              <w:rPr>
                <w:b/>
              </w:rPr>
            </w:pPr>
            <w:r>
              <w:rPr>
                <w:b/>
              </w:rPr>
              <w:t>102,539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(98,060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b/>
              </w:rPr>
            </w:pPr>
            <w:r>
              <w:rPr>
                <w:b/>
              </w:rPr>
              <w:t>$</w:t>
            </w:r>
          </w:p>
        </w:tc>
        <w:tc>
          <w:tcPr>
            <w:tcW w:w="963" w:type="dxa"/>
            <w:tcBorders/>
            <w:shd w:fill="CCEEFF" w:val="clear"/>
            <w:vAlign w:val="center"/>
          </w:tcPr>
          <w:p>
            <w:pPr>
              <w:pStyle w:val="TableContents"/>
              <w:bidi w:val="0"/>
              <w:spacing w:before="0" w:after="283"/>
              <w:jc w:val="right"/>
              <w:rPr>
                <w:b/>
              </w:rPr>
            </w:pPr>
            <w:r>
              <w:rPr>
                <w:b/>
              </w:rPr>
              <w:t>4,483</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interim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7" w:name="a_006"/>
      <w:bookmarkEnd w:id="177"/>
      <w:r>
        <w:rPr>
          <w:rFonts w:ascii="Times New Roman;Times;Serif" w:hAnsi="Times New Roman;Times;Serif"/>
          <w:b/>
          <w:i w:val="false"/>
          <w:caps w:val="false"/>
          <w:smallCaps w:val="false"/>
          <w:sz w:val="20"/>
        </w:rPr>
        <w:t>Wrap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8" w:name="xdx_30F_112_pn3n3_zVDB8tZofSO"/>
      <w:bookmarkStart w:id="179" w:name="xdx_30F_112_pn3n3_zVDB8tZofSO"/>
      <w:bookmarkEnd w:id="179"/>
    </w:p>
    <w:tbl>
      <w:tblPr>
        <w:tblW w:w="10205" w:type="dxa"/>
        <w:jc w:val="left"/>
        <w:tblInd w:w="0" w:type="dxa"/>
        <w:tblLayout w:type="fixed"/>
        <w:tblCellMar>
          <w:top w:w="0" w:type="dxa"/>
          <w:left w:w="0" w:type="dxa"/>
          <w:bottom w:w="0" w:type="dxa"/>
          <w:right w:w="0" w:type="dxa"/>
        </w:tblCellMar>
      </w:tblPr>
      <w:tblGrid>
        <w:gridCol w:w="6920"/>
        <w:gridCol w:w="60"/>
        <w:gridCol w:w="255"/>
        <w:gridCol w:w="1160"/>
        <w:gridCol w:w="173"/>
        <w:gridCol w:w="109"/>
        <w:gridCol w:w="255"/>
        <w:gridCol w:w="1160"/>
        <w:gridCol w:w="113"/>
      </w:tblGrid>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0" w:name="xdx_498_20250101__20250331_zrg1A2SiPm7k"/>
            <w:bookmarkEnd w:id="180"/>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bookmarkStart w:id="181" w:name="xdx_49C_20240101__20240331_zWdLuoOQmIL6"/>
            <w:bookmarkEnd w:id="181"/>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2" w:type="dxa"/>
            <w:gridSpan w:val="6"/>
            <w:tcBorders/>
            <w:vAlign w:val="center"/>
          </w:tcPr>
          <w:p>
            <w:pPr>
              <w:pStyle w:val="TableContents"/>
              <w:bidi w:val="0"/>
              <w:spacing w:before="0" w:after="283"/>
              <w:jc w:val="center"/>
              <w:rPr>
                <w:b/>
              </w:rPr>
            </w:pPr>
            <w:r>
              <w:rPr>
                <w:b/>
              </w:rPr>
              <w:t>Three Months ended March 31,</w:t>
            </w:r>
          </w:p>
        </w:tc>
        <w:tc>
          <w:tcPr>
            <w:tcW w:w="113"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bookmarkStart w:id="182" w:name="xdx_400_eus-gaap--NetCashProvidedByUsedI"/>
            <w:bookmarkEnd w:id="182"/>
          </w:p>
        </w:tc>
      </w:tr>
      <w:tr>
        <w:trPr/>
        <w:tc>
          <w:tcPr>
            <w:tcW w:w="692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83" w:name="xdx_40A_eus-gaap--NetIncomeLoss_i01_maNC"/>
            <w:bookmarkEnd w:id="183"/>
          </w:p>
        </w:tc>
      </w:tr>
      <w:tr>
        <w:trPr/>
        <w:tc>
          <w:tcPr>
            <w:tcW w:w="692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w:t>
            </w:r>
          </w:p>
        </w:tc>
        <w:tc>
          <w:tcPr>
            <w:tcW w:w="1160" w:type="dxa"/>
            <w:tcBorders/>
            <w:shd w:fill="FFFFFF" w:val="clear"/>
            <w:vAlign w:val="center"/>
          </w:tcPr>
          <w:p>
            <w:pPr>
              <w:pStyle w:val="TableContents"/>
              <w:bidi w:val="0"/>
              <w:spacing w:before="0" w:after="283"/>
              <w:jc w:val="right"/>
              <w:rPr/>
            </w:pPr>
            <w:r>
              <w:rPr/>
              <w:t>109</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w:t>
            </w:r>
          </w:p>
        </w:tc>
        <w:tc>
          <w:tcPr>
            <w:tcW w:w="1160" w:type="dxa"/>
            <w:tcBorders/>
            <w:shd w:fill="FFFFFF" w:val="clear"/>
            <w:vAlign w:val="center"/>
          </w:tcPr>
          <w:p>
            <w:pPr>
              <w:pStyle w:val="TableContents"/>
              <w:bidi w:val="0"/>
              <w:spacing w:before="0" w:after="283"/>
              <w:jc w:val="right"/>
              <w:rPr/>
            </w:pPr>
            <w:r>
              <w:rPr/>
              <w:t>117</w:t>
            </w:r>
          </w:p>
        </w:tc>
        <w:tc>
          <w:tcPr>
            <w:tcW w:w="113" w:type="dxa"/>
            <w:tcBorders/>
            <w:shd w:fill="FFFFFF" w:val="clear"/>
            <w:vAlign w:val="center"/>
          </w:tcPr>
          <w:p>
            <w:pPr>
              <w:pStyle w:val="TableContents"/>
              <w:bidi w:val="0"/>
              <w:spacing w:before="0" w:after="283"/>
              <w:jc w:val="left"/>
              <w:rPr/>
            </w:pPr>
            <w:r>
              <w:rPr/>
              <w:t> </w:t>
            </w:r>
            <w:bookmarkStart w:id="184" w:name="xdx_40B_eus-gaap--AdjustmentsToReconcile"/>
            <w:bookmarkEnd w:id="184"/>
          </w:p>
        </w:tc>
      </w:tr>
      <w:tr>
        <w:trPr/>
        <w:tc>
          <w:tcPr>
            <w:tcW w:w="6920" w:type="dxa"/>
            <w:tcBorders/>
            <w:shd w:fill="CCEEFF" w:val="clear"/>
            <w:vAlign w:val="center"/>
          </w:tcPr>
          <w:p>
            <w:pPr>
              <w:pStyle w:val="TableContents"/>
              <w:bidi w:val="0"/>
              <w:spacing w:before="0" w:after="283"/>
              <w:jc w:val="left"/>
              <w:rPr/>
            </w:pPr>
            <w:r>
              <w:rPr/>
              <w:t>Adjustments to reconcile net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85" w:name="xdx_403_eus-gaap--DepreciationAndAmortiz"/>
            <w:bookmarkEnd w:id="185"/>
          </w:p>
        </w:tc>
      </w:tr>
      <w:tr>
        <w:trPr/>
        <w:tc>
          <w:tcPr>
            <w:tcW w:w="692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155</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223</w:t>
            </w:r>
          </w:p>
        </w:tc>
        <w:tc>
          <w:tcPr>
            <w:tcW w:w="113" w:type="dxa"/>
            <w:tcBorders/>
            <w:shd w:fill="FFFFFF" w:val="clear"/>
            <w:vAlign w:val="center"/>
          </w:tcPr>
          <w:p>
            <w:pPr>
              <w:pStyle w:val="TableContents"/>
              <w:bidi w:val="0"/>
              <w:spacing w:before="0" w:after="283"/>
              <w:jc w:val="left"/>
              <w:rPr/>
            </w:pPr>
            <w:r>
              <w:rPr/>
              <w:t> </w:t>
            </w:r>
            <w:bookmarkStart w:id="186" w:name="xdx_400_eus-gaap--ShareBasedCompensation"/>
            <w:bookmarkEnd w:id="186"/>
          </w:p>
        </w:tc>
      </w:tr>
      <w:tr>
        <w:trPr/>
        <w:tc>
          <w:tcPr>
            <w:tcW w:w="692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1,665</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675</w:t>
            </w:r>
          </w:p>
        </w:tc>
        <w:tc>
          <w:tcPr>
            <w:tcW w:w="113" w:type="dxa"/>
            <w:tcBorders/>
            <w:shd w:fill="CCEEFF" w:val="clear"/>
            <w:vAlign w:val="center"/>
          </w:tcPr>
          <w:p>
            <w:pPr>
              <w:pStyle w:val="TableContents"/>
              <w:bidi w:val="0"/>
              <w:spacing w:before="0" w:after="283"/>
              <w:jc w:val="left"/>
              <w:rPr/>
            </w:pPr>
            <w:r>
              <w:rPr/>
              <w:t> </w:t>
            </w:r>
            <w:bookmarkStart w:id="187" w:name="xdx_406_ecustom--ProductWarrantyExpenseI"/>
            <w:bookmarkEnd w:id="187"/>
          </w:p>
        </w:tc>
      </w:tr>
      <w:tr>
        <w:trPr/>
        <w:tc>
          <w:tcPr>
            <w:tcW w:w="6920" w:type="dxa"/>
            <w:tcBorders/>
            <w:shd w:fill="FFFFFF" w:val="clear"/>
            <w:vAlign w:val="center"/>
          </w:tcPr>
          <w:p>
            <w:pPr>
              <w:pStyle w:val="TableContents"/>
              <w:bidi w:val="0"/>
              <w:spacing w:before="0" w:after="283"/>
              <w:jc w:val="left"/>
              <w:rPr/>
            </w:pPr>
            <w:r>
              <w:rPr/>
              <w:t>Warranty provision</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21</w:t>
            </w:r>
          </w:p>
        </w:tc>
        <w:tc>
          <w:tcPr>
            <w:tcW w:w="113" w:type="dxa"/>
            <w:tcBorders/>
            <w:shd w:fill="FFFFFF" w:val="clear"/>
            <w:vAlign w:val="center"/>
          </w:tcPr>
          <w:p>
            <w:pPr>
              <w:pStyle w:val="TableContents"/>
              <w:bidi w:val="0"/>
              <w:spacing w:before="0" w:after="283"/>
              <w:jc w:val="left"/>
              <w:rPr/>
            </w:pPr>
            <w:r>
              <w:rPr/>
              <w:t> </w:t>
            </w:r>
            <w:bookmarkStart w:id="188" w:name="xdx_40C_eus-gaap--FairValueAdjustmentOfW"/>
            <w:bookmarkEnd w:id="188"/>
          </w:p>
        </w:tc>
      </w:tr>
      <w:tr>
        <w:trPr/>
        <w:tc>
          <w:tcPr>
            <w:tcW w:w="6920"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(4,029</w:t>
            </w:r>
          </w:p>
        </w:tc>
        <w:tc>
          <w:tcPr>
            <w:tcW w:w="173"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(4,179</w:t>
            </w:r>
          </w:p>
        </w:tc>
        <w:tc>
          <w:tcPr>
            <w:tcW w:w="113" w:type="dxa"/>
            <w:tcBorders/>
            <w:shd w:fill="CCEEFF" w:val="clear"/>
            <w:vAlign w:val="center"/>
          </w:tcPr>
          <w:p>
            <w:pPr>
              <w:pStyle w:val="TableContents"/>
              <w:bidi w:val="0"/>
              <w:spacing w:before="0" w:after="283"/>
              <w:jc w:val="left"/>
              <w:rPr/>
            </w:pPr>
            <w:r>
              <w:rPr/>
              <w:t>)</w:t>
            </w:r>
            <w:bookmarkStart w:id="189" w:name="xdx_408_ecustom--NoncashLeaseExpense_i02"/>
            <w:bookmarkEnd w:id="189"/>
          </w:p>
        </w:tc>
      </w:tr>
      <w:tr>
        <w:trPr/>
        <w:tc>
          <w:tcPr>
            <w:tcW w:w="692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74</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71</w:t>
            </w:r>
          </w:p>
        </w:tc>
        <w:tc>
          <w:tcPr>
            <w:tcW w:w="113" w:type="dxa"/>
            <w:tcBorders/>
            <w:shd w:fill="FFFFFF" w:val="clear"/>
            <w:vAlign w:val="center"/>
          </w:tcPr>
          <w:p>
            <w:pPr>
              <w:pStyle w:val="TableContents"/>
              <w:bidi w:val="0"/>
              <w:spacing w:before="0" w:after="283"/>
              <w:jc w:val="left"/>
              <w:rPr/>
            </w:pPr>
            <w:r>
              <w:rPr/>
              <w:t> </w:t>
            </w:r>
            <w:bookmarkStart w:id="190" w:name="xdx_40D_eus-gaap--ProvisionForDoubtfulAc"/>
            <w:bookmarkEnd w:id="190"/>
          </w:p>
        </w:tc>
      </w:tr>
      <w:tr>
        <w:trPr/>
        <w:tc>
          <w:tcPr>
            <w:tcW w:w="6920" w:type="dxa"/>
            <w:tcBorders/>
            <w:shd w:fill="CCEEFF" w:val="clear"/>
            <w:vAlign w:val="center"/>
          </w:tcPr>
          <w:p>
            <w:pPr>
              <w:pStyle w:val="TableContents"/>
              <w:bidi w:val="0"/>
              <w:spacing w:before="0" w:after="283"/>
              <w:jc w:val="left"/>
              <w:rPr/>
            </w:pPr>
            <w:r>
              <w:rPr/>
              <w:t>Provision for doubtful accounts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37</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1" w:name="xdx_409_eus-gaap--InventoryWriteDown_i02"/>
            <w:bookmarkEnd w:id="191"/>
          </w:p>
        </w:tc>
      </w:tr>
      <w:tr>
        <w:trPr/>
        <w:tc>
          <w:tcPr>
            <w:tcW w:w="6920" w:type="dxa"/>
            <w:tcBorders/>
            <w:shd w:fill="FFFFFF" w:val="clear"/>
            <w:vAlign w:val="center"/>
          </w:tcPr>
          <w:p>
            <w:pPr>
              <w:pStyle w:val="TableContents"/>
              <w:bidi w:val="0"/>
              <w:spacing w:before="0" w:after="283"/>
              <w:jc w:val="left"/>
              <w:rPr/>
            </w:pPr>
            <w:r>
              <w:rPr/>
              <w:t>Inventory obsolescence reserve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18</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12</w:t>
            </w:r>
          </w:p>
        </w:tc>
        <w:tc>
          <w:tcPr>
            <w:tcW w:w="113" w:type="dxa"/>
            <w:tcBorders/>
            <w:shd w:fill="FFFFFF" w:val="clear"/>
            <w:vAlign w:val="center"/>
          </w:tcPr>
          <w:p>
            <w:pPr>
              <w:pStyle w:val="TableContents"/>
              <w:bidi w:val="0"/>
              <w:spacing w:before="0" w:after="283"/>
              <w:jc w:val="left"/>
              <w:rPr/>
            </w:pPr>
            <w:r>
              <w:rPr/>
              <w:t> </w:t>
            </w:r>
            <w:bookmarkStart w:id="192" w:name="xdx_40A_eus-gaap--IncreaseDecreaseInOper"/>
            <w:bookmarkEnd w:id="192"/>
          </w:p>
        </w:tc>
      </w:tr>
      <w:tr>
        <w:trPr/>
        <w:tc>
          <w:tcPr>
            <w:tcW w:w="692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3" w:name="xdx_40B_eus-gaap--IncreaseDecreaseInAcco"/>
            <w:bookmarkEnd w:id="193"/>
          </w:p>
        </w:tc>
      </w:tr>
      <w:tr>
        <w:trPr/>
        <w:tc>
          <w:tcPr>
            <w:tcW w:w="692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(184</w:t>
            </w:r>
          </w:p>
        </w:tc>
        <w:tc>
          <w:tcPr>
            <w:tcW w:w="17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683</w:t>
            </w:r>
          </w:p>
        </w:tc>
        <w:tc>
          <w:tcPr>
            <w:tcW w:w="113" w:type="dxa"/>
            <w:tcBorders/>
            <w:shd w:fill="FFFFFF" w:val="clear"/>
            <w:vAlign w:val="center"/>
          </w:tcPr>
          <w:p>
            <w:pPr>
              <w:pStyle w:val="TableContents"/>
              <w:bidi w:val="0"/>
              <w:spacing w:before="0" w:after="283"/>
              <w:jc w:val="left"/>
              <w:rPr/>
            </w:pPr>
            <w:r>
              <w:rPr/>
              <w:t> </w:t>
            </w:r>
            <w:bookmarkStart w:id="194" w:name="xdx_408_eus-gaap--IncreaseDecreaseInInve"/>
            <w:bookmarkEnd w:id="194"/>
          </w:p>
        </w:tc>
      </w:tr>
      <w:tr>
        <w:trPr/>
        <w:tc>
          <w:tcPr>
            <w:tcW w:w="692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71</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(584</w:t>
            </w:r>
          </w:p>
        </w:tc>
        <w:tc>
          <w:tcPr>
            <w:tcW w:w="113" w:type="dxa"/>
            <w:tcBorders/>
            <w:shd w:fill="CCEEFF" w:val="clear"/>
            <w:vAlign w:val="center"/>
          </w:tcPr>
          <w:p>
            <w:pPr>
              <w:pStyle w:val="TableContents"/>
              <w:bidi w:val="0"/>
              <w:spacing w:before="0" w:after="283"/>
              <w:jc w:val="left"/>
              <w:rPr/>
            </w:pPr>
            <w:r>
              <w:rPr/>
              <w:t>)</w:t>
            </w:r>
            <w:bookmarkStart w:id="195" w:name="xdx_401_eus-gaap--IncreaseDecreaseInPrep"/>
            <w:bookmarkEnd w:id="195"/>
          </w:p>
        </w:tc>
      </w:tr>
      <w:tr>
        <w:trPr/>
        <w:tc>
          <w:tcPr>
            <w:tcW w:w="692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(404</w:t>
            </w:r>
          </w:p>
        </w:tc>
        <w:tc>
          <w:tcPr>
            <w:tcW w:w="17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129</w:t>
            </w:r>
          </w:p>
        </w:tc>
        <w:tc>
          <w:tcPr>
            <w:tcW w:w="113" w:type="dxa"/>
            <w:tcBorders/>
            <w:shd w:fill="FFFFFF" w:val="clear"/>
            <w:vAlign w:val="center"/>
          </w:tcPr>
          <w:p>
            <w:pPr>
              <w:pStyle w:val="TableContents"/>
              <w:bidi w:val="0"/>
              <w:spacing w:before="0" w:after="283"/>
              <w:jc w:val="left"/>
              <w:rPr>
                <w:sz w:val="4"/>
                <w:szCs w:val="4"/>
              </w:rPr>
            </w:pPr>
            <w:r>
              <w:rPr>
                <w:sz w:val="4"/>
                <w:szCs w:val="4"/>
              </w:rPr>
            </w:r>
            <w:bookmarkStart w:id="196" w:name="xdx_408_eus-gaap--IncreaseDecreaseInAcco"/>
            <w:bookmarkStart w:id="197" w:name="xdx_408_eus-gaap--IncreaseDecreaseInAcco"/>
            <w:bookmarkEnd w:id="197"/>
          </w:p>
        </w:tc>
      </w:tr>
      <w:tr>
        <w:trPr/>
        <w:tc>
          <w:tcPr>
            <w:tcW w:w="692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(115</w:t>
            </w:r>
          </w:p>
        </w:tc>
        <w:tc>
          <w:tcPr>
            <w:tcW w:w="173"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(19</w:t>
            </w:r>
          </w:p>
        </w:tc>
        <w:tc>
          <w:tcPr>
            <w:tcW w:w="113" w:type="dxa"/>
            <w:tcBorders/>
            <w:shd w:fill="CCEEFF" w:val="clear"/>
            <w:vAlign w:val="center"/>
          </w:tcPr>
          <w:p>
            <w:pPr>
              <w:pStyle w:val="TableContents"/>
              <w:bidi w:val="0"/>
              <w:spacing w:before="0" w:after="283"/>
              <w:jc w:val="left"/>
              <w:rPr/>
            </w:pPr>
            <w:r>
              <w:rPr/>
              <w:t>)</w:t>
            </w:r>
            <w:bookmarkStart w:id="198" w:name="xdx_409_eus-gaap--IncreaseDecreaseInOper"/>
            <w:bookmarkEnd w:id="198"/>
          </w:p>
        </w:tc>
      </w:tr>
      <w:tr>
        <w:trPr/>
        <w:tc>
          <w:tcPr>
            <w:tcW w:w="6920"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(74</w:t>
            </w:r>
          </w:p>
        </w:tc>
        <w:tc>
          <w:tcPr>
            <w:tcW w:w="17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39</w:t>
            </w:r>
          </w:p>
        </w:tc>
        <w:tc>
          <w:tcPr>
            <w:tcW w:w="113" w:type="dxa"/>
            <w:tcBorders/>
            <w:shd w:fill="FFFFFF" w:val="clear"/>
            <w:vAlign w:val="center"/>
          </w:tcPr>
          <w:p>
            <w:pPr>
              <w:pStyle w:val="TableContents"/>
              <w:bidi w:val="0"/>
              <w:spacing w:before="0" w:after="283"/>
              <w:jc w:val="left"/>
              <w:rPr/>
            </w:pPr>
            <w:r>
              <w:rPr/>
              <w:t> </w:t>
            </w:r>
            <w:bookmarkStart w:id="199" w:name="xdx_40B_eus-gaap--IncreaseDecreaseInDepo"/>
            <w:bookmarkEnd w:id="199"/>
          </w:p>
        </w:tc>
      </w:tr>
      <w:tr>
        <w:trPr/>
        <w:tc>
          <w:tcPr>
            <w:tcW w:w="6920"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(982</w:t>
            </w:r>
          </w:p>
        </w:tc>
        <w:tc>
          <w:tcPr>
            <w:tcW w:w="113" w:type="dxa"/>
            <w:tcBorders/>
            <w:shd w:fill="CCEEFF" w:val="clear"/>
            <w:vAlign w:val="center"/>
          </w:tcPr>
          <w:p>
            <w:pPr>
              <w:pStyle w:val="TableContents"/>
              <w:bidi w:val="0"/>
              <w:spacing w:before="0" w:after="283"/>
              <w:jc w:val="left"/>
              <w:rPr/>
            </w:pPr>
            <w:r>
              <w:rPr/>
              <w:t>)</w:t>
            </w:r>
            <w:bookmarkStart w:id="200" w:name="xdx_400_eus-gaap--IncreaseDecreaseInAccr"/>
            <w:bookmarkEnd w:id="200"/>
          </w:p>
        </w:tc>
      </w:tr>
      <w:tr>
        <w:trPr/>
        <w:tc>
          <w:tcPr>
            <w:tcW w:w="6920" w:type="dxa"/>
            <w:tcBorders/>
            <w:shd w:fill="FFFFFF" w:val="clear"/>
            <w:vAlign w:val="center"/>
          </w:tcPr>
          <w:p>
            <w:pPr>
              <w:pStyle w:val="TableContents"/>
              <w:bidi w:val="0"/>
              <w:spacing w:before="0" w:after="283"/>
              <w:jc w:val="left"/>
              <w:rPr/>
            </w:pPr>
            <w:r>
              <w:rPr/>
              <w:t>Accrued liabilities and other</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(272</w:t>
            </w:r>
          </w:p>
        </w:tc>
        <w:tc>
          <w:tcPr>
            <w:tcW w:w="17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164</w:t>
            </w:r>
          </w:p>
        </w:tc>
        <w:tc>
          <w:tcPr>
            <w:tcW w:w="113" w:type="dxa"/>
            <w:tcBorders/>
            <w:shd w:fill="FFFFFF" w:val="clear"/>
            <w:vAlign w:val="center"/>
          </w:tcPr>
          <w:p>
            <w:pPr>
              <w:pStyle w:val="TableContents"/>
              <w:bidi w:val="0"/>
              <w:spacing w:before="0" w:after="283"/>
              <w:jc w:val="left"/>
              <w:rPr/>
            </w:pPr>
            <w:r>
              <w:rPr/>
              <w:t> </w:t>
            </w:r>
            <w:bookmarkStart w:id="201" w:name="xdx_40B_ecustom--IncreaseDecreaseInWarra"/>
            <w:bookmarkEnd w:id="201"/>
          </w:p>
        </w:tc>
      </w:tr>
      <w:tr>
        <w:trPr/>
        <w:tc>
          <w:tcPr>
            <w:tcW w:w="6920" w:type="dxa"/>
            <w:tcBorders/>
            <w:shd w:fill="CCEEFF" w:val="clear"/>
            <w:vAlign w:val="center"/>
          </w:tcPr>
          <w:p>
            <w:pPr>
              <w:pStyle w:val="TableContents"/>
              <w:bidi w:val="0"/>
              <w:spacing w:before="0" w:after="283"/>
              <w:jc w:val="left"/>
              <w:rPr/>
            </w:pPr>
            <w:r>
              <w:rPr/>
              <w:t>Warranty settlement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(7</w:t>
            </w:r>
          </w:p>
        </w:tc>
        <w:tc>
          <w:tcPr>
            <w:tcW w:w="173"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(42</w:t>
            </w:r>
          </w:p>
        </w:tc>
        <w:tc>
          <w:tcPr>
            <w:tcW w:w="113" w:type="dxa"/>
            <w:tcBorders/>
            <w:shd w:fill="CCEEFF" w:val="clear"/>
            <w:vAlign w:val="center"/>
          </w:tcPr>
          <w:p>
            <w:pPr>
              <w:pStyle w:val="TableContents"/>
              <w:bidi w:val="0"/>
              <w:spacing w:before="0" w:after="283"/>
              <w:jc w:val="left"/>
              <w:rPr/>
            </w:pPr>
            <w:r>
              <w:rPr/>
              <w:t>)</w:t>
            </w:r>
            <w:bookmarkStart w:id="202" w:name="xdx_401_eus-gaap--IncreaseDecreaseInDefe"/>
            <w:bookmarkEnd w:id="202"/>
          </w:p>
        </w:tc>
      </w:tr>
      <w:tr>
        <w:trPr/>
        <w:tc>
          <w:tcPr>
            <w:tcW w:w="692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(155</w:t>
            </w:r>
          </w:p>
        </w:tc>
        <w:tc>
          <w:tcPr>
            <w:tcW w:w="17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(52</w:t>
            </w:r>
          </w:p>
        </w:tc>
        <w:tc>
          <w:tcPr>
            <w:tcW w:w="113" w:type="dxa"/>
            <w:tcBorders/>
            <w:shd w:fill="FFFFFF" w:val="clear"/>
            <w:vAlign w:val="center"/>
          </w:tcPr>
          <w:p>
            <w:pPr>
              <w:pStyle w:val="TableContents"/>
              <w:bidi w:val="0"/>
              <w:spacing w:before="0" w:after="283"/>
              <w:jc w:val="left"/>
              <w:rPr/>
            </w:pPr>
            <w:r>
              <w:rPr/>
              <w:t>)</w:t>
            </w:r>
            <w:bookmarkStart w:id="203" w:name="xdx_400_eus-gaap--IncreaseDecreaseInOthe"/>
            <w:bookmarkEnd w:id="203"/>
          </w:p>
        </w:tc>
      </w:tr>
      <w:tr>
        <w:trPr/>
        <w:tc>
          <w:tcPr>
            <w:tcW w:w="6920" w:type="dxa"/>
            <w:tcBorders/>
            <w:shd w:fill="CCEEFF" w:val="clear"/>
            <w:vAlign w:val="center"/>
          </w:tcPr>
          <w:p>
            <w:pPr>
              <w:pStyle w:val="TableContents"/>
              <w:bidi w:val="0"/>
              <w:spacing w:before="0" w:after="283"/>
              <w:jc w:val="left"/>
              <w:rPr/>
            </w:pPr>
            <w:r>
              <w:rPr/>
              <w:t>Changes in other non-current assets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04" w:name="xdx_40C_eus-gaap--NetCashProvidedByUsedI"/>
            <w:bookmarkEnd w:id="204"/>
          </w:p>
        </w:tc>
      </w:tr>
      <w:tr>
        <w:trPr/>
        <w:tc>
          <w:tcPr>
            <w:tcW w:w="692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(3,069</w:t>
            </w:r>
          </w:p>
        </w:tc>
        <w:tc>
          <w:tcPr>
            <w:tcW w:w="17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(3,724</w:t>
            </w:r>
          </w:p>
        </w:tc>
        <w:tc>
          <w:tcPr>
            <w:tcW w:w="113"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05" w:name="xdx_403_eus-gaap--NetCashProvidedByUsedI"/>
            <w:bookmarkEnd w:id="205"/>
          </w:p>
        </w:tc>
      </w:tr>
      <w:tr>
        <w:trPr/>
        <w:tc>
          <w:tcPr>
            <w:tcW w:w="692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06" w:name="xdx_40A_eus-gaap--ProceedsFromMaturities"/>
            <w:bookmarkEnd w:id="206"/>
          </w:p>
        </w:tc>
      </w:tr>
      <w:tr>
        <w:trPr/>
        <w:tc>
          <w:tcPr>
            <w:tcW w:w="6920" w:type="dxa"/>
            <w:tcBorders/>
            <w:shd w:fill="CCEEFF" w:val="clear"/>
            <w:vAlign w:val="center"/>
          </w:tcPr>
          <w:p>
            <w:pPr>
              <w:pStyle w:val="TableContents"/>
              <w:bidi w:val="0"/>
              <w:spacing w:before="0" w:after="283"/>
              <w:jc w:val="left"/>
              <w:rPr/>
            </w:pPr>
            <w:r>
              <w:rPr/>
              <w:t>Proceeds from maturities of short-term investments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2,500</w:t>
            </w:r>
          </w:p>
        </w:tc>
        <w:tc>
          <w:tcPr>
            <w:tcW w:w="113" w:type="dxa"/>
            <w:tcBorders/>
            <w:shd w:fill="CCEEFF" w:val="clear"/>
            <w:vAlign w:val="center"/>
          </w:tcPr>
          <w:p>
            <w:pPr>
              <w:pStyle w:val="TableContents"/>
              <w:bidi w:val="0"/>
              <w:spacing w:before="0" w:after="283"/>
              <w:jc w:val="left"/>
              <w:rPr/>
            </w:pPr>
            <w:r>
              <w:rPr/>
              <w:t> </w:t>
            </w:r>
            <w:bookmarkStart w:id="207" w:name="xdx_408_eus-gaap--PaymentsToAcquirePrope"/>
            <w:bookmarkEnd w:id="207"/>
          </w:p>
        </w:tc>
      </w:tr>
      <w:tr>
        <w:trPr/>
        <w:tc>
          <w:tcPr>
            <w:tcW w:w="6920" w:type="dxa"/>
            <w:tcBorders/>
            <w:shd w:fill="FFFFFF" w:val="clear"/>
            <w:vAlign w:val="center"/>
          </w:tcPr>
          <w:p>
            <w:pPr>
              <w:pStyle w:val="TableContents"/>
              <w:bidi w:val="0"/>
              <w:spacing w:before="0" w:after="283"/>
              <w:jc w:val="left"/>
              <w:rPr/>
            </w:pPr>
            <w:r>
              <w:rPr/>
              <w:t>Capital expenditures for property and equipment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w:t>
            </w:r>
          </w:p>
        </w:tc>
        <w:tc>
          <w:tcPr>
            <w:tcW w:w="17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(14</w:t>
            </w:r>
          </w:p>
        </w:tc>
        <w:tc>
          <w:tcPr>
            <w:tcW w:w="113" w:type="dxa"/>
            <w:tcBorders/>
            <w:shd w:fill="FFFFFF" w:val="clear"/>
            <w:vAlign w:val="center"/>
          </w:tcPr>
          <w:p>
            <w:pPr>
              <w:pStyle w:val="TableContents"/>
              <w:bidi w:val="0"/>
              <w:spacing w:before="0" w:after="283"/>
              <w:jc w:val="left"/>
              <w:rPr/>
            </w:pPr>
            <w:r>
              <w:rPr/>
              <w:t>)</w:t>
            </w:r>
            <w:bookmarkStart w:id="208" w:name="xdx_401_eus-gaap--PaymentsToAcquireIntan"/>
            <w:bookmarkEnd w:id="208"/>
          </w:p>
        </w:tc>
      </w:tr>
      <w:tr>
        <w:trPr/>
        <w:tc>
          <w:tcPr>
            <w:tcW w:w="6920" w:type="dxa"/>
            <w:tcBorders/>
            <w:shd w:fill="CCEEFF" w:val="clear"/>
            <w:vAlign w:val="center"/>
          </w:tcPr>
          <w:p>
            <w:pPr>
              <w:pStyle w:val="TableContents"/>
              <w:bidi w:val="0"/>
              <w:spacing w:before="0" w:after="283"/>
              <w:jc w:val="left"/>
              <w:rPr/>
            </w:pPr>
            <w:r>
              <w:rPr/>
              <w:t>Investment in patents and trademarks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(44</w:t>
            </w:r>
          </w:p>
        </w:tc>
        <w:tc>
          <w:tcPr>
            <w:tcW w:w="173"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(66</w:t>
            </w:r>
          </w:p>
        </w:tc>
        <w:tc>
          <w:tcPr>
            <w:tcW w:w="113" w:type="dxa"/>
            <w:tcBorders/>
            <w:shd w:fill="CCEEFF" w:val="clear"/>
            <w:vAlign w:val="center"/>
          </w:tcPr>
          <w:p>
            <w:pPr>
              <w:pStyle w:val="TableContents"/>
              <w:bidi w:val="0"/>
              <w:spacing w:before="0" w:after="283"/>
              <w:jc w:val="left"/>
              <w:rPr/>
            </w:pPr>
            <w:r>
              <w:rPr/>
              <w:t>)</w:t>
            </w:r>
            <w:bookmarkStart w:id="209" w:name="xdx_408_eus-gaap--PaymentsToAcquireBusin"/>
            <w:bookmarkEnd w:id="209"/>
          </w:p>
        </w:tc>
      </w:tr>
      <w:tr>
        <w:trPr/>
        <w:tc>
          <w:tcPr>
            <w:tcW w:w="6920" w:type="dxa"/>
            <w:tcBorders/>
            <w:shd w:fill="FFFFFF" w:val="clear"/>
            <w:vAlign w:val="center"/>
          </w:tcPr>
          <w:p>
            <w:pPr>
              <w:pStyle w:val="TableContents"/>
              <w:bidi w:val="0"/>
              <w:spacing w:before="0" w:after="283"/>
              <w:jc w:val="left"/>
              <w:rPr/>
            </w:pPr>
            <w:r>
              <w:rPr/>
              <w:t>Net cash paid for acquisition of W1, LLC</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(54</w:t>
            </w:r>
          </w:p>
        </w:tc>
        <w:tc>
          <w:tcPr>
            <w:tcW w:w="173"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10" w:name="xdx_40C_eus-gaap--NetCashProvidedByUsedI"/>
            <w:bookmarkEnd w:id="210"/>
          </w:p>
        </w:tc>
      </w:tr>
      <w:tr>
        <w:trPr/>
        <w:tc>
          <w:tcPr>
            <w:tcW w:w="6920" w:type="dxa"/>
            <w:tcBorders/>
            <w:shd w:fill="CCEEFF" w:val="clear"/>
            <w:vAlign w:val="center"/>
          </w:tcPr>
          <w:p>
            <w:pPr>
              <w:pStyle w:val="TableContents"/>
              <w:bidi w:val="0"/>
              <w:spacing w:before="0" w:after="283"/>
              <w:jc w:val="left"/>
              <w:rPr/>
            </w:pPr>
            <w:r>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73"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2,420</w:t>
            </w:r>
          </w:p>
        </w:tc>
        <w:tc>
          <w:tcPr>
            <w:tcW w:w="113"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11" w:name="xdx_402_eus-gaap--NetCashProvidedByUsedI"/>
            <w:bookmarkEnd w:id="211"/>
          </w:p>
        </w:tc>
      </w:tr>
      <w:tr>
        <w:trPr/>
        <w:tc>
          <w:tcPr>
            <w:tcW w:w="692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12" w:name="xdx_40D_eus-gaap--ProceedsFromStockOptio"/>
            <w:bookmarkEnd w:id="212"/>
          </w:p>
        </w:tc>
      </w:tr>
      <w:tr>
        <w:trPr/>
        <w:tc>
          <w:tcPr>
            <w:tcW w:w="6920"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588</w:t>
            </w:r>
          </w:p>
        </w:tc>
        <w:tc>
          <w:tcPr>
            <w:tcW w:w="113" w:type="dxa"/>
            <w:tcBorders/>
            <w:shd w:fill="FFFFFF" w:val="clear"/>
            <w:vAlign w:val="center"/>
          </w:tcPr>
          <w:p>
            <w:pPr>
              <w:pStyle w:val="TableContents"/>
              <w:bidi w:val="0"/>
              <w:spacing w:before="0" w:after="283"/>
              <w:jc w:val="left"/>
              <w:rPr/>
            </w:pPr>
            <w:r>
              <w:rPr/>
              <w:t> </w:t>
            </w:r>
            <w:bookmarkStart w:id="213" w:name="xdx_409_ecustom--ProceedsFromIssuanceOfW"/>
            <w:bookmarkEnd w:id="213"/>
          </w:p>
        </w:tc>
      </w:tr>
      <w:tr>
        <w:trPr/>
        <w:tc>
          <w:tcPr>
            <w:tcW w:w="6920" w:type="dxa"/>
            <w:tcBorders/>
            <w:shd w:fill="CCEEFF" w:val="clear"/>
            <w:vAlign w:val="center"/>
          </w:tcPr>
          <w:p>
            <w:pPr>
              <w:pStyle w:val="TableContents"/>
              <w:bidi w:val="0"/>
              <w:spacing w:before="0" w:after="283"/>
              <w:jc w:val="left"/>
              <w:rPr/>
            </w:pPr>
            <w:r>
              <w:rPr/>
              <w:t>Proceeds from issuance of warrants and common stock, net of offering costs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5,729</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14" w:name="xdx_402_eus-gaap--PaymentsOfDividends_i0"/>
            <w:bookmarkEnd w:id="214"/>
          </w:p>
        </w:tc>
      </w:tr>
      <w:tr>
        <w:trPr/>
        <w:tc>
          <w:tcPr>
            <w:tcW w:w="6920" w:type="dxa"/>
            <w:tcBorders/>
            <w:shd w:fill="FFFFFF" w:val="clear"/>
            <w:vAlign w:val="center"/>
          </w:tcPr>
          <w:p>
            <w:pPr>
              <w:pStyle w:val="TableContents"/>
              <w:bidi w:val="0"/>
              <w:spacing w:before="0" w:after="283"/>
              <w:jc w:val="left"/>
              <w:rPr/>
            </w:pPr>
            <w:r>
              <w:rPr/>
              <w:t>Dividends settled in Cash</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(60</w:t>
            </w:r>
          </w:p>
        </w:tc>
        <w:tc>
          <w:tcPr>
            <w:tcW w:w="113" w:type="dxa"/>
            <w:tcBorders/>
            <w:shd w:fill="FFFFFF" w:val="clear"/>
            <w:vAlign w:val="center"/>
          </w:tcPr>
          <w:p>
            <w:pPr>
              <w:pStyle w:val="TableContents"/>
              <w:bidi w:val="0"/>
              <w:spacing w:before="0" w:after="283"/>
              <w:jc w:val="left"/>
              <w:rPr/>
            </w:pPr>
            <w:r>
              <w:rPr/>
              <w:t>)</w:t>
            </w:r>
            <w:bookmarkStart w:id="215" w:name="xdx_40A_eus-gaap--NetCashProvidedByUsedI"/>
            <w:bookmarkEnd w:id="215"/>
          </w:p>
        </w:tc>
      </w:tr>
      <w:tr>
        <w:trPr/>
        <w:tc>
          <w:tcPr>
            <w:tcW w:w="692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5,729</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528</w:t>
            </w:r>
          </w:p>
        </w:tc>
        <w:tc>
          <w:tcPr>
            <w:tcW w:w="113"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16" w:name="xdx_406_eus-gaap--CashCashEquivalentsRes"/>
            <w:bookmarkEnd w:id="216"/>
          </w:p>
        </w:tc>
      </w:tr>
      <w:tr>
        <w:trPr/>
        <w:tc>
          <w:tcPr>
            <w:tcW w:w="6920" w:type="dxa"/>
            <w:tcBorders/>
            <w:shd w:fill="CCEEFF" w:val="clear"/>
            <w:vAlign w:val="center"/>
          </w:tcPr>
          <w:p>
            <w:pPr>
              <w:pStyle w:val="TableContents"/>
              <w:bidi w:val="0"/>
              <w:spacing w:before="0" w:after="283"/>
              <w:jc w:val="left"/>
              <w:rPr>
                <w:b/>
              </w:rPr>
            </w:pPr>
            <w:r>
              <w:rPr>
                <w:b/>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2,560</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(776</w:t>
            </w:r>
          </w:p>
        </w:tc>
        <w:tc>
          <w:tcPr>
            <w:tcW w:w="113" w:type="dxa"/>
            <w:tcBorders/>
            <w:shd w:fill="CCEEFF" w:val="clear"/>
            <w:vAlign w:val="center"/>
          </w:tcPr>
          <w:p>
            <w:pPr>
              <w:pStyle w:val="TableContents"/>
              <w:bidi w:val="0"/>
              <w:spacing w:before="0" w:after="283"/>
              <w:jc w:val="left"/>
              <w:rPr/>
            </w:pPr>
            <w:r>
              <w:rPr/>
              <w:t>)</w:t>
            </w:r>
            <w:bookmarkStart w:id="217" w:name="xdx_402_eus-gaap--CashCashEquivalentsRes"/>
            <w:bookmarkEnd w:id="217"/>
          </w:p>
        </w:tc>
      </w:tr>
      <w:tr>
        <w:trPr/>
        <w:tc>
          <w:tcPr>
            <w:tcW w:w="6920" w:type="dxa"/>
            <w:tcBorders/>
            <w:shd w:fill="FFFFFF" w:val="clear"/>
            <w:vAlign w:val="center"/>
          </w:tcPr>
          <w:p>
            <w:pPr>
              <w:pStyle w:val="TableContents"/>
              <w:bidi w:val="0"/>
              <w:spacing w:before="0" w:after="283"/>
              <w:jc w:val="left"/>
              <w:rPr>
                <w:b/>
              </w:rPr>
            </w:pPr>
            <w:r>
              <w:rPr>
                <w:b/>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3,610</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3,955</w:t>
            </w:r>
          </w:p>
        </w:tc>
        <w:tc>
          <w:tcPr>
            <w:tcW w:w="113" w:type="dxa"/>
            <w:tcBorders/>
            <w:shd w:fill="FFFFFF" w:val="clear"/>
            <w:vAlign w:val="center"/>
          </w:tcPr>
          <w:p>
            <w:pPr>
              <w:pStyle w:val="TableContents"/>
              <w:bidi w:val="0"/>
              <w:spacing w:before="0" w:after="283"/>
              <w:jc w:val="left"/>
              <w:rPr/>
            </w:pPr>
            <w:r>
              <w:rPr/>
              <w:t> </w:t>
            </w:r>
            <w:bookmarkStart w:id="218" w:name="xdx_40B_eus-gaap--CashCashEquivalentsRes"/>
            <w:bookmarkEnd w:id="218"/>
          </w:p>
        </w:tc>
      </w:tr>
      <w:tr>
        <w:trPr/>
        <w:tc>
          <w:tcPr>
            <w:tcW w:w="6920" w:type="dxa"/>
            <w:tcBorders/>
            <w:shd w:fill="CCEEFF" w:val="clear"/>
            <w:vAlign w:val="center"/>
          </w:tcPr>
          <w:p>
            <w:pPr>
              <w:pStyle w:val="TableContents"/>
              <w:bidi w:val="0"/>
              <w:spacing w:before="0" w:after="283"/>
              <w:jc w:val="left"/>
              <w:rPr>
                <w:b/>
              </w:rPr>
            </w:pPr>
            <w:r>
              <w:rPr>
                <w:b/>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6,170</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3,179</w:t>
            </w:r>
          </w:p>
        </w:tc>
        <w:tc>
          <w:tcPr>
            <w:tcW w:w="113"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19" w:name="xdx_40F_eus-gaap--NoncashInvestingAndFin"/>
            <w:bookmarkEnd w:id="219"/>
          </w:p>
        </w:tc>
      </w:tr>
      <w:tr>
        <w:trPr/>
        <w:tc>
          <w:tcPr>
            <w:tcW w:w="6920" w:type="dxa"/>
            <w:tcBorders/>
            <w:shd w:fill="CCEE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20" w:name="xdx_40A_ecustom--ConvertiblePreferredSto"/>
            <w:bookmarkEnd w:id="220"/>
          </w:p>
        </w:tc>
      </w:tr>
      <w:tr>
        <w:trPr/>
        <w:tc>
          <w:tcPr>
            <w:tcW w:w="6920" w:type="dxa"/>
            <w:tcBorders/>
            <w:shd w:fill="CCEEFF" w:val="clear"/>
            <w:vAlign w:val="center"/>
          </w:tcPr>
          <w:p>
            <w:pPr>
              <w:pStyle w:val="TableContents"/>
              <w:bidi w:val="0"/>
              <w:spacing w:before="0" w:after="283"/>
              <w:jc w:val="left"/>
              <w:rPr/>
            </w:pPr>
            <w:r>
              <w:rPr/>
              <w:t>Dividends on convertible preferred stock</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(164</w:t>
            </w:r>
          </w:p>
        </w:tc>
        <w:tc>
          <w:tcPr>
            <w:tcW w:w="173"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(189</w:t>
            </w:r>
          </w:p>
        </w:tc>
        <w:tc>
          <w:tcPr>
            <w:tcW w:w="113" w:type="dxa"/>
            <w:tcBorders/>
            <w:shd w:fill="CCEEFF" w:val="clear"/>
            <w:vAlign w:val="center"/>
          </w:tcPr>
          <w:p>
            <w:pPr>
              <w:pStyle w:val="TableContents"/>
              <w:bidi w:val="0"/>
              <w:spacing w:before="0" w:after="283"/>
              <w:jc w:val="left"/>
              <w:rPr/>
            </w:pPr>
            <w:r>
              <w:rPr/>
              <w:t>)</w:t>
            </w:r>
            <w:bookmarkStart w:id="221" w:name="xdx_405_ecustom--DividendsSettledWithCom"/>
            <w:bookmarkEnd w:id="221"/>
          </w:p>
        </w:tc>
      </w:tr>
      <w:tr>
        <w:trPr/>
        <w:tc>
          <w:tcPr>
            <w:tcW w:w="6920" w:type="dxa"/>
            <w:tcBorders/>
            <w:shd w:fill="FFFFFF" w:val="clear"/>
            <w:vAlign w:val="center"/>
          </w:tcPr>
          <w:p>
            <w:pPr>
              <w:pStyle w:val="TableContents"/>
              <w:bidi w:val="0"/>
              <w:spacing w:before="0" w:after="283"/>
              <w:jc w:val="left"/>
              <w:rPr/>
            </w:pPr>
            <w:r>
              <w:rPr/>
              <w:t>Dividends settled with common stock</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164</w:t>
            </w:r>
          </w:p>
        </w:tc>
        <w:tc>
          <w:tcPr>
            <w:tcW w:w="17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129</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interim financial statements.</w:t>
      </w:r>
    </w:p>
    <w:p>
      <w:pPr>
        <w:pStyle w:val="TextBody"/>
        <w:bidi w:val="0"/>
        <w:spacing w:before="0" w:after="0"/>
        <w:ind w:left="40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2" w:name="a_007"/>
      <w:bookmarkEnd w:id="222"/>
      <w:r>
        <w:rPr>
          <w:rFonts w:ascii="Times New Roman;Times;Serif" w:hAnsi="Times New Roman;Times;Serif"/>
          <w:b/>
          <w:i w:val="false"/>
          <w:caps w:val="false"/>
          <w:smallCaps w:val="false"/>
          <w:sz w:val="20"/>
        </w:rPr>
        <w:t>Wrap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Interim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and share amounts)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bookmarkStart w:id="223" w:name="xdx_802_eus-gaap--OrganizationConsolidat"/>
      <w:bookmarkEnd w:id="223"/>
      <w:r>
        <w:rPr>
          <w:rFonts w:ascii="Times New Roman;Times;Serif" w:hAnsi="Times New Roman;Times;Serif"/>
          <w:b/>
          <w:i w:val="false"/>
          <w:caps w:val="false"/>
          <w:smallCaps w:val="false"/>
          <w:sz w:val="20"/>
        </w:rPr>
        <w:t xml:space="preserve">1. </w:t>
      </w:r>
      <w:bookmarkStart w:id="224" w:name="xdx_828_zKUHhGzekJ1l"/>
      <w:bookmarkEnd w:id="224"/>
      <w:r>
        <w:rPr>
          <w:rFonts w:ascii="Times New Roman;Times;Serif" w:hAnsi="Times New Roman;Times;Serif"/>
          <w:b/>
          <w:i w:val="false"/>
          <w:caps w:val="false"/>
          <w:smallCaps w:val="false"/>
          <w:sz w:val="20"/>
        </w:rPr>
        <w:t>ORGANIZATION, SUMMARY OF SIGNIFICANT ACCOUNTING POLICIES AND 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5" w:name="xdx_868_ziv9YLyT5aMf"/>
      <w:bookmarkStart w:id="226" w:name="xdx_846_ecustom--OrganizationAndBusiness"/>
      <w:bookmarkEnd w:id="225"/>
      <w:bookmarkEnd w:id="226"/>
      <w:r>
        <w:rPr>
          <w:rFonts w:ascii="Times New Roman;Times;Serif" w:hAnsi="Times New Roman;Times;Serif"/>
          <w:b/>
          <w:i w:val="false"/>
          <w:caps w:val="false"/>
          <w:smallCaps w:val="false"/>
          <w:sz w:val="20"/>
        </w:rPr>
        <w:t>Organization and Business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 a Delaware corporation (the “Company”, “we”, “us”, and “our”), is a publicly traded company with its common stock, par value $</w:t>
      </w:r>
      <w:bookmarkStart w:id="227" w:name="xdx_904_eus-gaap--CommonStockParOrStated"/>
      <w:bookmarkEnd w:id="227"/>
      <w:r>
        <w:rPr>
          <w:rFonts w:ascii="Times New Roman;Times;Serif" w:hAnsi="Times New Roman;Times;Serif"/>
          <w:b w:val="false"/>
          <w:i w:val="false"/>
          <w:caps w:val="false"/>
          <w:smallCaps w:val="false"/>
          <w:sz w:val="20"/>
        </w:rPr>
        <w:t>0.0001 per share (“Common Stock”), listed on the Nasdaq Capital Market (“Nasdaq”)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8" w:name="xdx_86C_zIIByF3CsSbb"/>
      <w:bookmarkStart w:id="229" w:name="xdx_840_eus-gaap--BasisOfPresentationAnd"/>
      <w:bookmarkEnd w:id="228"/>
      <w:bookmarkEnd w:id="229"/>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Certain information and footnote disclosures normally included in financial statements prepared in accordance with U.S. generally accepted accounting principles (“</w:t>
      </w:r>
      <w:r>
        <w:rPr>
          <w:rFonts w:ascii="Times New Roman;Times;Serif" w:hAnsi="Times New Roman;Times;Serif"/>
          <w:b w:val="false"/>
          <w:i/>
          <w:caps w:val="false"/>
          <w:smallCaps w:val="false"/>
          <w:sz w:val="20"/>
        </w:rPr>
        <w:t>U.S. GAAP</w:t>
      </w:r>
      <w:r>
        <w:rPr>
          <w:rFonts w:ascii="Times New Roman;Times;Serif" w:hAnsi="Times New Roman;Times;Serif"/>
          <w:b w:val="false"/>
          <w:i w:val="false"/>
          <w:caps w:val="false"/>
          <w:smallCaps w:val="false"/>
          <w:sz w:val="20"/>
        </w:rPr>
        <w:t>”)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2024, included in the Company’s Annual Report on Form 10-K for the year ended December 31, 2024 (the “</w:t>
      </w:r>
      <w:r>
        <w:rPr>
          <w:rFonts w:ascii="Times New Roman;Times;Serif" w:hAnsi="Times New Roman;Times;Serif"/>
          <w:b w:val="false"/>
          <w:i/>
          <w:caps w:val="false"/>
          <w:smallCaps w:val="false"/>
          <w:sz w:val="20"/>
        </w:rPr>
        <w:t>Annual Report</w:t>
      </w:r>
      <w:r>
        <w:rPr>
          <w:rFonts w:ascii="Times New Roman;Times;Serif" w:hAnsi="Times New Roman;Times;Serif"/>
          <w:b w:val="false"/>
          <w:i w:val="false"/>
          <w:caps w:val="false"/>
          <w:smallCaps w:val="false"/>
          <w:sz w:val="20"/>
        </w:rPr>
        <w:t>”), as filed with the SEC on March 31, 2025 and as amended on April 25, 2025. The accompanying condensed consolidated balance sheet as of December 31, 2024 has been derived from the audited consolidated balance sheet as of December 31, 2024, contained in the Annual Report. Results of operations for interim periods are not necessarily indicative of the results of operations for a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necessary, the prior year’s information has been reclassified to conform to the current year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0" w:name="xdx_865_zfQ9lQqpu8k9"/>
      <w:bookmarkStart w:id="231" w:name="xdx_844_eus-gaap--ConsolidationPolicyTex"/>
      <w:bookmarkEnd w:id="230"/>
      <w:bookmarkEnd w:id="231"/>
      <w:r>
        <w:rPr>
          <w:rFonts w:ascii="Times New Roman;Times;Serif" w:hAnsi="Times New Roman;Times;Serif"/>
          <w:b/>
          <w:i w:val="false"/>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232" w:name="xdx_904_ecustom--NumberOfWhollyOwnedSubs"/>
      <w:bookmarkEnd w:id="232"/>
      <w:r>
        <w:rPr>
          <w:rFonts w:ascii="Times New Roman;Times;Serif" w:hAnsi="Times New Roman;Times;Serif"/>
          <w:b w:val="false"/>
          <w:i w:val="false"/>
          <w:caps w:val="false"/>
          <w:smallCaps w:val="false"/>
          <w:sz w:val="20"/>
        </w:rPr>
        <w:t>two wholly owned subsidiaries, Wrap Reality, Inc., an Arizona corporation, formed in December 2020 that sells a virtual reality (“</w:t>
      </w:r>
      <w:r>
        <w:rPr>
          <w:rFonts w:ascii="Times New Roman;Times;Serif" w:hAnsi="Times New Roman;Times;Serif"/>
          <w:b w:val="false"/>
          <w:i/>
          <w:caps w:val="false"/>
          <w:smallCaps w:val="false"/>
          <w:sz w:val="20"/>
        </w:rPr>
        <w:t>VR</w:t>
      </w:r>
      <w:r>
        <w:rPr>
          <w:rFonts w:ascii="Times New Roman;Times;Serif" w:hAnsi="Times New Roman;Times;Serif"/>
          <w:b w:val="false"/>
          <w:i w:val="false"/>
          <w:caps w:val="false"/>
          <w:smallCaps w:val="false"/>
          <w:sz w:val="20"/>
        </w:rPr>
        <w:t>”) training system primarily targeting law enforcement agencies and Intrensic, LLC (“Intrensic”), which the Company acquired in August 2023, which specializes in Body Worn Camera and Digital Evidence Management solutions. The consolidated financial statements include the accounts of these subsidiaries after elimination of intercompany transactions and accounts.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3" w:name="xdx_86B_zxtxL040W1x6"/>
      <w:bookmarkStart w:id="234" w:name="xdx_842_ecustom--SegmentAndRelatedInform"/>
      <w:bookmarkEnd w:id="233"/>
      <w:bookmarkEnd w:id="234"/>
      <w:r>
        <w:rPr>
          <w:rFonts w:ascii="Times New Roman;Times;Serif" w:hAnsi="Times New Roman;Times;Serif"/>
          <w:b/>
          <w:i w:val="false"/>
          <w:caps w:val="false"/>
          <w:smallCaps w:val="false"/>
          <w:sz w:val="20"/>
        </w:rPr>
        <w:t>Segment and Related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segment. The Company’s chief operating decision maker is Scot Cohen, the Company’s Executive Chairman and Chief Executive Officer, who manages operations for purposes of allocating resources. Refer to Note 15. Major Customers and Related Information for further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5" w:name="xdx_868_zdaLgfoDTfYk"/>
      <w:bookmarkStart w:id="236" w:name="xdx_844_eus-gaap--GoodwillAndIntangibleA"/>
      <w:bookmarkEnd w:id="235"/>
      <w:bookmarkEnd w:id="236"/>
      <w:r>
        <w:rPr>
          <w:rFonts w:ascii="Times New Roman;Times;Serif" w:hAnsi="Times New Roman;Times;Serif"/>
          <w:b/>
          <w:i w:val="false"/>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difference, if any, between the aggregate consideration paid for an acquisition and the fair values of the underlying net assets and liabilities assumed from an acquired business. Goodwill is not amortized, but instead is tested for impairment. The Company tests goodwill for impairment on an annual basis during the fourth quarter, or more frequently if conditions indicate that such impairment could exist. The Company evaluates qualitative factors to determine if it is more likely than not that the fair value of a reporting unit is less than its carrying value and whether it is necessary to perform goodwill impairment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7" w:name="xdx_86C_zImkasFVoXkf"/>
      <w:bookmarkStart w:id="238" w:name="xdx_847_eus-gaap--IntangibleAssetsFinite"/>
      <w:bookmarkEnd w:id="237"/>
      <w:bookmarkEnd w:id="238"/>
      <w:r>
        <w:rPr>
          <w:rFonts w:ascii="Times New Roman;Times;Serif" w:hAnsi="Times New Roman;Times;Serif"/>
          <w:b/>
          <w:i w:val="false"/>
          <w:caps w:val="false"/>
          <w:smallCaps w:val="false"/>
          <w:sz w:val="20"/>
        </w:rPr>
        <w:t>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Definite-lived intangible assets represent certain trade names, patents, licenses, software, acquired technology and customer relationships. Definite-lived intangible assets are recorded at cost less any accumulated amortization and accumulated impairment losses, if any. Definite-lived intangible assets acquired through the business combination are measured at fair value at the acquisition date. The Company amortizes these acquired definite-lived intangibles assets with a finite life on a straight-line basis, over </w:t>
      </w:r>
      <w:bookmarkStart w:id="239" w:name="xdx_901_eus-gaap--FiniteLivedIntangibleA"/>
      <w:bookmarkEnd w:id="239"/>
      <w:r>
        <w:rPr>
          <w:rFonts w:ascii="Times New Roman;Times;Serif" w:hAnsi="Times New Roman;Times;Serif"/>
          <w:b w:val="false"/>
          <w:i w:val="false"/>
          <w:caps w:val="false"/>
          <w:smallCaps w:val="false"/>
          <w:sz w:val="20"/>
        </w:rPr>
        <w:t xml:space="preserve">6 years for technology; between </w:t>
      </w:r>
      <w:bookmarkStart w:id="240" w:name="xdx_90B_eus-gaap--FiniteLivedIntangibleA"/>
      <w:bookmarkEnd w:id="240"/>
      <w:r>
        <w:rPr>
          <w:rFonts w:ascii="Times New Roman;Times;Serif" w:hAnsi="Times New Roman;Times;Serif"/>
          <w:b w:val="false"/>
          <w:i w:val="false"/>
          <w:caps w:val="false"/>
          <w:smallCaps w:val="false"/>
          <w:sz w:val="20"/>
        </w:rPr>
        <w:t xml:space="preserve">3 and </w:t>
      </w:r>
      <w:bookmarkStart w:id="241" w:name="xdx_907_eus-gaap--FiniteLivedIntangibleA"/>
      <w:bookmarkEnd w:id="241"/>
      <w:r>
        <w:rPr>
          <w:rFonts w:ascii="Times New Roman;Times;Serif" w:hAnsi="Times New Roman;Times;Serif"/>
          <w:b w:val="false"/>
          <w:i w:val="false"/>
          <w:caps w:val="false"/>
          <w:smallCaps w:val="false"/>
          <w:sz w:val="20"/>
        </w:rPr>
        <w:t xml:space="preserve">7 years for customer relationships; and </w:t>
      </w:r>
      <w:bookmarkStart w:id="242" w:name="xdx_909_eus-gaap--FiniteLivedIntangibleA"/>
      <w:bookmarkEnd w:id="242"/>
      <w:r>
        <w:rPr>
          <w:rFonts w:ascii="Times New Roman;Times;Serif" w:hAnsi="Times New Roman;Times;Serif"/>
          <w:b w:val="false"/>
          <w:i w:val="false"/>
          <w:caps w:val="false"/>
          <w:smallCaps w:val="false"/>
          <w:sz w:val="20"/>
        </w:rPr>
        <w:t>8 years for trademarks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3" w:name="xdx_86C_z0D29xlSJJLi"/>
      <w:bookmarkStart w:id="244" w:name="xdx_84C_eus-gaap--UseOfEstimates_zmKxRfo"/>
      <w:bookmarkEnd w:id="243"/>
      <w:bookmarkEnd w:id="244"/>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(e.g., stock-based compensation valuation, allowance for doubtful accounts, valuation of inventory and intangible assets, warranty reserve, accrued expense, valuation of warrants, and recognition and measurement of contingencies) that affect the reported amounts of assets and liabilities, and disclosure of contingent assets and liabilities at the date of the financial statements and affect the reported amounts of revenue and expense during the reporting period. Actual results could materially differ from those estimates.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5" w:name="xdx_86C_zhRMgQT4ixug"/>
      <w:bookmarkStart w:id="246" w:name="xdx_847_ecustom--ClassificationAndValuat"/>
      <w:bookmarkEnd w:id="245"/>
      <w:bookmarkEnd w:id="246"/>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warrants that do not meet all the criteria for equity classification, the warrants are required to be recorded at their initial fair value on the date of issuance, and each balance sheet date thereafter. The Company accounts for the warrants issued in accordance with the guidance contained in ASC 815-40-15-7C,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7" w:name="xdx_865_zO4f6TUNZHoc"/>
      <w:bookmarkStart w:id="248" w:name="xdx_844_eus-gaap--StockholdersEquityPoli"/>
      <w:bookmarkEnd w:id="247"/>
      <w:bookmarkEnd w:id="248"/>
      <w:r>
        <w:rPr>
          <w:rFonts w:ascii="Times New Roman;Times;Serif" w:hAnsi="Times New Roman;Times;Serif"/>
          <w:b/>
          <w:i w:val="false"/>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and accounts for conversion options embedded in its convertible instruments in accordance with ASC 480 and ASC 815 to determine if those instruments or embedded components of those instruments qualify as derivatives and are subject to bifurcation accounting. The Company determines that the economic characteristics and risks of the embedded derivative instrument are clearly and closely related to the economic characteristics and risks of the host contract. The convertible instruments are accounted for as a single hybrid instrument. Additionally, the convertible instruments do not have any redemption features that would preclude permanent equity classification in accordance with the guidance contained in ASC 480-10-S99.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Series A Warrants (as defined herein), which are classified as liabilities and measured at fair value on a recurring basis, and the Series A Convertible Preferred Stock (the “Series A Preferred Stock”) in one transaction. The issuance proceeds were allocated by using the with-and-without method. Under this method, the Company first allocated the issuance proceeds to the Series A Warrants based on their initial fair value measurement, and then allocated the remaining proceeds to the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9" w:name="xdx_864_z770NapU3fVf"/>
      <w:bookmarkStart w:id="250" w:name="xdx_842_eus-gaap--RevenueFromContractWit"/>
      <w:bookmarkEnd w:id="249"/>
      <w:bookmarkEnd w:id="250"/>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under ASC Topic 606 - Revenue from Contracts with Customers (“ASC 606”). Revenue is recognized when control of the promised goods or performance obligations for services is transferred to the Company’s customers, in an amount that reflects the consideration the Company expects to be entitled to in exchange for the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that include various combinations of products, accessories, software and services, each of which are generally distinct and are accounted for as separate performance obligations. Product sales include BolaWrap products and accessories. Managed services revenue represents the consulting services provided to customers as a result of the Company’s acquisition of W1, LLC (“W1”) in February 2025. Other revenue includes VR revenues, service, training and shipping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The Company recognizes an asset if there are incremental costs of obtaining a contract with a customer such as commissions. These costs are ascribed to or allocated to the underlying performance obligations in the contract. 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performed. In such instances, a deferred revenue liability is recorded. The Company recognizes these contract liabilities as revenue after all revenue recognition criteria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costs for the Company’s standard warranty, generally one-year, are charged to cost of products sold when revenue is recorded for the related product. Royalties are also charged to cost of products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1" w:name="xdx_865_zhUV9NX3aycl"/>
      <w:bookmarkStart w:id="252" w:name="xdx_847_eus-gaap--EarningsPerSharePolicy"/>
      <w:bookmarkEnd w:id="251"/>
      <w:bookmarkEnd w:id="252"/>
      <w:r>
        <w:rPr>
          <w:rFonts w:ascii="Times New Roman;Times;Serif" w:hAnsi="Times New Roman;Times;Serif"/>
          <w:b/>
          <w:i w:val="false"/>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(EPS) is computed by dividing net loss, less any dividends, accretion or decretion, redemption or induced conversion, if any, on our Series A Preferred Stock, by the weighted average number of shares outstanding during the reported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computing diluted EPS, we adjust the numerator used in the basic EPS computation, subject to anti-dilution requirements, to add back the dividends (declared or cumulative undeclared) applicable to the Series A Preferred Stock. Such add-back would also include any adjustments to equity in the period to accrete the Series A Preferred Stock to its redemption price, or recorded upon a redemption or induced conversion, if any. We adjust the denominator used in the basic EPS computation, subject to anti-dilution requirements, to include the dilution from potential shares resulting from the issuance of the Series A Preferred Stock, restricted stock units, and stock options. Stock options and restricted stock units exercisable or issuable for a total of </w:t>
      </w:r>
      <w:bookmarkStart w:id="253" w:name="xdx_909_eus-gaap--AntidilutiveSecurities"/>
      <w:bookmarkEnd w:id="253"/>
      <w:r>
        <w:rPr>
          <w:rFonts w:ascii="Times New Roman;Times;Serif" w:hAnsi="Times New Roman;Times;Serif"/>
          <w:b w:val="false"/>
          <w:i w:val="false"/>
          <w:caps w:val="false"/>
          <w:smallCaps w:val="false"/>
          <w:sz w:val="20"/>
        </w:rPr>
        <w:t xml:space="preserve">7,595,515 shares and </w:t>
      </w:r>
      <w:bookmarkStart w:id="254" w:name="xdx_905_eus-gaap--AntidilutiveSecurities"/>
      <w:bookmarkEnd w:id="254"/>
      <w:r>
        <w:rPr>
          <w:rFonts w:ascii="Times New Roman;Times;Serif" w:hAnsi="Times New Roman;Times;Serif"/>
          <w:b w:val="false"/>
          <w:i w:val="false"/>
          <w:caps w:val="false"/>
          <w:smallCaps w:val="false"/>
          <w:sz w:val="20"/>
        </w:rPr>
        <w:t>5,476,219 shares of Common Stock were outstanding as of March 31, 2025 and 2024, respectively. These securities are not included in the computation of diluted net loss per common share for the periods presented as their inclusion would be antidilutive due to losses incurred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5" w:name="xdx_86A_zwafuqqaYcoi"/>
      <w:bookmarkStart w:id="256" w:name="xdx_84B_ecustom--ReclassificationOfPrior"/>
      <w:bookmarkEnd w:id="255"/>
      <w:bookmarkEnd w:id="256"/>
      <w:r>
        <w:rPr>
          <w:rFonts w:ascii="Times New Roman;Times;Serif" w:hAnsi="Times New Roman;Times;Serif"/>
          <w:b/>
          <w:i w:val="false"/>
          <w:caps w:val="false"/>
          <w:smallCaps w:val="false"/>
          <w:sz w:val="20"/>
        </w:rPr>
        <w:t>Reclassification of Prior Year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year amounts have been reclassified for consistency with the current year presentation. These reclassifications had no effect on the reported results of operations. An adjustment has been made to the Consolidated Balance Sheet and Consolidated Statements of Cash Flows for the quarterly period ending March 31, 2024 and the fiscal year ended December 31, 2024, to reclassify the Series A Preferred Stock at par value.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7" w:name="xdx_866_zIC1aB0iCwL3"/>
      <w:bookmarkStart w:id="258" w:name="xdx_841_eus-gaap--NewAccountingPronounce"/>
      <w:bookmarkEnd w:id="257"/>
      <w:bookmarkEnd w:id="258"/>
      <w:r>
        <w:rPr>
          <w:rFonts w:ascii="Times New Roman;Times;Serif" w:hAnsi="Times New Roman;Times;Serif"/>
          <w:b/>
          <w:i w:val="false"/>
          <w:caps w:val="false"/>
          <w:smallCaps w:val="false"/>
          <w:sz w:val="20"/>
        </w:rPr>
        <w:t>Recently Issued Accounting Guidance Not Yet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2024, the FASB issued ASU 2024-03,2 (“ASU 2024-03”) which requires disaggregated disclosure of income statement expenses for public business entities (“PBEs”). ASU 2024-03 does not change the expense captions an entity presents on the face of the income statement; rather, it requires disaggregation of certain expense captions into specified categories in disclosures within the footnotes to the financial statements. ASU 2024-03 adds ASC 220-40 to require a footnote disclosure about specific expenses by requiring PBEs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(DD&amp;A) recognized as part of oil- and gas-producing activities or other types of depletion expenses. The tabular disclosure would also include certain other expenses, when applicable. ASU 2024-03 does not change or remove existing expense disclosure requirements; however, it may affect where that information appears in the footnotes to the financial statements. ASU 2024-03 is effective for all PBEs for fiscal years beginning after December 15, 2026, and interim periods within fiscal years beginning after December 15, 2027. Early adoption is permitted. The Company has not yet adopted this ASU during the year ended December 31, 2024. The Company is currently evaluating the impacts of ASU 2024-03 on its financial statements.</w:t>
      </w:r>
    </w:p>
    <w:p>
      <w:pPr>
        <w:pStyle w:val="TextBody"/>
        <w:bidi w:val="0"/>
        <w:spacing w:before="0" w:after="0"/>
        <w:ind w:left="0" w:right="0" w:hanging="0"/>
        <w:jc w:val="both"/>
        <w:rPr>
          <w:caps w:val="false"/>
          <w:smallCaps w:val="false"/>
        </w:rPr>
      </w:pPr>
      <w:bookmarkStart w:id="259" w:name="xdx_850_zAaPUGQobOGh"/>
      <w:bookmarkEnd w:id="25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0" w:name="xdx_808_eus-gaap--RevenueFromContractWit"/>
      <w:bookmarkEnd w:id="260"/>
      <w:r>
        <w:rPr>
          <w:rFonts w:ascii="Times New Roman;Times;Serif" w:hAnsi="Times New Roman;Times;Serif"/>
          <w:b/>
          <w:i w:val="false"/>
          <w:caps w:val="false"/>
          <w:smallCaps w:val="false"/>
          <w:sz w:val="20"/>
        </w:rPr>
        <w:t xml:space="preserve">2. </w:t>
      </w:r>
      <w:bookmarkStart w:id="261" w:name="xdx_82E_zqaS8rJ9byuk"/>
      <w:bookmarkEnd w:id="261"/>
      <w:r>
        <w:rPr>
          <w:rFonts w:ascii="Times New Roman;Times;Serif" w:hAnsi="Times New Roman;Times;Serif"/>
          <w:b/>
          <w:i w:val="false"/>
          <w:caps w:val="false"/>
          <w:smallCaps w:val="false"/>
          <w:sz w:val="20"/>
        </w:rPr>
        <w:t>REVENUE AND PRODUCT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consists of product revenue and other revenue. Product sales include BolaWrap products and accessories. Other revenue includes VR revenue, service, training and shipping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The Company recognizes an asset if there are incremental costs of obtaining a contract with a customer such as commissions. These costs are ascribed to or allocated to the underlying performance obligations in the contract. 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performed. In such instances, a deferred revenue liability is recorded. The Company recognizes these contract liabilities as revenue after all revenue recognition criteria are met. The table below details the activity in our contract liabilities during the three months ended March 31, 2025.</w:t>
      </w:r>
    </w:p>
    <w:p>
      <w:pPr>
        <w:pStyle w:val="TextBody"/>
        <w:bidi w:val="0"/>
        <w:spacing w:before="0" w:after="0"/>
        <w:ind w:left="0" w:right="0" w:hanging="0"/>
        <w:jc w:val="left"/>
        <w:rPr>
          <w:caps w:val="false"/>
          <w:smallCaps w:val="false"/>
        </w:rPr>
      </w:pPr>
      <w:bookmarkStart w:id="262" w:name="xdx_894_eus-gaap--ContractWithCustomerAs"/>
      <w:bookmarkEnd w:id="262"/>
      <w:r>
        <w:rPr>
          <w:caps w:val="false"/>
          <w:smallCaps w:val="false"/>
        </w:rPr>
        <w:t> </w:t>
      </w:r>
      <w:bookmarkStart w:id="263" w:name="xdx_8BE_zwBoIOsaK5O1"/>
      <w:bookmarkEnd w:id="263"/>
      <w:r>
        <w:rPr>
          <w:rFonts w:ascii="Times New Roman;Times;Serif" w:hAnsi="Times New Roman;Times;Serif"/>
          <w:b w:val="false"/>
          <w:i w:val="false"/>
          <w:caps w:val="false"/>
          <w:smallCaps w:val="false"/>
          <w:sz w:val="20"/>
        </w:rPr>
        <w:t>SCHEDULE OF CONTRACT LIABILITIES</w:t>
      </w:r>
    </w:p>
    <w:tbl>
      <w:tblPr>
        <w:tblW w:w="4850" w:type="dxa"/>
        <w:jc w:val="left"/>
        <w:tblInd w:w="0" w:type="dxa"/>
        <w:tblLayout w:type="fixed"/>
        <w:tblCellMar>
          <w:top w:w="0" w:type="dxa"/>
          <w:left w:w="0" w:type="dxa"/>
          <w:bottom w:w="0" w:type="dxa"/>
          <w:right w:w="0" w:type="dxa"/>
        </w:tblCellMar>
      </w:tblPr>
      <w:tblGrid>
        <w:gridCol w:w="2600"/>
        <w:gridCol w:w="60"/>
        <w:gridCol w:w="358"/>
        <w:gridCol w:w="667"/>
        <w:gridCol w:w="60"/>
        <w:gridCol w:w="60"/>
        <w:gridCol w:w="220"/>
        <w:gridCol w:w="715"/>
        <w:gridCol w:w="11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4" w:name="xdx_49D_20250101__20250331__srt--Product"/>
            <w:bookmarkEnd w:id="264"/>
          </w:p>
        </w:tc>
        <w:tc>
          <w:tcPr>
            <w:tcW w:w="1025" w:type="dxa"/>
            <w:gridSpan w:val="2"/>
            <w:tcBorders/>
            <w:vAlign w:val="center"/>
          </w:tcPr>
          <w:p>
            <w:pPr>
              <w:pStyle w:val="TableContents"/>
              <w:bidi w:val="0"/>
              <w:spacing w:before="0" w:after="283"/>
              <w:jc w:val="center"/>
              <w:rPr>
                <w:b/>
              </w:rPr>
            </w:pPr>
            <w:r>
              <w:rPr>
                <w:b/>
              </w:rPr>
              <w:t>Customer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5" w:name="xdx_493_20250101__20250331__srt--Product"/>
            <w:bookmarkEnd w:id="265"/>
          </w:p>
        </w:tc>
        <w:tc>
          <w:tcPr>
            <w:tcW w:w="935" w:type="dxa"/>
            <w:gridSpan w:val="2"/>
            <w:tcBorders/>
            <w:vAlign w:val="center"/>
          </w:tcPr>
          <w:p>
            <w:pPr>
              <w:pStyle w:val="TableContents"/>
              <w:bidi w:val="0"/>
              <w:spacing w:before="0" w:after="283"/>
              <w:jc w:val="center"/>
              <w:rPr>
                <w:b/>
              </w:rPr>
            </w:pPr>
            <w:r>
              <w:rPr>
                <w:b/>
              </w:rPr>
              <w:t>Deferred</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Deposits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Revenue</w:t>
            </w:r>
          </w:p>
        </w:tc>
        <w:tc>
          <w:tcPr>
            <w:tcW w:w="110" w:type="dxa"/>
            <w:tcBorders/>
            <w:vAlign w:val="center"/>
          </w:tcPr>
          <w:p>
            <w:pPr>
              <w:pStyle w:val="TableContents"/>
              <w:bidi w:val="0"/>
              <w:spacing w:before="0" w:after="283"/>
              <w:jc w:val="left"/>
              <w:rPr/>
            </w:pPr>
            <w:r>
              <w:rPr/>
              <w:t> </w:t>
            </w:r>
            <w:bookmarkStart w:id="266" w:name="xdx_40E_eus-gaap--ContractWithCustomerLi"/>
            <w:bookmarkEnd w:id="266"/>
          </w:p>
        </w:tc>
      </w:tr>
      <w:tr>
        <w:trPr/>
        <w:tc>
          <w:tcPr>
            <w:tcW w:w="2600" w:type="dxa"/>
            <w:tcBorders/>
            <w:shd w:fill="CCEEFF" w:val="clear"/>
            <w:vAlign w:val="center"/>
          </w:tcPr>
          <w:p>
            <w:pPr>
              <w:pStyle w:val="TableContents"/>
              <w:bidi w:val="0"/>
              <w:spacing w:before="0" w:after="283"/>
              <w:jc w:val="left"/>
              <w:rPr/>
            </w:pPr>
            <w:r>
              <w:rPr/>
              <w:t>Balance at January 1, 2025</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667"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505</w:t>
            </w:r>
          </w:p>
        </w:tc>
        <w:tc>
          <w:tcPr>
            <w:tcW w:w="110" w:type="dxa"/>
            <w:tcBorders/>
            <w:shd w:fill="CCEEFF" w:val="clear"/>
            <w:vAlign w:val="center"/>
          </w:tcPr>
          <w:p>
            <w:pPr>
              <w:pStyle w:val="TableContents"/>
              <w:bidi w:val="0"/>
              <w:spacing w:before="0" w:after="283"/>
              <w:jc w:val="left"/>
              <w:rPr/>
            </w:pPr>
            <w:r>
              <w:rPr/>
              <w:t> </w:t>
            </w:r>
            <w:bookmarkStart w:id="267" w:name="xdx_405_ecustom--ContractWithCustomerLia"/>
            <w:bookmarkEnd w:id="267"/>
          </w:p>
        </w:tc>
      </w:tr>
      <w:tr>
        <w:trPr/>
        <w:tc>
          <w:tcPr>
            <w:tcW w:w="2600" w:type="dxa"/>
            <w:tcBorders/>
            <w:shd w:fill="FFFFFF" w:val="clear"/>
            <w:vAlign w:val="center"/>
          </w:tcPr>
          <w:p>
            <w:pPr>
              <w:pStyle w:val="TableContents"/>
              <w:bidi w:val="0"/>
              <w:spacing w:before="0" w:after="283"/>
              <w:jc w:val="left"/>
              <w:rPr/>
            </w:pPr>
            <w:r>
              <w:rPr/>
              <w:t>Additions, net</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72</w:t>
            </w:r>
          </w:p>
        </w:tc>
        <w:tc>
          <w:tcPr>
            <w:tcW w:w="110" w:type="dxa"/>
            <w:tcBorders/>
            <w:shd w:fill="FFFFFF" w:val="clear"/>
            <w:vAlign w:val="center"/>
          </w:tcPr>
          <w:p>
            <w:pPr>
              <w:pStyle w:val="TableContents"/>
              <w:bidi w:val="0"/>
              <w:spacing w:before="0" w:after="283"/>
              <w:jc w:val="left"/>
              <w:rPr/>
            </w:pPr>
            <w:r>
              <w:rPr/>
              <w:t> </w:t>
            </w:r>
            <w:bookmarkStart w:id="268" w:name="xdx_406_eus-gaap--ContractWithCustomerLi"/>
            <w:bookmarkEnd w:id="268"/>
          </w:p>
        </w:tc>
      </w:tr>
      <w:tr>
        <w:trPr/>
        <w:tc>
          <w:tcPr>
            <w:tcW w:w="2600" w:type="dxa"/>
            <w:tcBorders/>
            <w:shd w:fill="CCEEFF" w:val="clear"/>
            <w:vAlign w:val="center"/>
          </w:tcPr>
          <w:p>
            <w:pPr>
              <w:pStyle w:val="TableContents"/>
              <w:bidi w:val="0"/>
              <w:spacing w:before="0" w:after="283"/>
              <w:jc w:val="left"/>
              <w:rPr/>
            </w:pPr>
            <w:r>
              <w:rPr/>
              <w:t>Transfer to revenue</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single" w:sz="8" w:space="0" w:color="000000"/>
            </w:tcBorders>
            <w:shd w:fill="CCEEFF" w:val="clear"/>
            <w:tcMar>
              <w:bottom w:w="28" w:type="dxa"/>
            </w:tcMar>
            <w:vAlign w:val="center"/>
          </w:tcPr>
          <w:p>
            <w:pPr>
              <w:pStyle w:val="TableContents"/>
              <w:bidi w:val="0"/>
              <w:spacing w:before="0" w:after="283"/>
              <w:jc w:val="right"/>
              <w:rPr/>
            </w:pPr>
            <w:r>
              <w:rPr/>
              <w:t>(227</w:t>
            </w:r>
          </w:p>
        </w:tc>
        <w:tc>
          <w:tcPr>
            <w:tcW w:w="110" w:type="dxa"/>
            <w:tcBorders/>
            <w:shd w:fill="CCEEFF" w:val="clear"/>
            <w:vAlign w:val="center"/>
          </w:tcPr>
          <w:p>
            <w:pPr>
              <w:pStyle w:val="TableContents"/>
              <w:bidi w:val="0"/>
              <w:spacing w:before="0" w:after="283"/>
              <w:jc w:val="left"/>
              <w:rPr/>
            </w:pPr>
            <w:r>
              <w:rPr/>
              <w:t>)</w:t>
            </w:r>
            <w:bookmarkStart w:id="269" w:name="xdx_407_eus-gaap--ContractWithCustomerLi"/>
            <w:bookmarkEnd w:id="269"/>
          </w:p>
        </w:tc>
      </w:tr>
      <w:tr>
        <w:trPr/>
        <w:tc>
          <w:tcPr>
            <w:tcW w:w="2600" w:type="dxa"/>
            <w:tcBorders/>
            <w:shd w:fill="FFFFFF" w:val="clear"/>
            <w:vAlign w:val="center"/>
          </w:tcPr>
          <w:p>
            <w:pPr>
              <w:pStyle w:val="TableContents"/>
              <w:bidi w:val="0"/>
              <w:spacing w:before="0" w:after="283"/>
              <w:jc w:val="left"/>
              <w:rPr/>
            </w:pPr>
            <w:r>
              <w:rPr/>
              <w:t>Balance at March 31, 2025</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67" w:type="dxa"/>
            <w:tcBorders>
              <w:bottom w:val="single" w:sz="8" w:space="0" w:color="000000"/>
            </w:tcBorders>
            <w:shd w:fill="FFFFFF" w:val="clear"/>
            <w:tcMar>
              <w:bottom w:w="28" w:type="dxa"/>
            </w:tcM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15" w:type="dxa"/>
            <w:tcBorders>
              <w:bottom w:val="single" w:sz="8" w:space="0" w:color="000000"/>
            </w:tcBorders>
            <w:shd w:fill="FFFFFF" w:val="clear"/>
            <w:tcMar>
              <w:bottom w:w="28" w:type="dxa"/>
            </w:tcMar>
            <w:vAlign w:val="center"/>
          </w:tcPr>
          <w:p>
            <w:pPr>
              <w:pStyle w:val="TableContents"/>
              <w:bidi w:val="0"/>
              <w:spacing w:before="0" w:after="283"/>
              <w:jc w:val="right"/>
              <w:rPr/>
            </w:pPr>
            <w:r>
              <w:rPr/>
              <w:t>350</w:t>
            </w:r>
          </w:p>
        </w:tc>
        <w:tc>
          <w:tcPr>
            <w:tcW w:w="110" w:type="dxa"/>
            <w:tcBorders/>
            <w:shd w:fill="FFFFFF" w:val="clear"/>
            <w:vAlign w:val="center"/>
          </w:tcPr>
          <w:p>
            <w:pPr>
              <w:pStyle w:val="TableContents"/>
              <w:bidi w:val="0"/>
              <w:spacing w:before="0" w:after="283"/>
              <w:jc w:val="left"/>
              <w:rPr/>
            </w:pPr>
            <w:r>
              <w:rPr/>
              <w:t> </w:t>
            </w:r>
            <w:bookmarkStart w:id="270" w:name="xdx_401_eus-gaap--ContractWithCustomerLi"/>
            <w:bookmarkEnd w:id="270"/>
          </w:p>
        </w:tc>
      </w:tr>
      <w:tr>
        <w:trPr/>
        <w:tc>
          <w:tcPr>
            <w:tcW w:w="2600" w:type="dxa"/>
            <w:tcBorders/>
            <w:shd w:fill="CCEEFF" w:val="clear"/>
            <w:vAlign w:val="center"/>
          </w:tcPr>
          <w:p>
            <w:pPr>
              <w:pStyle w:val="TableContents"/>
              <w:bidi w:val="0"/>
              <w:spacing w:before="0" w:after="283"/>
              <w:jc w:val="left"/>
              <w:rPr/>
            </w:pPr>
            <w:r>
              <w:rPr/>
              <w:t>Current portion</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67" w:type="dxa"/>
            <w:tcBorders>
              <w:bottom w:val="single" w:sz="8" w:space="0" w:color="000000"/>
            </w:tcBorders>
            <w:shd w:fill="CCEEFF" w:val="clear"/>
            <w:tcMar>
              <w:bottom w:w="28" w:type="dxa"/>
            </w:tcM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5" w:type="dxa"/>
            <w:tcBorders>
              <w:bottom w:val="single" w:sz="8" w:space="0" w:color="000000"/>
            </w:tcBorders>
            <w:shd w:fill="CCEEFF" w:val="clear"/>
            <w:tcMar>
              <w:bottom w:w="28" w:type="dxa"/>
            </w:tcMar>
            <w:vAlign w:val="center"/>
          </w:tcPr>
          <w:p>
            <w:pPr>
              <w:pStyle w:val="TableContents"/>
              <w:bidi w:val="0"/>
              <w:spacing w:before="0" w:after="283"/>
              <w:jc w:val="right"/>
              <w:rPr/>
            </w:pPr>
            <w:r>
              <w:rPr/>
              <w:t>322</w:t>
            </w:r>
          </w:p>
        </w:tc>
        <w:tc>
          <w:tcPr>
            <w:tcW w:w="110" w:type="dxa"/>
            <w:tcBorders/>
            <w:shd w:fill="CCEEFF" w:val="clear"/>
            <w:vAlign w:val="center"/>
          </w:tcPr>
          <w:p>
            <w:pPr>
              <w:pStyle w:val="TableContents"/>
              <w:bidi w:val="0"/>
              <w:spacing w:before="0" w:after="283"/>
              <w:jc w:val="left"/>
              <w:rPr/>
            </w:pPr>
            <w:r>
              <w:rPr/>
              <w:t> </w:t>
            </w:r>
            <w:bookmarkStart w:id="271" w:name="xdx_406_eus-gaap--ContractWithCustomerLi"/>
            <w:bookmarkEnd w:id="271"/>
          </w:p>
        </w:tc>
      </w:tr>
      <w:tr>
        <w:trPr/>
        <w:tc>
          <w:tcPr>
            <w:tcW w:w="2600" w:type="dxa"/>
            <w:tcBorders/>
            <w:shd w:fill="FFFFFF" w:val="clear"/>
            <w:vAlign w:val="center"/>
          </w:tcPr>
          <w:p>
            <w:pPr>
              <w:pStyle w:val="TableContents"/>
              <w:bidi w:val="0"/>
              <w:spacing w:before="0" w:after="283"/>
              <w:jc w:val="left"/>
              <w:rPr/>
            </w:pPr>
            <w:r>
              <w:rPr/>
              <w:t>Long-term portion</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15" w:type="dxa"/>
            <w:tcBorders>
              <w:bottom w:val="single" w:sz="8" w:space="0" w:color="000000"/>
            </w:tcBorders>
            <w:shd w:fill="FFFFFF" w:val="clear"/>
            <w:tcMar>
              <w:bottom w:w="28" w:type="dxa"/>
            </w:tcM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2" w:name="xdx_8A4_zuCjjvqSFD5l"/>
      <w:bookmarkEnd w:id="2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Company’s deferred revenue of $</w:t>
      </w:r>
      <w:bookmarkStart w:id="273" w:name="xdx_901_eus-gaap--ContractWithCustomerLi"/>
      <w:bookmarkEnd w:id="273"/>
      <w:r>
        <w:rPr>
          <w:rFonts w:ascii="Times New Roman;Times;Serif" w:hAnsi="Times New Roman;Times;Serif"/>
          <w:b w:val="false"/>
          <w:i w:val="false"/>
          <w:caps w:val="false"/>
          <w:smallCaps w:val="false"/>
          <w:sz w:val="20"/>
        </w:rPr>
        <w:t>350 consisted of $</w:t>
      </w:r>
      <w:bookmarkStart w:id="274" w:name="xdx_903_eus-gaap--ContractWithCustomerLi"/>
      <w:bookmarkEnd w:id="274"/>
      <w:r>
        <w:rPr>
          <w:rFonts w:ascii="Times New Roman;Times;Serif" w:hAnsi="Times New Roman;Times;Serif"/>
          <w:b w:val="false"/>
          <w:i w:val="false"/>
          <w:caps w:val="false"/>
          <w:smallCaps w:val="false"/>
          <w:sz w:val="20"/>
        </w:rPr>
        <w:t>57 related to VR, $</w:t>
      </w:r>
      <w:bookmarkStart w:id="275" w:name="xdx_90D_eus-gaap--ContractWithCustomerLi"/>
      <w:bookmarkEnd w:id="275"/>
      <w:r>
        <w:rPr>
          <w:rFonts w:ascii="Times New Roman;Times;Serif" w:hAnsi="Times New Roman;Times;Serif"/>
          <w:b w:val="false"/>
          <w:i w:val="false"/>
          <w:caps w:val="false"/>
          <w:smallCaps w:val="false"/>
          <w:sz w:val="20"/>
        </w:rPr>
        <w:t>234 related to Intrensic, $</w:t>
      </w:r>
      <w:bookmarkStart w:id="276" w:name="xdx_909_eus-gaap--ContractWithCustomerLi"/>
      <w:bookmarkEnd w:id="276"/>
      <w:r>
        <w:rPr>
          <w:rFonts w:ascii="Times New Roman;Times;Serif" w:hAnsi="Times New Roman;Times;Serif"/>
          <w:b w:val="false"/>
          <w:i w:val="false"/>
          <w:caps w:val="false"/>
          <w:smallCaps w:val="false"/>
          <w:sz w:val="20"/>
        </w:rPr>
        <w:t>54 related to BolaWrap extended warranties and services and $</w:t>
      </w:r>
      <w:bookmarkStart w:id="277" w:name="xdx_90C_eus-gaap--ContractWithCustomerLi"/>
      <w:bookmarkEnd w:id="277"/>
      <w:r>
        <w:rPr>
          <w:rFonts w:ascii="Times New Roman;Times;Serif" w:hAnsi="Times New Roman;Times;Serif"/>
          <w:b w:val="false"/>
          <w:i w:val="false"/>
          <w:caps w:val="false"/>
          <w:smallCaps w:val="false"/>
          <w:sz w:val="20"/>
        </w:rPr>
        <w:t>5 related to training.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costs for the Company’s standard warranty, generally one-year, are charged to cost of products sold when revenue is recorded for the related product. Royalties are also charged to the cost of products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8" w:name="xdx_803_eus-gaap--FinancialInstrumentsDi"/>
      <w:bookmarkEnd w:id="278"/>
      <w:r>
        <w:rPr>
          <w:rFonts w:ascii="Times New Roman;Times;Serif" w:hAnsi="Times New Roman;Times;Serif"/>
          <w:b/>
          <w:i w:val="false"/>
          <w:caps w:val="false"/>
          <w:smallCaps w:val="false"/>
          <w:sz w:val="20"/>
        </w:rPr>
        <w:t xml:space="preserve">3. </w:t>
      </w:r>
      <w:bookmarkStart w:id="279" w:name="xdx_826_z706U76qZTxb"/>
      <w:bookmarkEnd w:id="279"/>
      <w:r>
        <w:rPr>
          <w:rFonts w:ascii="Times New Roman;Times;Serif" w:hAnsi="Times New Roman;Times;Serif"/>
          <w:b/>
          <w:i w:val="false"/>
          <w:caps w:val="false"/>
          <w:smallCaps w:val="false"/>
          <w:sz w:val="20"/>
        </w:rPr>
        <w:t>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1</w:t>
      </w:r>
      <w:r>
        <w:rPr>
          <w:rFonts w:ascii="Times New Roman;Times;Serif" w:hAnsi="Times New Roman;Times;Serif"/>
          <w:b w:val="false"/>
          <w:i w:val="false"/>
          <w:caps w:val="false"/>
          <w:smallCaps w:val="false"/>
          <w:sz w:val="20"/>
        </w:rPr>
        <w:t>—Inputs are unadjusted, quoted prices in active markets for identical assets or liabilities at the measurement date;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2</w:t>
      </w:r>
      <w:r>
        <w:rPr>
          <w:rFonts w:ascii="Times New Roman;Times;Serif" w:hAnsi="Times New Roman;Times;Serif"/>
          <w:b w:val="false"/>
          <w:i w:val="false"/>
          <w:caps w:val="false"/>
          <w:smallCaps w:val="false"/>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3</w:t>
      </w:r>
      <w:r>
        <w:rPr>
          <w:rFonts w:ascii="Times New Roman;Times;Serif" w:hAnsi="Times New Roman;Times;Serif"/>
          <w:b w:val="false"/>
          <w:i w:val="false"/>
          <w:caps w:val="false"/>
          <w:smallCaps w:val="false"/>
          <w:sz w:val="20"/>
        </w:rPr>
        <w:t>—Unobservable inputs that are significant to the measurement of the fair value of the assets or liabilities that are supported by little or no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0" w:name="xdx_891_eus-gaap--FairValueAssetsAndLiab"/>
      <w:bookmarkEnd w:id="280"/>
      <w:r>
        <w:rPr>
          <w:rFonts w:ascii="Times New Roman;Times;Serif" w:hAnsi="Times New Roman;Times;Serif"/>
          <w:b w:val="false"/>
          <w:i w:val="false"/>
          <w:caps w:val="false"/>
          <w:smallCaps w:val="false"/>
          <w:sz w:val="20"/>
        </w:rPr>
        <w:t>The following table shows the Company’s short-term investments by significant investment category as of March 31, 2025, and December 31, 2024.</w:t>
      </w:r>
    </w:p>
    <w:p>
      <w:pPr>
        <w:pStyle w:val="TextBody"/>
        <w:bidi w:val="0"/>
        <w:spacing w:before="0" w:after="0"/>
        <w:ind w:left="0" w:right="0" w:hanging="0"/>
        <w:jc w:val="left"/>
        <w:rPr>
          <w:caps w:val="false"/>
          <w:smallCaps w:val="false"/>
        </w:rPr>
      </w:pPr>
      <w:r>
        <w:rPr>
          <w:caps w:val="false"/>
          <w:smallCaps w:val="false"/>
        </w:rPr>
        <w:t> </w:t>
      </w:r>
      <w:bookmarkStart w:id="281" w:name="xdx_8B8_zkc8pjfmUXo4"/>
      <w:bookmarkEnd w:id="281"/>
      <w:r>
        <w:rPr>
          <w:rFonts w:ascii="Times New Roman;Times;Serif" w:hAnsi="Times New Roman;Times;Serif"/>
          <w:b w:val="false"/>
          <w:i w:val="false"/>
          <w:caps w:val="false"/>
          <w:smallCaps w:val="false"/>
          <w:sz w:val="20"/>
        </w:rPr>
        <w:t>SCHEDULE OF SHORT TERM INVESTMENTS</w:t>
      </w:r>
    </w:p>
    <w:tbl>
      <w:tblPr>
        <w:tblW w:w="6625" w:type="dxa"/>
        <w:jc w:val="left"/>
        <w:tblInd w:w="0" w:type="dxa"/>
        <w:tblLayout w:type="fixed"/>
        <w:tblCellMar>
          <w:top w:w="0" w:type="dxa"/>
          <w:left w:w="0" w:type="dxa"/>
          <w:bottom w:w="0" w:type="dxa"/>
          <w:right w:w="0" w:type="dxa"/>
        </w:tblCellMar>
      </w:tblPr>
      <w:tblGrid>
        <w:gridCol w:w="2135"/>
        <w:gridCol w:w="60"/>
        <w:gridCol w:w="190"/>
        <w:gridCol w:w="760"/>
        <w:gridCol w:w="60"/>
        <w:gridCol w:w="60"/>
        <w:gridCol w:w="265"/>
        <w:gridCol w:w="865"/>
        <w:gridCol w:w="60"/>
        <w:gridCol w:w="60"/>
        <w:gridCol w:w="265"/>
        <w:gridCol w:w="865"/>
        <w:gridCol w:w="60"/>
        <w:gridCol w:w="60"/>
        <w:gridCol w:w="157"/>
        <w:gridCol w:w="628"/>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March 31, 2025</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Adjusted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rPr>
            </w:pPr>
            <w:r>
              <w:rPr>
                <w:b/>
              </w:rPr>
              <w:t>Market</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Level 1:</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82" w:name="xdx_98F_ecustom--FinancialInstrumentsOwn"/>
            <w:bookmarkEnd w:id="282"/>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pPr>
            <w:r>
              <w:rPr/>
              <w:t>5,435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83" w:name="xdx_98A_ecustom--FairValueAssetRecurring"/>
            <w:bookmarkEnd w:id="283"/>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84" w:name="xdx_982_ecustom--FairValueAssetRecurring"/>
            <w:bookmarkEnd w:id="284"/>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85" w:name="xdx_98B_eus-gaap--FinancialInstrumentsOw"/>
            <w:bookmarkEnd w:id="285"/>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5,435</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Financial Assets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6" w:name="xdx_984_ecustom--FinancialInstrumentsOwn"/>
            <w:bookmarkEnd w:id="286"/>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pPr>
            <w:r>
              <w:rPr/>
              <w:t>5,435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7" w:name="xdx_981_ecustom--FairValueAssetRecurring"/>
            <w:bookmarkEnd w:id="287"/>
          </w:p>
        </w:tc>
        <w:tc>
          <w:tcPr>
            <w:tcW w:w="86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8" w:name="xdx_989_ecustom--FairValueAssetRecurring"/>
            <w:bookmarkEnd w:id="288"/>
          </w:p>
        </w:tc>
        <w:tc>
          <w:tcPr>
            <w:tcW w:w="86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9" w:name="xdx_98C_eus-gaap--FinancialInstrumentsOw"/>
            <w:bookmarkEnd w:id="289"/>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5,435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2135"/>
        <w:gridCol w:w="60"/>
        <w:gridCol w:w="190"/>
        <w:gridCol w:w="760"/>
        <w:gridCol w:w="60"/>
        <w:gridCol w:w="60"/>
        <w:gridCol w:w="265"/>
        <w:gridCol w:w="865"/>
        <w:gridCol w:w="60"/>
        <w:gridCol w:w="60"/>
        <w:gridCol w:w="265"/>
        <w:gridCol w:w="865"/>
        <w:gridCol w:w="60"/>
        <w:gridCol w:w="60"/>
        <w:gridCol w:w="157"/>
        <w:gridCol w:w="628"/>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Adjusted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rPr>
            </w:pPr>
            <w:r>
              <w:rPr>
                <w:b/>
              </w:rPr>
              <w:t>Market</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Level 1:</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90" w:name="xdx_986_ecustom--FinancialInstrumentsOwn"/>
            <w:bookmarkEnd w:id="290"/>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pPr>
            <w:r>
              <w:rPr/>
              <w:t>2,945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1" w:name="xdx_989_ecustom--FairValueAssetRecurring"/>
            <w:bookmarkEnd w:id="291"/>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2" w:name="xdx_982_ecustom--FairValueAssetRecurring"/>
            <w:bookmarkEnd w:id="292"/>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93" w:name="xdx_981_eus-gaap--FinancialInstrumentsOw"/>
            <w:bookmarkEnd w:id="293"/>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2,945</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Financial Assets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94" w:name="xdx_98B_ecustom--FinancialInstrumentsOwn"/>
            <w:bookmarkEnd w:id="294"/>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pPr>
            <w:r>
              <w:rPr/>
              <w:t>2,945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95" w:name="xdx_985_ecustom--FairValueAssetRecurring"/>
            <w:bookmarkEnd w:id="295"/>
          </w:p>
        </w:tc>
        <w:tc>
          <w:tcPr>
            <w:tcW w:w="86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96" w:name="xdx_98A_ecustom--FairValueAssetRecurring"/>
            <w:bookmarkEnd w:id="296"/>
          </w:p>
        </w:tc>
        <w:tc>
          <w:tcPr>
            <w:tcW w:w="86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97" w:name="xdx_981_eus-gaap--FinancialInstrumentsOw"/>
            <w:bookmarkEnd w:id="297"/>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2,945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8" w:name="xdx_8A2_zd0k7blqONm4"/>
      <w:bookmarkEnd w:id="29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gains or losses resulting from our short-term investments are recorded in accumulated other comprehensive gain or loss as they are classified as available for sale. During the three months ended March 31, 2025, as well as the three months ended March 31, 2024, no gain (loss) was recorded to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liabilities are measured at fair value on a recurring basis. The subsequent measurement of the warrant liabilities as of March 31, 2025, is classified as Level 3 due to the use of an observable market quote in a non-active market and the management’s assumption of the expected stock price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9" w:name="xdx_89E_eus-gaap--FairValueLiabilitiesMe"/>
      <w:bookmarkEnd w:id="299"/>
      <w:r>
        <w:rPr>
          <w:rFonts w:ascii="Times New Roman;Times;Serif" w:hAnsi="Times New Roman;Times;Serif"/>
          <w:b w:val="false"/>
          <w:i w:val="false"/>
          <w:caps w:val="false"/>
          <w:smallCaps w:val="false"/>
          <w:sz w:val="20"/>
        </w:rPr>
        <w:t>The following table presents the fair value in the beginning of the period, the changes in the fair value, and the fair value at the end of the period of warrant liabilities:</w:t>
      </w:r>
    </w:p>
    <w:p>
      <w:pPr>
        <w:pStyle w:val="TextBody"/>
        <w:bidi w:val="0"/>
        <w:spacing w:before="0" w:after="0"/>
        <w:ind w:left="0" w:right="0" w:hanging="0"/>
        <w:jc w:val="left"/>
        <w:rPr>
          <w:caps w:val="false"/>
          <w:smallCaps w:val="false"/>
        </w:rPr>
      </w:pPr>
      <w:r>
        <w:rPr>
          <w:caps w:val="false"/>
          <w:smallCaps w:val="false"/>
        </w:rPr>
        <w:t> </w:t>
      </w:r>
      <w:bookmarkStart w:id="300" w:name="xdx_8BF_zUm2PJahmSMd"/>
      <w:bookmarkEnd w:id="300"/>
      <w:r>
        <w:rPr>
          <w:rFonts w:ascii="Times New Roman;Times;Serif" w:hAnsi="Times New Roman;Times;Serif"/>
          <w:b w:val="false"/>
          <w:i w:val="false"/>
          <w:caps w:val="false"/>
          <w:smallCaps w:val="false"/>
          <w:sz w:val="20"/>
        </w:rPr>
        <w:t>SCHEDULE OF FAIR OF WARRANT LIABILITIES</w:t>
      </w:r>
    </w:p>
    <w:tbl>
      <w:tblPr>
        <w:tblW w:w="10205" w:type="dxa"/>
        <w:jc w:val="left"/>
        <w:tblInd w:w="0" w:type="dxa"/>
        <w:tblLayout w:type="fixed"/>
        <w:tblCellMar>
          <w:top w:w="0" w:type="dxa"/>
          <w:left w:w="0" w:type="dxa"/>
          <w:bottom w:w="0" w:type="dxa"/>
          <w:right w:w="0" w:type="dxa"/>
        </w:tblCellMar>
      </w:tblPr>
      <w:tblGrid>
        <w:gridCol w:w="7016"/>
        <w:gridCol w:w="60"/>
        <w:gridCol w:w="221"/>
        <w:gridCol w:w="1198"/>
        <w:gridCol w:w="95"/>
        <w:gridCol w:w="60"/>
        <w:gridCol w:w="225"/>
        <w:gridCol w:w="1217"/>
        <w:gridCol w:w="113"/>
      </w:tblGrid>
      <w:tr>
        <w:trPr/>
        <w:tc>
          <w:tcPr>
            <w:tcW w:w="7016" w:type="dxa"/>
            <w:tcBorders/>
            <w:vAlign w:val="center"/>
          </w:tcPr>
          <w:p>
            <w:pPr>
              <w:pStyle w:val="TableContents"/>
              <w:bidi w:val="0"/>
              <w:spacing w:before="0" w:after="283"/>
              <w:jc w:val="left"/>
              <w:rPr/>
            </w:pPr>
            <w:r>
              <w:rPr/>
              <w:t>Level 3:</w:t>
            </w:r>
          </w:p>
        </w:tc>
        <w:tc>
          <w:tcPr>
            <w:tcW w:w="60" w:type="dxa"/>
            <w:tcBorders/>
            <w:vAlign w:val="center"/>
          </w:tcPr>
          <w:p>
            <w:pPr>
              <w:pStyle w:val="TableContents"/>
              <w:bidi w:val="0"/>
              <w:spacing w:before="0" w:after="283"/>
              <w:jc w:val="left"/>
              <w:rPr/>
            </w:pPr>
            <w:r>
              <w:rPr/>
              <w:t> </w:t>
            </w:r>
            <w:bookmarkStart w:id="301" w:name="xdx_492_20250101__20250331_zGajnye5Bve1"/>
            <w:bookmarkEnd w:id="301"/>
          </w:p>
        </w:tc>
        <w:tc>
          <w:tcPr>
            <w:tcW w:w="14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2" w:name="xdx_495_20240101__20241231_zWQVtcc93q7b"/>
            <w:bookmarkEnd w:id="302"/>
          </w:p>
        </w:tc>
        <w:tc>
          <w:tcPr>
            <w:tcW w:w="144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113" w:type="dxa"/>
            <w:tcBorders/>
            <w:vAlign w:val="center"/>
          </w:tcPr>
          <w:p>
            <w:pPr>
              <w:pStyle w:val="TableContents"/>
              <w:bidi w:val="0"/>
              <w:spacing w:before="0" w:after="283"/>
              <w:jc w:val="left"/>
              <w:rPr/>
            </w:pPr>
            <w:r>
              <w:rPr/>
              <w:t> </w:t>
            </w:r>
            <w:bookmarkStart w:id="303" w:name="xdx_404_eus-gaap--FinancialLiabilitiesFa"/>
            <w:bookmarkEnd w:id="303"/>
          </w:p>
        </w:tc>
      </w:tr>
      <w:tr>
        <w:trPr/>
        <w:tc>
          <w:tcPr>
            <w:tcW w:w="7016" w:type="dxa"/>
            <w:tcBorders/>
            <w:shd w:fill="CCEEFF" w:val="clear"/>
            <w:vAlign w:val="center"/>
          </w:tcPr>
          <w:p>
            <w:pPr>
              <w:pStyle w:val="TableContents"/>
              <w:bidi w:val="0"/>
              <w:spacing w:before="0" w:after="283"/>
              <w:jc w:val="left"/>
              <w:rPr/>
            </w:pPr>
            <w:r>
              <w:rPr/>
              <w:t>Fair value at inception for December 31, 2024 or the beginning of the period for March 31, 2025</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(10,131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(19,703</w:t>
            </w:r>
          </w:p>
        </w:tc>
        <w:tc>
          <w:tcPr>
            <w:tcW w:w="113" w:type="dxa"/>
            <w:tcBorders/>
            <w:shd w:fill="CCEEFF" w:val="clear"/>
            <w:vAlign w:val="center"/>
          </w:tcPr>
          <w:p>
            <w:pPr>
              <w:pStyle w:val="TableContents"/>
              <w:bidi w:val="0"/>
              <w:spacing w:before="0" w:after="283"/>
              <w:jc w:val="left"/>
              <w:rPr/>
            </w:pPr>
            <w:r>
              <w:rPr/>
              <w:t>)</w:t>
            </w:r>
            <w:bookmarkStart w:id="304" w:name="xdx_401_ecustom--WarrantsIssuedWithPriva"/>
            <w:bookmarkEnd w:id="304"/>
          </w:p>
        </w:tc>
      </w:tr>
      <w:tr>
        <w:trPr/>
        <w:tc>
          <w:tcPr>
            <w:tcW w:w="7016" w:type="dxa"/>
            <w:tcBorders/>
            <w:shd w:fill="FFFFFF" w:val="clear"/>
            <w:vAlign w:val="center"/>
          </w:tcPr>
          <w:p>
            <w:pPr>
              <w:pStyle w:val="TableContents"/>
              <w:bidi w:val="0"/>
              <w:spacing w:before="0" w:after="283"/>
              <w:jc w:val="left"/>
              <w:rPr/>
            </w:pPr>
            <w:r>
              <w:rPr/>
              <w:t>Warrants issued with Private Placement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(5,185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305" w:name="xdx_402_eus-gaap--FairValueAdjustmentOfW"/>
            <w:bookmarkEnd w:id="305"/>
          </w:p>
        </w:tc>
      </w:tr>
      <w:tr>
        <w:trPr/>
        <w:tc>
          <w:tcPr>
            <w:tcW w:w="7016"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4,029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CCEEFF" w:val="clear"/>
            <w:tcMar>
              <w:bottom w:w="28" w:type="dxa"/>
            </w:tcMar>
            <w:vAlign w:val="center"/>
          </w:tcPr>
          <w:p>
            <w:pPr>
              <w:pStyle w:val="TableContents"/>
              <w:bidi w:val="0"/>
              <w:spacing w:before="0" w:after="283"/>
              <w:jc w:val="right"/>
              <w:rPr/>
            </w:pPr>
            <w:r>
              <w:rPr/>
              <w:t>9,572</w:t>
            </w:r>
          </w:p>
        </w:tc>
        <w:tc>
          <w:tcPr>
            <w:tcW w:w="113" w:type="dxa"/>
            <w:tcBorders/>
            <w:shd w:fill="CCEEFF" w:val="clear"/>
            <w:vAlign w:val="center"/>
          </w:tcPr>
          <w:p>
            <w:pPr>
              <w:pStyle w:val="TableContents"/>
              <w:bidi w:val="0"/>
              <w:spacing w:before="0" w:after="283"/>
              <w:jc w:val="left"/>
              <w:rPr/>
            </w:pPr>
            <w:r>
              <w:rPr/>
              <w:t> </w:t>
            </w:r>
            <w:bookmarkStart w:id="306" w:name="xdx_40B_eus-gaap--FinancialLiabilitiesFa"/>
            <w:bookmarkEnd w:id="306"/>
          </w:p>
        </w:tc>
      </w:tr>
      <w:tr>
        <w:trPr/>
        <w:tc>
          <w:tcPr>
            <w:tcW w:w="7016" w:type="dxa"/>
            <w:tcBorders/>
            <w:shd w:fill="FFFFFF" w:val="clear"/>
            <w:vAlign w:val="center"/>
          </w:tcPr>
          <w:p>
            <w:pPr>
              <w:pStyle w:val="TableContents"/>
              <w:bidi w:val="0"/>
              <w:spacing w:before="0" w:after="283"/>
              <w:jc w:val="left"/>
              <w:rPr/>
            </w:pPr>
            <w:r>
              <w:rPr/>
              <w:t>Fair value as of period end</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pPr>
            <w:r>
              <w:rPr/>
              <w:t>(11,287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7" w:type="dxa"/>
            <w:tcBorders>
              <w:bottom w:val="double" w:sz="6" w:space="0" w:color="000000"/>
            </w:tcBorders>
            <w:shd w:fill="FFFFFF" w:val="clear"/>
            <w:tcMar>
              <w:bottom w:w="28" w:type="dxa"/>
            </w:tcMar>
            <w:vAlign w:val="center"/>
          </w:tcPr>
          <w:p>
            <w:pPr>
              <w:pStyle w:val="TableContents"/>
              <w:bidi w:val="0"/>
              <w:spacing w:before="0" w:after="283"/>
              <w:jc w:val="right"/>
              <w:rPr/>
            </w:pPr>
            <w:r>
              <w:rPr/>
              <w:t>(10,131</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07" w:name="xdx_8A0_zTgenBqkAGDf"/>
      <w:bookmarkEnd w:id="307"/>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8" w:name="xdx_890_eus-gaap--FairValueAssetsAndLiab"/>
      <w:bookmarkEnd w:id="308"/>
      <w:r>
        <w:rPr>
          <w:rFonts w:ascii="Times New Roman;Times;Serif" w:hAnsi="Times New Roman;Times;Serif"/>
          <w:b w:val="false"/>
          <w:i w:val="false"/>
          <w:caps w:val="false"/>
          <w:smallCaps w:val="false"/>
          <w:sz w:val="20"/>
        </w:rPr>
        <w:t>The Company uses the modified Black-Scholes option pricing model to determine the fair value of warrant liabilities. The following table summarizes the assumptions used to compute the fair value of the Company’s warrants:</w:t>
      </w:r>
    </w:p>
    <w:p>
      <w:pPr>
        <w:pStyle w:val="TextBody"/>
        <w:bidi w:val="0"/>
        <w:spacing w:before="0" w:after="0"/>
        <w:ind w:left="0" w:right="0" w:hanging="0"/>
        <w:jc w:val="left"/>
        <w:rPr>
          <w:caps w:val="false"/>
          <w:smallCaps w:val="false"/>
        </w:rPr>
      </w:pPr>
      <w:r>
        <w:rPr>
          <w:caps w:val="false"/>
          <w:smallCaps w:val="false"/>
        </w:rPr>
        <w:t> </w:t>
      </w:r>
      <w:bookmarkStart w:id="309" w:name="xdx_8B8_zdHg3gSpGFz2"/>
      <w:bookmarkEnd w:id="309"/>
      <w:r>
        <w:rPr>
          <w:rFonts w:ascii="Times New Roman;Times;Serif" w:hAnsi="Times New Roman;Times;Serif"/>
          <w:b w:val="false"/>
          <w:i w:val="false"/>
          <w:caps w:val="false"/>
          <w:smallCaps w:val="false"/>
          <w:sz w:val="20"/>
        </w:rPr>
        <w:t>SCHEDULE OF BLACK SCHOLES OPTION PRICING MODEL OF WARRANT LIABILITIES</w:t>
      </w:r>
    </w:p>
    <w:tbl>
      <w:tblPr>
        <w:tblW w:w="8393" w:type="dxa"/>
        <w:jc w:val="left"/>
        <w:tblInd w:w="0" w:type="dxa"/>
        <w:tblLayout w:type="fixed"/>
        <w:tblCellMar>
          <w:top w:w="0" w:type="dxa"/>
          <w:left w:w="0" w:type="dxa"/>
          <w:bottom w:w="0" w:type="dxa"/>
          <w:right w:w="0" w:type="dxa"/>
        </w:tblCellMar>
      </w:tblPr>
      <w:tblGrid>
        <w:gridCol w:w="4835"/>
        <w:gridCol w:w="60"/>
        <w:gridCol w:w="326"/>
        <w:gridCol w:w="1028"/>
        <w:gridCol w:w="215"/>
        <w:gridCol w:w="60"/>
        <w:gridCol w:w="395"/>
        <w:gridCol w:w="1244"/>
        <w:gridCol w:w="230"/>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23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bookmarkStart w:id="310" w:name="xdx_989_eus-gaap--WarrantsAndRightsOutst"/>
            <w:bookmarkEnd w:id="310"/>
          </w:p>
        </w:tc>
        <w:tc>
          <w:tcPr>
            <w:tcW w:w="1028" w:type="dxa"/>
            <w:tcBorders/>
            <w:shd w:fill="CCEEFF" w:val="clear"/>
            <w:vAlign w:val="center"/>
          </w:tcPr>
          <w:p>
            <w:pPr>
              <w:pStyle w:val="TableContents"/>
              <w:bidi w:val="0"/>
              <w:spacing w:before="0" w:after="283"/>
              <w:jc w:val="right"/>
              <w:rPr/>
            </w:pPr>
            <w:r>
              <w:rPr/>
              <w:t>88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bookmarkStart w:id="311" w:name="xdx_987_eus-gaap--WarrantsAndRightsOutst"/>
            <w:bookmarkEnd w:id="311"/>
          </w:p>
        </w:tc>
        <w:tc>
          <w:tcPr>
            <w:tcW w:w="1244" w:type="dxa"/>
            <w:tcBorders/>
            <w:shd w:fill="CCEEFF" w:val="clear"/>
            <w:vAlign w:val="center"/>
          </w:tcPr>
          <w:p>
            <w:pPr>
              <w:pStyle w:val="TableContents"/>
              <w:bidi w:val="0"/>
              <w:spacing w:before="0" w:after="283"/>
              <w:jc w:val="right"/>
              <w:rPr/>
            </w:pPr>
            <w:r>
              <w:rPr/>
              <w:t>88</w:t>
            </w:r>
          </w:p>
        </w:tc>
        <w:tc>
          <w:tcPr>
            <w:tcW w:w="230" w:type="dxa"/>
            <w:tcBorders/>
            <w:shd w:fill="CCEEFF" w:val="clear"/>
            <w:vAlign w:val="center"/>
          </w:tcPr>
          <w:p>
            <w:pPr>
              <w:pStyle w:val="TableContents"/>
              <w:bidi w:val="0"/>
              <w:spacing w:before="0" w:after="283"/>
              <w:jc w:val="left"/>
              <w:rPr/>
            </w:pPr>
            <w:r>
              <w:rPr/>
              <w:t>%</w:t>
            </w:r>
          </w:p>
        </w:tc>
      </w:tr>
      <w:tr>
        <w:trPr/>
        <w:tc>
          <w:tcPr>
            <w:tcW w:w="483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bookmarkStart w:id="312" w:name="xdx_982_eus-gaap--WarrantsAndRightsOutst"/>
            <w:bookmarkEnd w:id="312"/>
          </w:p>
        </w:tc>
        <w:tc>
          <w:tcPr>
            <w:tcW w:w="1028" w:type="dxa"/>
            <w:tcBorders/>
            <w:shd w:fill="FFFFFF" w:val="clear"/>
            <w:vAlign w:val="center"/>
          </w:tcPr>
          <w:p>
            <w:pPr>
              <w:pStyle w:val="TableContents"/>
              <w:bidi w:val="0"/>
              <w:spacing w:before="0" w:after="283"/>
              <w:jc w:val="right"/>
              <w:rPr/>
            </w:pPr>
            <w:r>
              <w:rPr/>
              <w:t>3.97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bookmarkStart w:id="313" w:name="xdx_980_eus-gaap--WarrantsAndRightsOutst"/>
            <w:bookmarkEnd w:id="313"/>
          </w:p>
        </w:tc>
        <w:tc>
          <w:tcPr>
            <w:tcW w:w="1244" w:type="dxa"/>
            <w:tcBorders/>
            <w:shd w:fill="FFFFFF" w:val="clear"/>
            <w:vAlign w:val="center"/>
          </w:tcPr>
          <w:p>
            <w:pPr>
              <w:pStyle w:val="TableContents"/>
              <w:bidi w:val="0"/>
              <w:spacing w:before="0" w:after="283"/>
              <w:jc w:val="right"/>
              <w:rPr/>
            </w:pPr>
            <w:r>
              <w:rPr/>
              <w:t>4.25</w:t>
            </w:r>
          </w:p>
        </w:tc>
        <w:tc>
          <w:tcPr>
            <w:tcW w:w="230" w:type="dxa"/>
            <w:tcBorders/>
            <w:shd w:fill="FFFFFF" w:val="clear"/>
            <w:vAlign w:val="center"/>
          </w:tcPr>
          <w:p>
            <w:pPr>
              <w:pStyle w:val="TableContents"/>
              <w:bidi w:val="0"/>
              <w:spacing w:before="0" w:after="283"/>
              <w:jc w:val="left"/>
              <w:rPr/>
            </w:pPr>
            <w:r>
              <w:rPr/>
              <w:t>%</w:t>
            </w:r>
          </w:p>
        </w:tc>
      </w:tr>
      <w:tr>
        <w:trPr/>
        <w:tc>
          <w:tcPr>
            <w:tcW w:w="4835" w:type="dxa"/>
            <w:tcBorders/>
            <w:shd w:fill="CCEEFF" w:val="clear"/>
            <w:vAlign w:val="center"/>
          </w:tcPr>
          <w:p>
            <w:pPr>
              <w:pStyle w:val="TableContents"/>
              <w:bidi w:val="0"/>
              <w:spacing w:before="0" w:after="283"/>
              <w:jc w:val="left"/>
              <w:rPr/>
            </w:pPr>
            <w:r>
              <w:rPr/>
              <w:t>Dividends yield</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bookmarkStart w:id="314" w:name="xdx_986_eus-gaap--WarrantsAndRightsOutst"/>
            <w:bookmarkEnd w:id="314"/>
          </w:p>
        </w:tc>
        <w:tc>
          <w:tcPr>
            <w:tcW w:w="1028" w:type="dxa"/>
            <w:tcBorders/>
            <w:shd w:fill="CCEEFF" w:val="clear"/>
            <w:vAlign w:val="center"/>
          </w:tcPr>
          <w:p>
            <w:pPr>
              <w:pStyle w:val="TableContents"/>
              <w:bidi w:val="0"/>
              <w:spacing w:before="0" w:after="283"/>
              <w:jc w:val="right"/>
              <w:rPr/>
            </w:pPr>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bookmarkStart w:id="315" w:name="xdx_98B_eus-gaap--WarrantsAndRightsOutst"/>
            <w:bookmarkEnd w:id="315"/>
          </w:p>
        </w:tc>
        <w:tc>
          <w:tcPr>
            <w:tcW w:w="1244"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4835" w:type="dxa"/>
            <w:tcBorders/>
            <w:shd w:fill="FFFFFF" w:val="clear"/>
            <w:vAlign w:val="center"/>
          </w:tcPr>
          <w:p>
            <w:pPr>
              <w:pStyle w:val="TableContents"/>
              <w:bidi w:val="0"/>
              <w:spacing w:before="0" w:after="283"/>
              <w:jc w:val="left"/>
              <w:rPr/>
            </w:pPr>
            <w:r>
              <w:rPr/>
              <w:t>Weighted average expected life of warrants (years)</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bookmarkStart w:id="316" w:name="xdx_98B_eus-gaap--WarrantsAndRightsOutst"/>
            <w:bookmarkEnd w:id="316"/>
          </w:p>
        </w:tc>
        <w:tc>
          <w:tcPr>
            <w:tcW w:w="1028" w:type="dxa"/>
            <w:tcBorders/>
            <w:shd w:fill="FFFFFF" w:val="clear"/>
            <w:vAlign w:val="center"/>
          </w:tcPr>
          <w:p>
            <w:pPr>
              <w:pStyle w:val="TableContents"/>
              <w:bidi w:val="0"/>
              <w:spacing w:before="0" w:after="283"/>
              <w:jc w:val="right"/>
              <w:rPr/>
            </w:pPr>
            <w:r>
              <w:rPr/>
              <w:t>3.78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bookmarkStart w:id="317" w:name="xdx_988_eus-gaap--WarrantsAndRightsOutst"/>
            <w:bookmarkEnd w:id="317"/>
          </w:p>
        </w:tc>
        <w:tc>
          <w:tcPr>
            <w:tcW w:w="1244" w:type="dxa"/>
            <w:tcBorders/>
            <w:shd w:fill="FFFFFF" w:val="clear"/>
            <w:vAlign w:val="center"/>
          </w:tcPr>
          <w:p>
            <w:pPr>
              <w:pStyle w:val="TableContents"/>
              <w:bidi w:val="0"/>
              <w:spacing w:before="0" w:after="283"/>
              <w:jc w:val="right"/>
              <w:rPr/>
            </w:pPr>
            <w:r>
              <w:rPr/>
              <w:t>3.50</w:t>
            </w:r>
          </w:p>
        </w:tc>
        <w:tc>
          <w:tcPr>
            <w:tcW w:w="23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Weighted average exercise price</w:t>
            </w:r>
          </w:p>
        </w:tc>
        <w:tc>
          <w:tcPr>
            <w:tcW w:w="60" w:type="dxa"/>
            <w:tcBorders/>
            <w:shd w:fill="CCEEFF" w:val="clear"/>
            <w:vAlign w:val="center"/>
          </w:tcPr>
          <w:p>
            <w:pPr>
              <w:pStyle w:val="TableContents"/>
              <w:bidi w:val="0"/>
              <w:spacing w:before="0" w:after="283"/>
              <w:jc w:val="left"/>
              <w:rPr/>
            </w:pPr>
            <w:r>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318" w:name="xdx_981_eus-gaap--WarrantsAndRightsOutst"/>
            <w:bookmarkEnd w:id="318"/>
          </w:p>
        </w:tc>
        <w:tc>
          <w:tcPr>
            <w:tcW w:w="1028"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319" w:name="xdx_984_eus-gaap--WarrantsAndRightsOutst"/>
            <w:bookmarkEnd w:id="319"/>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1.45</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0" w:name="xdx_8A8_zka5gClan7I5"/>
      <w:bookmarkEnd w:id="32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financial instruments also include accounts receivable, accounts payable, accrued liabilities and customer deposits. Due to the short-term nature of these instruments, their fair values approximate their carrying values on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bookmarkStart w:id="321" w:name="xdx_80B_eus-gaap--InventoryDisclosureTex"/>
      <w:bookmarkEnd w:id="321"/>
      <w:r>
        <w:rPr>
          <w:rFonts w:ascii="Times New Roman;Times;Serif" w:hAnsi="Times New Roman;Times;Serif"/>
          <w:b/>
          <w:i w:val="false"/>
          <w:caps w:val="false"/>
          <w:smallCaps w:val="false"/>
          <w:sz w:val="20"/>
        </w:rPr>
        <w:t xml:space="preserve">4. </w:t>
      </w:r>
      <w:bookmarkStart w:id="322" w:name="xdx_82F_zPNEmhebpDaf"/>
      <w:bookmarkEnd w:id="322"/>
      <w:r>
        <w:rPr>
          <w:rFonts w:ascii="Times New Roman;Times;Serif" w:hAnsi="Times New Roman;Times;Serif"/>
          <w:b/>
          <w:i w:val="false"/>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3" w:name="xdx_896_eus-gaap--ScheduleOfInventoryCur"/>
      <w:bookmarkEnd w:id="323"/>
      <w:r>
        <w:rPr>
          <w:rFonts w:ascii="Times New Roman;Times;Serif" w:hAnsi="Times New Roman;Times;Serif"/>
          <w:b w:val="false"/>
          <w:i w:val="false"/>
          <w:caps w:val="false"/>
          <w:smallCaps w:val="false"/>
          <w:sz w:val="20"/>
        </w:rPr>
        <w:t>Inventory is recorded at the lower of cost or net realizable value. The cost of substantially all the Company’s inventory is determined by the FIFO cost method. Inventories consisted of the following:</w:t>
      </w:r>
    </w:p>
    <w:p>
      <w:pPr>
        <w:pStyle w:val="TextBody"/>
        <w:bidi w:val="0"/>
        <w:spacing w:before="0" w:after="0"/>
        <w:ind w:left="0" w:right="0" w:hanging="0"/>
        <w:jc w:val="left"/>
        <w:rPr>
          <w:caps w:val="false"/>
          <w:smallCaps w:val="false"/>
        </w:rPr>
      </w:pPr>
      <w:r>
        <w:rPr>
          <w:caps w:val="false"/>
          <w:smallCaps w:val="false"/>
        </w:rPr>
        <w:t> </w:t>
      </w:r>
      <w:bookmarkStart w:id="324" w:name="xdx_8BB_zzsitmKvLlX4"/>
      <w:bookmarkEnd w:id="324"/>
      <w:r>
        <w:rPr>
          <w:rFonts w:ascii="Times New Roman;Times;Serif" w:hAnsi="Times New Roman;Times;Serif"/>
          <w:b w:val="false"/>
          <w:i w:val="false"/>
          <w:caps w:val="false"/>
          <w:smallCaps w:val="false"/>
          <w:sz w:val="20"/>
        </w:rPr>
        <w:t>SCHEDULE OF INVENTORY</w:t>
      </w:r>
    </w:p>
    <w:tbl>
      <w:tblPr>
        <w:tblW w:w="6385" w:type="dxa"/>
        <w:jc w:val="left"/>
        <w:tblInd w:w="0" w:type="dxa"/>
        <w:tblLayout w:type="fixed"/>
        <w:tblCellMar>
          <w:top w:w="0" w:type="dxa"/>
          <w:left w:w="0" w:type="dxa"/>
          <w:bottom w:w="0" w:type="dxa"/>
          <w:right w:w="0" w:type="dxa"/>
        </w:tblCellMar>
      </w:tblPr>
      <w:tblGrid>
        <w:gridCol w:w="2495"/>
        <w:gridCol w:w="60"/>
        <w:gridCol w:w="322"/>
        <w:gridCol w:w="1288"/>
        <w:gridCol w:w="95"/>
        <w:gridCol w:w="60"/>
        <w:gridCol w:w="391"/>
        <w:gridCol w:w="1564"/>
        <w:gridCol w:w="11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5" w:name="xdx_496_20250331_zM1DzhEjnkHb"/>
            <w:bookmarkEnd w:id="325"/>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6" w:name="xdx_494_20241231_zZOOoz6ed17"/>
            <w:bookmarkEnd w:id="326"/>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bookmarkStart w:id="327" w:name="xdx_402_eus-gaap--InventoryFinishedGoods"/>
            <w:bookmarkEnd w:id="327"/>
          </w:p>
        </w:tc>
      </w:tr>
      <w:tr>
        <w:trPr/>
        <w:tc>
          <w:tcPr>
            <w:tcW w:w="249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4,350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4,387</w:t>
            </w:r>
          </w:p>
        </w:tc>
        <w:tc>
          <w:tcPr>
            <w:tcW w:w="110" w:type="dxa"/>
            <w:tcBorders/>
            <w:shd w:fill="CCEEFF" w:val="clear"/>
            <w:vAlign w:val="center"/>
          </w:tcPr>
          <w:p>
            <w:pPr>
              <w:pStyle w:val="TableContents"/>
              <w:bidi w:val="0"/>
              <w:spacing w:before="0" w:after="283"/>
              <w:jc w:val="left"/>
              <w:rPr/>
            </w:pPr>
            <w:r>
              <w:rPr/>
              <w:t> </w:t>
            </w:r>
            <w:bookmarkStart w:id="328" w:name="xdx_40E_eus-gaap--InventoryRawMaterials_"/>
            <w:bookmarkEnd w:id="328"/>
          </w:p>
        </w:tc>
      </w:tr>
      <w:tr>
        <w:trPr/>
        <w:tc>
          <w:tcPr>
            <w:tcW w:w="2495" w:type="dxa"/>
            <w:tcBorders/>
            <w:shd w:fill="FFFFFF" w:val="clear"/>
            <w:vAlign w:val="center"/>
          </w:tcPr>
          <w:p>
            <w:pPr>
              <w:pStyle w:val="TableContents"/>
              <w:bidi w:val="0"/>
              <w:spacing w:before="0" w:after="283"/>
              <w:jc w:val="left"/>
              <w:rPr/>
            </w:pPr>
            <w:r>
              <w:rPr/>
              <w:t>Raw materials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2,229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2,263</w:t>
            </w:r>
          </w:p>
        </w:tc>
        <w:tc>
          <w:tcPr>
            <w:tcW w:w="110" w:type="dxa"/>
            <w:tcBorders/>
            <w:shd w:fill="FFFFFF" w:val="clear"/>
            <w:vAlign w:val="center"/>
          </w:tcPr>
          <w:p>
            <w:pPr>
              <w:pStyle w:val="TableContents"/>
              <w:bidi w:val="0"/>
              <w:spacing w:before="0" w:after="283"/>
              <w:jc w:val="left"/>
              <w:rPr/>
            </w:pPr>
            <w:r>
              <w:rPr/>
              <w:t> </w:t>
            </w:r>
            <w:bookmarkStart w:id="329" w:name="xdx_408_eus-gaap--InventoryValuationRese"/>
            <w:bookmarkEnd w:id="329"/>
          </w:p>
        </w:tc>
      </w:tr>
      <w:tr>
        <w:trPr/>
        <w:tc>
          <w:tcPr>
            <w:tcW w:w="2495" w:type="dxa"/>
            <w:tcBorders/>
            <w:shd w:fill="CCEEFF" w:val="clear"/>
            <w:vAlign w:val="center"/>
          </w:tcPr>
          <w:p>
            <w:pPr>
              <w:pStyle w:val="TableContents"/>
              <w:bidi w:val="0"/>
              <w:spacing w:before="0" w:after="283"/>
              <w:jc w:val="left"/>
              <w:rPr/>
            </w:pPr>
            <w:r>
              <w:rPr/>
              <w:t>Reserve for Obsolescence</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(498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pPr>
            <w:r>
              <w:rPr/>
              <w:t>(480</w:t>
            </w:r>
          </w:p>
        </w:tc>
        <w:tc>
          <w:tcPr>
            <w:tcW w:w="110" w:type="dxa"/>
            <w:tcBorders/>
            <w:shd w:fill="CCEEFF" w:val="clear"/>
            <w:vAlign w:val="center"/>
          </w:tcPr>
          <w:p>
            <w:pPr>
              <w:pStyle w:val="TableContents"/>
              <w:bidi w:val="0"/>
              <w:spacing w:before="0" w:after="283"/>
              <w:jc w:val="left"/>
              <w:rPr/>
            </w:pPr>
            <w:r>
              <w:rPr/>
              <w:t>)</w:t>
            </w:r>
            <w:bookmarkStart w:id="330" w:name="xdx_405_eus-gaap--InventoryNet_iTI_pn3n3"/>
            <w:bookmarkEnd w:id="330"/>
          </w:p>
        </w:tc>
      </w:tr>
      <w:tr>
        <w:trPr/>
        <w:tc>
          <w:tcPr>
            <w:tcW w:w="2495" w:type="dxa"/>
            <w:tcBorders/>
            <w:shd w:fill="FFFFFF" w:val="clear"/>
            <w:vAlign w:val="center"/>
          </w:tcPr>
          <w:p>
            <w:pPr>
              <w:pStyle w:val="TableContents"/>
              <w:bidi w:val="0"/>
              <w:spacing w:before="0" w:after="283"/>
              <w:jc w:val="left"/>
              <w:rPr/>
            </w:pPr>
            <w:r>
              <w:rPr/>
              <w:t>Inventories - net</w:t>
            </w:r>
          </w:p>
        </w:tc>
        <w:tc>
          <w:tcPr>
            <w:tcW w:w="60"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FFFFFF" w:val="clear"/>
            <w:tcMar>
              <w:bottom w:w="28" w:type="dxa"/>
            </w:tcMar>
            <w:vAlign w:val="center"/>
          </w:tcPr>
          <w:p>
            <w:pPr>
              <w:pStyle w:val="TableContents"/>
              <w:bidi w:val="0"/>
              <w:spacing w:before="0" w:after="283"/>
              <w:jc w:val="right"/>
              <w:rPr/>
            </w:pPr>
            <w:r>
              <w:rPr/>
              <w:t>6,081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FFFFFF" w:val="clear"/>
            <w:tcMar>
              <w:bottom w:w="28" w:type="dxa"/>
            </w:tcMar>
            <w:vAlign w:val="center"/>
          </w:tcPr>
          <w:p>
            <w:pPr>
              <w:pStyle w:val="TableContents"/>
              <w:bidi w:val="0"/>
              <w:spacing w:before="0" w:after="283"/>
              <w:jc w:val="right"/>
              <w:rPr/>
            </w:pPr>
            <w:r>
              <w:rPr/>
              <w:t>6,170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1" w:name="xdx_8A4_zhDRlnCJjVwl"/>
      <w:bookmarkEnd w:id="331"/>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bookmarkStart w:id="332" w:name="xdx_80D_eus-gaap--PropertyPlantAndEquipm"/>
      <w:bookmarkEnd w:id="332"/>
      <w:r>
        <w:rPr>
          <w:rFonts w:ascii="Times New Roman;Times;Serif" w:hAnsi="Times New Roman;Times;Serif"/>
          <w:b/>
          <w:i w:val="false"/>
          <w:caps w:val="false"/>
          <w:smallCaps w:val="false"/>
          <w:sz w:val="20"/>
        </w:rPr>
        <w:t xml:space="preserve">5. </w:t>
      </w:r>
      <w:bookmarkStart w:id="333" w:name="xdx_82A_zL7d8EMx8H5e"/>
      <w:bookmarkEnd w:id="333"/>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4" w:name="xdx_898_eus-gaap--PropertyPlantAndEquipm"/>
      <w:bookmarkEnd w:id="334"/>
      <w:r>
        <w:rPr>
          <w:rFonts w:ascii="Times New Roman;Times;Serif" w:hAnsi="Times New Roman;Times;Serif"/>
          <w:b w:val="false"/>
          <w:i w:val="false"/>
          <w:caps w:val="false"/>
          <w:smallCaps w:val="false"/>
          <w:sz w:val="20"/>
        </w:rPr>
        <w:t>Property and equipment consisted of the following:</w:t>
      </w:r>
    </w:p>
    <w:p>
      <w:pPr>
        <w:pStyle w:val="TextBody"/>
        <w:bidi w:val="0"/>
        <w:spacing w:before="0" w:after="0"/>
        <w:ind w:left="0" w:right="0" w:hanging="0"/>
        <w:jc w:val="left"/>
        <w:rPr>
          <w:caps w:val="false"/>
          <w:smallCaps w:val="false"/>
        </w:rPr>
      </w:pPr>
      <w:r>
        <w:rPr>
          <w:caps w:val="false"/>
          <w:smallCaps w:val="false"/>
        </w:rPr>
        <w:t> </w:t>
      </w:r>
      <w:bookmarkStart w:id="335" w:name="xdx_8B1_zaw4V0si9OHb"/>
      <w:bookmarkEnd w:id="335"/>
      <w:r>
        <w:rPr>
          <w:rFonts w:ascii="Times New Roman;Times;Serif" w:hAnsi="Times New Roman;Times;Serif"/>
          <w:b w:val="false"/>
          <w:i w:val="false"/>
          <w:caps w:val="false"/>
          <w:smallCaps w:val="false"/>
          <w:sz w:val="20"/>
        </w:rPr>
        <w:t>SCHEDULE OF PROPERTY AND EQUIPMENT</w:t>
      </w:r>
    </w:p>
    <w:tbl>
      <w:tblPr>
        <w:tblW w:w="7418" w:type="dxa"/>
        <w:jc w:val="left"/>
        <w:tblInd w:w="0" w:type="dxa"/>
        <w:tblLayout w:type="fixed"/>
        <w:tblCellMar>
          <w:top w:w="0" w:type="dxa"/>
          <w:left w:w="0" w:type="dxa"/>
          <w:bottom w:w="0" w:type="dxa"/>
          <w:right w:w="0" w:type="dxa"/>
        </w:tblCellMar>
      </w:tblPr>
      <w:tblGrid>
        <w:gridCol w:w="3530"/>
        <w:gridCol w:w="60"/>
        <w:gridCol w:w="290"/>
        <w:gridCol w:w="1319"/>
        <w:gridCol w:w="95"/>
        <w:gridCol w:w="60"/>
        <w:gridCol w:w="352"/>
        <w:gridCol w:w="1602"/>
        <w:gridCol w:w="110"/>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6" w:name="xdx_49E_20250331_zqhlY43vAct"/>
            <w:bookmarkEnd w:id="336"/>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7" w:name="xdx_494_20241231_zNga4MfGc3V4"/>
            <w:bookmarkEnd w:id="337"/>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bookmarkStart w:id="338" w:name="xdx_404_eus-gaap--PropertyPlantAndEquipm"/>
            <w:bookmarkEnd w:id="338"/>
          </w:p>
        </w:tc>
      </w:tr>
      <w:tr>
        <w:trPr/>
        <w:tc>
          <w:tcPr>
            <w:tcW w:w="3530" w:type="dxa"/>
            <w:tcBorders/>
            <w:shd w:fill="CCEEFF" w:val="clear"/>
            <w:vAlign w:val="center"/>
          </w:tcPr>
          <w:p>
            <w:pPr>
              <w:pStyle w:val="TableContents"/>
              <w:bidi w:val="0"/>
              <w:spacing w:before="0" w:after="283"/>
              <w:jc w:val="left"/>
              <w:rPr/>
            </w:pPr>
            <w:r>
              <w:rPr/>
              <w:t>Production and lab equipment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432</w:t>
            </w:r>
          </w:p>
        </w:tc>
        <w:tc>
          <w:tcPr>
            <w:tcW w:w="110" w:type="dxa"/>
            <w:tcBorders/>
            <w:shd w:fill="CCEEFF" w:val="clear"/>
            <w:vAlign w:val="center"/>
          </w:tcPr>
          <w:p>
            <w:pPr>
              <w:pStyle w:val="TableContents"/>
              <w:bidi w:val="0"/>
              <w:spacing w:before="0" w:after="283"/>
              <w:jc w:val="left"/>
              <w:rPr/>
            </w:pPr>
            <w:r>
              <w:rPr/>
              <w:t> </w:t>
            </w:r>
            <w:bookmarkStart w:id="339" w:name="xdx_409_eus-gaap--PropertyPlantAndEquipm"/>
            <w:bookmarkEnd w:id="339"/>
          </w:p>
        </w:tc>
      </w:tr>
      <w:tr>
        <w:trPr/>
        <w:tc>
          <w:tcPr>
            <w:tcW w:w="3530" w:type="dxa"/>
            <w:tcBorders/>
            <w:shd w:fill="FFFFFF" w:val="clear"/>
            <w:vAlign w:val="center"/>
          </w:tcPr>
          <w:p>
            <w:pPr>
              <w:pStyle w:val="TableContents"/>
              <w:bidi w:val="0"/>
              <w:spacing w:before="0" w:after="283"/>
              <w:jc w:val="left"/>
              <w:rPr/>
            </w:pPr>
            <w:r>
              <w:rPr/>
              <w:t>Tooling</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570</w:t>
            </w:r>
          </w:p>
        </w:tc>
        <w:tc>
          <w:tcPr>
            <w:tcW w:w="110" w:type="dxa"/>
            <w:tcBorders/>
            <w:shd w:fill="FFFFFF" w:val="clear"/>
            <w:vAlign w:val="center"/>
          </w:tcPr>
          <w:p>
            <w:pPr>
              <w:pStyle w:val="TableContents"/>
              <w:bidi w:val="0"/>
              <w:spacing w:before="0" w:after="283"/>
              <w:jc w:val="left"/>
              <w:rPr/>
            </w:pPr>
            <w:r>
              <w:rPr/>
              <w:t> </w:t>
            </w:r>
            <w:bookmarkStart w:id="340" w:name="xdx_408_eus-gaap--PropertyPlantAndEquipm"/>
            <w:bookmarkEnd w:id="340"/>
          </w:p>
        </w:tc>
      </w:tr>
      <w:tr>
        <w:trPr/>
        <w:tc>
          <w:tcPr>
            <w:tcW w:w="3530"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229</w:t>
            </w:r>
          </w:p>
        </w:tc>
        <w:tc>
          <w:tcPr>
            <w:tcW w:w="110" w:type="dxa"/>
            <w:tcBorders/>
            <w:shd w:fill="CCEEFF" w:val="clear"/>
            <w:vAlign w:val="center"/>
          </w:tcPr>
          <w:p>
            <w:pPr>
              <w:pStyle w:val="TableContents"/>
              <w:bidi w:val="0"/>
              <w:spacing w:before="0" w:after="283"/>
              <w:jc w:val="left"/>
              <w:rPr/>
            </w:pPr>
            <w:r>
              <w:rPr/>
              <w:t> </w:t>
            </w:r>
            <w:bookmarkStart w:id="341" w:name="xdx_40A_eus-gaap--PropertyPlantAndEquipm"/>
            <w:bookmarkEnd w:id="341"/>
          </w:p>
        </w:tc>
      </w:tr>
      <w:tr>
        <w:trPr/>
        <w:tc>
          <w:tcPr>
            <w:tcW w:w="3530" w:type="dxa"/>
            <w:tcBorders/>
            <w:shd w:fill="FFFFFF" w:val="clear"/>
            <w:vAlign w:val="center"/>
          </w:tcPr>
          <w:p>
            <w:pPr>
              <w:pStyle w:val="TableContents"/>
              <w:bidi w:val="0"/>
              <w:spacing w:before="0" w:after="283"/>
              <w:jc w:val="left"/>
              <w:rPr/>
            </w:pPr>
            <w:r>
              <w:rPr/>
              <w:t>Furniture, fixtures and improvements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120</w:t>
            </w:r>
          </w:p>
        </w:tc>
        <w:tc>
          <w:tcPr>
            <w:tcW w:w="110" w:type="dxa"/>
            <w:tcBorders/>
            <w:shd w:fill="FFFFFF" w:val="clear"/>
            <w:vAlign w:val="center"/>
          </w:tcPr>
          <w:p>
            <w:pPr>
              <w:pStyle w:val="TableContents"/>
              <w:bidi w:val="0"/>
              <w:spacing w:before="0" w:after="283"/>
              <w:jc w:val="left"/>
              <w:rPr/>
            </w:pPr>
            <w:r>
              <w:rPr/>
              <w:t> </w:t>
            </w:r>
            <w:bookmarkStart w:id="342" w:name="xdx_40A_eus-gaap--PropertyPlantAndEquipm"/>
            <w:bookmarkEnd w:id="342"/>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1,353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1,351</w:t>
            </w:r>
          </w:p>
        </w:tc>
        <w:tc>
          <w:tcPr>
            <w:tcW w:w="110" w:type="dxa"/>
            <w:tcBorders/>
            <w:shd w:fill="CCEEFF" w:val="clear"/>
            <w:vAlign w:val="center"/>
          </w:tcPr>
          <w:p>
            <w:pPr>
              <w:pStyle w:val="TableContents"/>
              <w:bidi w:val="0"/>
              <w:spacing w:before="0" w:after="283"/>
              <w:jc w:val="left"/>
              <w:rPr/>
            </w:pPr>
            <w:r>
              <w:rPr/>
              <w:t> </w:t>
            </w:r>
            <w:bookmarkStart w:id="343" w:name="xdx_40F_eus-gaap--AccumulatedDepreciatio"/>
            <w:bookmarkEnd w:id="343"/>
          </w:p>
        </w:tc>
      </w:tr>
      <w:tr>
        <w:trPr/>
        <w:tc>
          <w:tcPr>
            <w:tcW w:w="3530" w:type="dxa"/>
            <w:tcBorders/>
            <w:shd w:fill="FFFFFF" w:val="clear"/>
            <w:vAlign w:val="center"/>
          </w:tcPr>
          <w:p>
            <w:pPr>
              <w:pStyle w:val="TableContents"/>
              <w:bidi w:val="0"/>
              <w:spacing w:before="0" w:after="283"/>
              <w:jc w:val="left"/>
              <w:rPr/>
            </w:pPr>
            <w:r>
              <w:rPr/>
              <w:t>Accumulated depreciation</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(1,245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(1,205</w:t>
            </w:r>
          </w:p>
        </w:tc>
        <w:tc>
          <w:tcPr>
            <w:tcW w:w="110" w:type="dxa"/>
            <w:tcBorders/>
            <w:shd w:fill="FFFFFF" w:val="clear"/>
            <w:vAlign w:val="center"/>
          </w:tcPr>
          <w:p>
            <w:pPr>
              <w:pStyle w:val="TableContents"/>
              <w:bidi w:val="0"/>
              <w:spacing w:before="0" w:after="283"/>
              <w:jc w:val="left"/>
              <w:rPr/>
            </w:pPr>
            <w:r>
              <w:rPr/>
              <w:t>)</w:t>
            </w:r>
            <w:bookmarkStart w:id="344" w:name="xdx_40E_eus-gaap--PropertyPlantAndEquipm"/>
            <w:bookmarkEnd w:id="344"/>
          </w:p>
        </w:tc>
      </w:tr>
      <w:tr>
        <w:trPr/>
        <w:tc>
          <w:tcPr>
            <w:tcW w:w="353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bidi w:val="0"/>
              <w:spacing w:before="0" w:after="283"/>
              <w:jc w:val="right"/>
              <w:rPr/>
            </w:pPr>
            <w:r>
              <w:rPr/>
              <w:t>146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5" w:name="xdx_8AC_zyccpBvAdfCi"/>
      <w:bookmarkEnd w:id="34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w:t>
      </w:r>
      <w:bookmarkStart w:id="346" w:name="xdx_900_eus-gaap--Depreciation_pn3n3_c20"/>
      <w:bookmarkEnd w:id="346"/>
      <w:r>
        <w:rPr>
          <w:rFonts w:ascii="Times New Roman;Times;Serif" w:hAnsi="Times New Roman;Times;Serif"/>
          <w:b w:val="false"/>
          <w:i w:val="false"/>
          <w:caps w:val="false"/>
          <w:smallCaps w:val="false"/>
          <w:sz w:val="20"/>
        </w:rPr>
        <w:t>40 and $</w:t>
      </w:r>
      <w:bookmarkStart w:id="347" w:name="xdx_900_eus-gaap--Depreciation_pn3n3_c20"/>
      <w:bookmarkEnd w:id="347"/>
      <w:r>
        <w:rPr>
          <w:rFonts w:ascii="Times New Roman;Times;Serif" w:hAnsi="Times New Roman;Times;Serif"/>
          <w:b w:val="false"/>
          <w:i w:val="false"/>
          <w:caps w:val="false"/>
          <w:smallCaps w:val="false"/>
          <w:sz w:val="20"/>
        </w:rPr>
        <w:t>116 for the three months ended March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bookmarkStart w:id="348" w:name="xdx_80F_eus-gaap--IntangibleAssetsDisclo"/>
      <w:bookmarkEnd w:id="348"/>
      <w:r>
        <w:rPr>
          <w:rFonts w:ascii="Times New Roman;Times;Serif" w:hAnsi="Times New Roman;Times;Serif"/>
          <w:b/>
          <w:i w:val="false"/>
          <w:caps w:val="false"/>
          <w:smallCaps w:val="false"/>
          <w:sz w:val="20"/>
        </w:rPr>
        <w:t xml:space="preserve">6. </w:t>
      </w:r>
      <w:bookmarkStart w:id="349" w:name="xdx_825_zM9sdoPW4Hkc"/>
      <w:bookmarkEnd w:id="349"/>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0" w:name="xdx_89B_eus-gaap--ScheduleOfFiniteLivedI"/>
      <w:bookmarkEnd w:id="350"/>
      <w:r>
        <w:rPr>
          <w:rFonts w:ascii="Times New Roman;Times;Serif" w:hAnsi="Times New Roman;Times;Serif"/>
          <w:b w:val="false"/>
          <w:i w:val="false"/>
          <w:caps w:val="false"/>
          <w:smallCaps w:val="false"/>
          <w:sz w:val="20"/>
        </w:rPr>
        <w:t>Intangible assets, net consisted of the following:</w:t>
      </w:r>
    </w:p>
    <w:p>
      <w:pPr>
        <w:pStyle w:val="TextBody"/>
        <w:bidi w:val="0"/>
        <w:spacing w:before="0" w:after="0"/>
        <w:ind w:left="0" w:right="0" w:hanging="0"/>
        <w:jc w:val="left"/>
        <w:rPr>
          <w:caps w:val="false"/>
          <w:smallCaps w:val="false"/>
        </w:rPr>
      </w:pPr>
      <w:r>
        <w:rPr>
          <w:caps w:val="false"/>
          <w:smallCaps w:val="false"/>
        </w:rPr>
        <w:t> </w:t>
      </w:r>
      <w:bookmarkStart w:id="351" w:name="xdx_8B7_zSchs8vVpuxg"/>
      <w:bookmarkEnd w:id="351"/>
      <w:r>
        <w:rPr>
          <w:rFonts w:ascii="Times New Roman;Times;Serif" w:hAnsi="Times New Roman;Times;Serif"/>
          <w:b w:val="false"/>
          <w:i w:val="false"/>
          <w:caps w:val="false"/>
          <w:smallCaps w:val="false"/>
          <w:sz w:val="20"/>
        </w:rPr>
        <w:t>SCHEDULE OF FINITE-LIVED INTANGIBLE ASSETS</w:t>
      </w:r>
    </w:p>
    <w:tbl>
      <w:tblPr>
        <w:tblW w:w="7208" w:type="dxa"/>
        <w:jc w:val="left"/>
        <w:tblInd w:w="0" w:type="dxa"/>
        <w:tblLayout w:type="fixed"/>
        <w:tblCellMar>
          <w:top w:w="0" w:type="dxa"/>
          <w:left w:w="0" w:type="dxa"/>
          <w:bottom w:w="0" w:type="dxa"/>
          <w:right w:w="0" w:type="dxa"/>
        </w:tblCellMar>
      </w:tblPr>
      <w:tblGrid>
        <w:gridCol w:w="3635"/>
        <w:gridCol w:w="60"/>
        <w:gridCol w:w="290"/>
        <w:gridCol w:w="1319"/>
        <w:gridCol w:w="95"/>
        <w:gridCol w:w="60"/>
        <w:gridCol w:w="296"/>
        <w:gridCol w:w="1343"/>
        <w:gridCol w:w="11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2" w:name="xdx_49F_20250331_z1Eo1PEoIDGh"/>
            <w:bookmarkEnd w:id="352"/>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3" w:name="xdx_49B_20241231_zDOOdGCCHdDe"/>
            <w:bookmarkEnd w:id="353"/>
          </w:p>
        </w:tc>
        <w:tc>
          <w:tcPr>
            <w:tcW w:w="16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Amortizable intangible assets: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4" w:name="xdx_402_eus-gaap--FiniteLivedIntangibleA"/>
            <w:bookmarkEnd w:id="354"/>
          </w:p>
        </w:tc>
      </w:tr>
      <w:tr>
        <w:trPr/>
        <w:tc>
          <w:tcPr>
            <w:tcW w:w="3635" w:type="dxa"/>
            <w:tcBorders/>
            <w:shd w:fill="FFFFFF" w:val="clear"/>
            <w:vAlign w:val="center"/>
          </w:tcPr>
          <w:p>
            <w:pPr>
              <w:pStyle w:val="TableContents"/>
              <w:bidi w:val="0"/>
              <w:spacing w:before="0" w:after="283"/>
              <w:jc w:val="left"/>
              <w:rPr/>
            </w:pPr>
            <w:r>
              <w:rPr/>
              <w:t>Patents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19" w:type="dxa"/>
            <w:tcBorders/>
            <w:shd w:fill="FFFFFF" w:val="clear"/>
            <w:vAlign w:val="center"/>
          </w:tcPr>
          <w:p>
            <w:pPr>
              <w:pStyle w:val="TableContents"/>
              <w:bidi w:val="0"/>
              <w:spacing w:before="0" w:after="283"/>
              <w:jc w:val="right"/>
              <w:rPr/>
            </w:pPr>
            <w:r>
              <w:rPr/>
              <w:t>1,052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w:t>
            </w:r>
          </w:p>
        </w:tc>
        <w:tc>
          <w:tcPr>
            <w:tcW w:w="1343" w:type="dxa"/>
            <w:tcBorders/>
            <w:shd w:fill="FFFFFF" w:val="clear"/>
            <w:vAlign w:val="center"/>
          </w:tcPr>
          <w:p>
            <w:pPr>
              <w:pStyle w:val="TableContents"/>
              <w:bidi w:val="0"/>
              <w:spacing w:before="0" w:after="283"/>
              <w:jc w:val="right"/>
              <w:rPr/>
            </w:pPr>
            <w:r>
              <w:rPr/>
              <w:t>1,013</w:t>
            </w:r>
          </w:p>
        </w:tc>
        <w:tc>
          <w:tcPr>
            <w:tcW w:w="110" w:type="dxa"/>
            <w:tcBorders/>
            <w:shd w:fill="FFFFFF" w:val="clear"/>
            <w:vAlign w:val="center"/>
          </w:tcPr>
          <w:p>
            <w:pPr>
              <w:pStyle w:val="TableContents"/>
              <w:bidi w:val="0"/>
              <w:spacing w:before="0" w:after="283"/>
              <w:jc w:val="left"/>
              <w:rPr/>
            </w:pPr>
            <w:r>
              <w:rPr/>
              <w:t> </w:t>
            </w:r>
            <w:bookmarkStart w:id="355" w:name="xdx_400_eus-gaap--FiniteLivedIntangibleA"/>
            <w:bookmarkEnd w:id="355"/>
          </w:p>
        </w:tc>
      </w:tr>
      <w:tr>
        <w:trPr/>
        <w:tc>
          <w:tcPr>
            <w:tcW w:w="3635" w:type="dxa"/>
            <w:tcBorders/>
            <w:shd w:fill="CCEEFF" w:val="clear"/>
            <w:vAlign w:val="center"/>
          </w:tcPr>
          <w:p>
            <w:pPr>
              <w:pStyle w:val="TableContents"/>
              <w:bidi w:val="0"/>
              <w:spacing w:before="0" w:after="283"/>
              <w:jc w:val="left"/>
              <w:rPr/>
            </w:pPr>
            <w:r>
              <w:rPr/>
              <w:t>Trademarks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264</w:t>
            </w:r>
          </w:p>
        </w:tc>
        <w:tc>
          <w:tcPr>
            <w:tcW w:w="110" w:type="dxa"/>
            <w:tcBorders/>
            <w:shd w:fill="CCEEFF" w:val="clear"/>
            <w:vAlign w:val="center"/>
          </w:tcPr>
          <w:p>
            <w:pPr>
              <w:pStyle w:val="TableContents"/>
              <w:bidi w:val="0"/>
              <w:spacing w:before="0" w:after="283"/>
              <w:jc w:val="left"/>
              <w:rPr/>
            </w:pPr>
            <w:r>
              <w:rPr/>
              <w:t> </w:t>
            </w:r>
            <w:bookmarkStart w:id="356" w:name="xdx_407_eus-gaap--FiniteLivedIntangibleA"/>
            <w:bookmarkEnd w:id="356"/>
          </w:p>
        </w:tc>
      </w:tr>
      <w:tr>
        <w:trPr/>
        <w:tc>
          <w:tcPr>
            <w:tcW w:w="3635" w:type="dxa"/>
            <w:tcBorders/>
            <w:shd w:fill="FFFFFF" w:val="clear"/>
            <w:vAlign w:val="center"/>
          </w:tcPr>
          <w:p>
            <w:pPr>
              <w:pStyle w:val="TableContents"/>
              <w:bidi w:val="0"/>
              <w:spacing w:before="0" w:after="283"/>
              <w:jc w:val="left"/>
              <w:rPr/>
            </w:pPr>
            <w:r>
              <w:rPr/>
              <w:t>Purchased software and technology</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r>
              <w:rPr/>
              <w:t>1,752</w:t>
            </w:r>
          </w:p>
        </w:tc>
        <w:tc>
          <w:tcPr>
            <w:tcW w:w="110" w:type="dxa"/>
            <w:tcBorders/>
            <w:shd w:fill="FFFFFF" w:val="clear"/>
            <w:vAlign w:val="center"/>
          </w:tcPr>
          <w:p>
            <w:pPr>
              <w:pStyle w:val="TableContents"/>
              <w:bidi w:val="0"/>
              <w:spacing w:before="0" w:after="283"/>
              <w:jc w:val="left"/>
              <w:rPr/>
            </w:pPr>
            <w:r>
              <w:rPr/>
              <w:t> </w:t>
            </w:r>
            <w:bookmarkStart w:id="357" w:name="xdx_405_eus-gaap--FiniteLivedIntangibleA"/>
            <w:bookmarkEnd w:id="357"/>
          </w:p>
        </w:tc>
      </w:tr>
      <w:tr>
        <w:trPr/>
        <w:tc>
          <w:tcPr>
            <w:tcW w:w="3635"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3" w:type="dxa"/>
            <w:tcBorders>
              <w:bottom w:val="single" w:sz="8" w:space="0" w:color="000000"/>
            </w:tcBorders>
            <w:shd w:fill="CCEEFF" w:val="clear"/>
            <w:tcMar>
              <w:bottom w:w="28" w:type="dxa"/>
            </w:tcMar>
            <w:vAlign w:val="center"/>
          </w:tcPr>
          <w:p>
            <w:pPr>
              <w:pStyle w:val="TableContents"/>
              <w:bidi w:val="0"/>
              <w:spacing w:before="0" w:after="283"/>
              <w:jc w:val="right"/>
              <w:rPr/>
            </w:pPr>
            <w:r>
              <w:rPr/>
              <w:t>160</w:t>
            </w:r>
          </w:p>
        </w:tc>
        <w:tc>
          <w:tcPr>
            <w:tcW w:w="110" w:type="dxa"/>
            <w:tcBorders/>
            <w:shd w:fill="CCEEFF" w:val="clear"/>
            <w:vAlign w:val="center"/>
          </w:tcPr>
          <w:p>
            <w:pPr>
              <w:pStyle w:val="TableContents"/>
              <w:bidi w:val="0"/>
              <w:spacing w:before="0" w:after="283"/>
              <w:jc w:val="left"/>
              <w:rPr/>
            </w:pPr>
            <w:r>
              <w:rPr/>
              <w:t> </w:t>
            </w:r>
            <w:bookmarkStart w:id="358" w:name="xdx_402_eus-gaap--FiniteLivedIntangibleA"/>
            <w:bookmarkEnd w:id="358"/>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Amortizable intangible assets, gross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19" w:type="dxa"/>
            <w:tcBorders/>
            <w:shd w:fill="FFFFFF" w:val="clear"/>
            <w:vAlign w:val="center"/>
          </w:tcPr>
          <w:p>
            <w:pPr>
              <w:pStyle w:val="TableContents"/>
              <w:bidi w:val="0"/>
              <w:spacing w:before="0" w:after="283"/>
              <w:jc w:val="right"/>
              <w:rPr/>
            </w:pPr>
            <w:r>
              <w:rPr/>
              <w:t>3,287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w:t>
            </w:r>
          </w:p>
        </w:tc>
        <w:tc>
          <w:tcPr>
            <w:tcW w:w="1343" w:type="dxa"/>
            <w:tcBorders/>
            <w:shd w:fill="FFFFFF" w:val="clear"/>
            <w:vAlign w:val="center"/>
          </w:tcPr>
          <w:p>
            <w:pPr>
              <w:pStyle w:val="TableContents"/>
              <w:bidi w:val="0"/>
              <w:spacing w:before="0" w:after="283"/>
              <w:jc w:val="right"/>
              <w:rPr/>
            </w:pPr>
            <w:r>
              <w:rPr/>
              <w:t>3,189</w:t>
            </w:r>
          </w:p>
        </w:tc>
        <w:tc>
          <w:tcPr>
            <w:tcW w:w="110" w:type="dxa"/>
            <w:tcBorders/>
            <w:shd w:fill="FFFFFF" w:val="clear"/>
            <w:vAlign w:val="center"/>
          </w:tcPr>
          <w:p>
            <w:pPr>
              <w:pStyle w:val="TableContents"/>
              <w:bidi w:val="0"/>
              <w:spacing w:before="0" w:after="283"/>
              <w:jc w:val="left"/>
              <w:rPr/>
            </w:pPr>
            <w:r>
              <w:rPr/>
              <w:t> </w:t>
            </w:r>
            <w:bookmarkStart w:id="359" w:name="xdx_401_eus-gaap--FiniteLivedIntangibleA"/>
            <w:bookmarkEnd w:id="359"/>
          </w:p>
        </w:tc>
      </w:tr>
      <w:tr>
        <w:trPr/>
        <w:tc>
          <w:tcPr>
            <w:tcW w:w="3635" w:type="dxa"/>
            <w:tcBorders/>
            <w:shd w:fill="CCEEFF" w:val="clear"/>
            <w:vAlign w:val="center"/>
          </w:tcPr>
          <w:p>
            <w:pPr>
              <w:pStyle w:val="TableContents"/>
              <w:bidi w:val="0"/>
              <w:spacing w:before="0" w:after="283"/>
              <w:jc w:val="left"/>
              <w:rPr/>
            </w:pPr>
            <w:r>
              <w:rPr/>
              <w:t>Accumulated amortization</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(1,370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3" w:type="dxa"/>
            <w:tcBorders>
              <w:bottom w:val="single" w:sz="8" w:space="0" w:color="000000"/>
            </w:tcBorders>
            <w:shd w:fill="CCEEFF" w:val="clear"/>
            <w:tcMar>
              <w:bottom w:w="28" w:type="dxa"/>
            </w:tcMar>
            <w:vAlign w:val="center"/>
          </w:tcPr>
          <w:p>
            <w:pPr>
              <w:pStyle w:val="TableContents"/>
              <w:bidi w:val="0"/>
              <w:spacing w:before="0" w:after="283"/>
              <w:jc w:val="right"/>
              <w:rPr/>
            </w:pPr>
            <w:r>
              <w:rPr/>
              <w:t>(1,256</w:t>
            </w:r>
          </w:p>
        </w:tc>
        <w:tc>
          <w:tcPr>
            <w:tcW w:w="110" w:type="dxa"/>
            <w:tcBorders/>
            <w:shd w:fill="CCEEFF" w:val="clear"/>
            <w:vAlign w:val="center"/>
          </w:tcPr>
          <w:p>
            <w:pPr>
              <w:pStyle w:val="TableContents"/>
              <w:bidi w:val="0"/>
              <w:spacing w:before="0" w:after="283"/>
              <w:jc w:val="left"/>
              <w:rPr/>
            </w:pPr>
            <w:r>
              <w:rPr/>
              <w:t>)</w:t>
            </w:r>
            <w:bookmarkStart w:id="360" w:name="xdx_400_eus-gaap--FiniteLivedIntangibleA"/>
            <w:bookmarkEnd w:id="360"/>
          </w:p>
        </w:tc>
      </w:tr>
      <w:tr>
        <w:trPr/>
        <w:tc>
          <w:tcPr>
            <w:tcW w:w="3635" w:type="dxa"/>
            <w:tcBorders/>
            <w:shd w:fill="FFFFFF" w:val="clear"/>
            <w:vAlign w:val="center"/>
          </w:tcPr>
          <w:p>
            <w:pPr>
              <w:pStyle w:val="TableContents"/>
              <w:bidi w:val="0"/>
              <w:spacing w:before="0" w:after="283"/>
              <w:jc w:val="left"/>
              <w:rPr/>
            </w:pPr>
            <w:r>
              <w:rPr/>
              <w:t>Total amortizable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19" w:type="dxa"/>
            <w:tcBorders/>
            <w:shd w:fill="FFFFFF" w:val="clear"/>
            <w:vAlign w:val="center"/>
          </w:tcPr>
          <w:p>
            <w:pPr>
              <w:pStyle w:val="TableContents"/>
              <w:bidi w:val="0"/>
              <w:spacing w:before="0" w:after="283"/>
              <w:jc w:val="right"/>
              <w:rPr/>
            </w:pPr>
            <w:r>
              <w:rPr/>
              <w:t>1,917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w:t>
            </w:r>
          </w:p>
        </w:tc>
        <w:tc>
          <w:tcPr>
            <w:tcW w:w="1343" w:type="dxa"/>
            <w:tcBorders/>
            <w:shd w:fill="FFFFFF" w:val="clear"/>
            <w:vAlign w:val="center"/>
          </w:tcPr>
          <w:p>
            <w:pPr>
              <w:pStyle w:val="TableContents"/>
              <w:bidi w:val="0"/>
              <w:spacing w:before="0" w:after="283"/>
              <w:jc w:val="right"/>
              <w:rPr/>
            </w:pPr>
            <w:r>
              <w:rPr/>
              <w:t>1,933</w:t>
            </w:r>
          </w:p>
        </w:tc>
        <w:tc>
          <w:tcPr>
            <w:tcW w:w="110" w:type="dxa"/>
            <w:tcBorders/>
            <w:shd w:fill="FFFFFF" w:val="clear"/>
            <w:vAlign w:val="center"/>
          </w:tcPr>
          <w:p>
            <w:pPr>
              <w:pStyle w:val="TableContents"/>
              <w:bidi w:val="0"/>
              <w:spacing w:before="0" w:after="283"/>
              <w:jc w:val="left"/>
              <w:rPr/>
            </w:pPr>
            <w:r>
              <w:rPr/>
              <w:t> </w:t>
            </w:r>
            <w:bookmarkStart w:id="361" w:name="xdx_407_eus-gaap--IndefiniteLivedIntangi"/>
            <w:bookmarkEnd w:id="361"/>
          </w:p>
        </w:tc>
      </w:tr>
      <w:tr>
        <w:trPr/>
        <w:tc>
          <w:tcPr>
            <w:tcW w:w="3635" w:type="dxa"/>
            <w:tcBorders/>
            <w:shd w:fill="CCEEFF" w:val="clear"/>
            <w:vAlign w:val="center"/>
          </w:tcPr>
          <w:p>
            <w:pPr>
              <w:pStyle w:val="TableContents"/>
              <w:bidi w:val="0"/>
              <w:spacing w:before="0" w:after="283"/>
              <w:jc w:val="left"/>
              <w:rPr/>
            </w:pPr>
            <w:r>
              <w:rPr/>
              <w:t>Indefinite life assets (non-amortizable)</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3" w:type="dxa"/>
            <w:tcBorders>
              <w:bottom w:val="single" w:sz="8" w:space="0" w:color="000000"/>
            </w:tcBorders>
            <w:shd w:fill="CCEEFF" w:val="clear"/>
            <w:tcMar>
              <w:bottom w:w="28" w:type="dxa"/>
            </w:tcMar>
            <w:vAlign w:val="center"/>
          </w:tcPr>
          <w:p>
            <w:pPr>
              <w:pStyle w:val="TableContents"/>
              <w:bidi w:val="0"/>
              <w:spacing w:before="0" w:after="283"/>
              <w:jc w:val="right"/>
              <w:rPr/>
            </w:pPr>
            <w:r>
              <w:rPr/>
              <w:t>421</w:t>
            </w:r>
          </w:p>
        </w:tc>
        <w:tc>
          <w:tcPr>
            <w:tcW w:w="110" w:type="dxa"/>
            <w:tcBorders/>
            <w:shd w:fill="CCEEFF" w:val="clear"/>
            <w:vAlign w:val="center"/>
          </w:tcPr>
          <w:p>
            <w:pPr>
              <w:pStyle w:val="TableContents"/>
              <w:bidi w:val="0"/>
              <w:spacing w:before="0" w:after="283"/>
              <w:jc w:val="left"/>
              <w:rPr/>
            </w:pPr>
            <w:r>
              <w:rPr/>
              <w:t> </w:t>
            </w:r>
            <w:bookmarkStart w:id="362" w:name="xdx_401_eus-gaap--IntangibleAssetsNetExc"/>
            <w:bookmarkEnd w:id="362"/>
          </w:p>
        </w:tc>
      </w:tr>
      <w:tr>
        <w:trPr/>
        <w:tc>
          <w:tcPr>
            <w:tcW w:w="3635" w:type="dxa"/>
            <w:tcBorders/>
            <w:shd w:fill="FFFFFF" w:val="clear"/>
            <w:vAlign w:val="center"/>
          </w:tcPr>
          <w:p>
            <w:pPr>
              <w:pStyle w:val="TableContents"/>
              <w:bidi w:val="0"/>
              <w:spacing w:before="0" w:after="283"/>
              <w:jc w:val="left"/>
              <w:rPr/>
            </w:pPr>
            <w:r>
              <w:rPr/>
              <w:t>Total intangible assets, net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pPr>
            <w:r>
              <w:rPr/>
              <w:t>2,338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3" w:type="dxa"/>
            <w:tcBorders>
              <w:bottom w:val="double" w:sz="6" w:space="0" w:color="000000"/>
            </w:tcBorders>
            <w:shd w:fill="FFFFFF" w:val="clear"/>
            <w:tcMar>
              <w:bottom w:w="28" w:type="dxa"/>
            </w:tcMar>
            <w:vAlign w:val="center"/>
          </w:tcPr>
          <w:p>
            <w:pPr>
              <w:pStyle w:val="TableContents"/>
              <w:bidi w:val="0"/>
              <w:spacing w:before="0" w:after="283"/>
              <w:jc w:val="right"/>
              <w:rPr/>
            </w:pPr>
            <w:r>
              <w:rPr/>
              <w:t>2,354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3" w:name="xdx_8A8_zsh8LDcxCwZ6"/>
      <w:bookmarkEnd w:id="36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w:t>
      </w:r>
      <w:bookmarkStart w:id="364" w:name="xdx_905_eus-gaap--AmortizationOfIntangib"/>
      <w:bookmarkEnd w:id="364"/>
      <w:r>
        <w:rPr>
          <w:rFonts w:ascii="Times New Roman;Times;Serif" w:hAnsi="Times New Roman;Times;Serif"/>
          <w:b w:val="false"/>
          <w:i w:val="false"/>
          <w:caps w:val="false"/>
          <w:smallCaps w:val="false"/>
          <w:sz w:val="20"/>
        </w:rPr>
        <w:t>115 and $</w:t>
      </w:r>
      <w:bookmarkStart w:id="365" w:name="xdx_90F_eus-gaap--AmortizationOfIntangib"/>
      <w:bookmarkEnd w:id="365"/>
      <w:r>
        <w:rPr>
          <w:rFonts w:ascii="Times New Roman;Times;Serif" w:hAnsi="Times New Roman;Times;Serif"/>
          <w:b w:val="false"/>
          <w:i w:val="false"/>
          <w:caps w:val="false"/>
          <w:smallCaps w:val="false"/>
          <w:sz w:val="20"/>
        </w:rPr>
        <w:t>107 for the three months ended March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6" w:name="xdx_89E_eus-gaap--ScheduleofFiniteLivedI"/>
      <w:bookmarkEnd w:id="366"/>
      <w:r>
        <w:rPr>
          <w:rFonts w:ascii="Times New Roman;Times;Serif" w:hAnsi="Times New Roman;Times;Serif"/>
          <w:b w:val="false"/>
          <w:i w:val="false"/>
          <w:caps w:val="false"/>
          <w:smallCaps w:val="false"/>
          <w:sz w:val="20"/>
        </w:rPr>
        <w:t>As of March 31, 2025, future amortization expense is as follows:</w:t>
      </w:r>
    </w:p>
    <w:p>
      <w:pPr>
        <w:pStyle w:val="TextBody"/>
        <w:bidi w:val="0"/>
        <w:spacing w:before="0" w:after="0"/>
        <w:ind w:left="0" w:right="0" w:hanging="0"/>
        <w:jc w:val="left"/>
        <w:rPr>
          <w:caps w:val="false"/>
          <w:smallCaps w:val="false"/>
        </w:rPr>
      </w:pPr>
      <w:r>
        <w:rPr>
          <w:caps w:val="false"/>
          <w:smallCaps w:val="false"/>
        </w:rPr>
        <w:t> </w:t>
      </w:r>
      <w:bookmarkStart w:id="367" w:name="xdx_8BE_ziBnoKx68Gc1"/>
      <w:bookmarkEnd w:id="367"/>
      <w:r>
        <w:rPr>
          <w:rFonts w:ascii="Times New Roman;Times;Serif" w:hAnsi="Times New Roman;Times;Serif"/>
          <w:b w:val="false"/>
          <w:i w:val="false"/>
          <w:caps w:val="false"/>
          <w:smallCaps w:val="false"/>
          <w:sz w:val="20"/>
        </w:rPr>
        <w:t>SCHEDULE OF FINITE-LIVED INTANGIBLE ASSETS, FUTURE AMORTIZATION EXPENSE</w:t>
      </w:r>
    </w:p>
    <w:tbl>
      <w:tblPr>
        <w:tblW w:w="4365" w:type="dxa"/>
        <w:jc w:val="left"/>
        <w:tblInd w:w="0" w:type="dxa"/>
        <w:tblLayout w:type="fixed"/>
        <w:tblCellMar>
          <w:top w:w="0" w:type="dxa"/>
          <w:left w:w="0" w:type="dxa"/>
          <w:bottom w:w="0" w:type="dxa"/>
          <w:right w:w="0" w:type="dxa"/>
        </w:tblCellMar>
      </w:tblPr>
      <w:tblGrid>
        <w:gridCol w:w="3530"/>
        <w:gridCol w:w="60"/>
        <w:gridCol w:w="140"/>
        <w:gridCol w:w="560"/>
        <w:gridCol w:w="75"/>
      </w:tblGrid>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68" w:name="xdx_493_20250331_zbIeMQNmT8v9"/>
            <w:bookmarkEnd w:id="368"/>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69" w:name="xdx_400_eus-gaap--FiniteLivedIntangibleA"/>
            <w:bookmarkEnd w:id="369"/>
          </w:p>
        </w:tc>
      </w:tr>
      <w:tr>
        <w:trPr/>
        <w:tc>
          <w:tcPr>
            <w:tcW w:w="3530" w:type="dxa"/>
            <w:tcBorders/>
            <w:shd w:fill="CCEEFF" w:val="clear"/>
            <w:vAlign w:val="center"/>
          </w:tcPr>
          <w:p>
            <w:pPr>
              <w:pStyle w:val="TableContents"/>
              <w:bidi w:val="0"/>
              <w:spacing w:before="0" w:after="283"/>
              <w:jc w:val="left"/>
              <w:rPr/>
            </w:pPr>
            <w:r>
              <w:rPr/>
              <w:t>2025 (9 months)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355</w:t>
            </w:r>
          </w:p>
        </w:tc>
        <w:tc>
          <w:tcPr>
            <w:tcW w:w="75" w:type="dxa"/>
            <w:tcBorders/>
            <w:shd w:fill="CCEEFF" w:val="clear"/>
            <w:vAlign w:val="center"/>
          </w:tcPr>
          <w:p>
            <w:pPr>
              <w:pStyle w:val="TableContents"/>
              <w:bidi w:val="0"/>
              <w:spacing w:before="0" w:after="283"/>
              <w:jc w:val="left"/>
              <w:rPr/>
            </w:pPr>
            <w:r>
              <w:rPr/>
              <w:t> </w:t>
            </w:r>
            <w:bookmarkStart w:id="370" w:name="xdx_40B_eus-gaap--FiniteLivedIntangibleA"/>
            <w:bookmarkEnd w:id="370"/>
          </w:p>
        </w:tc>
      </w:tr>
      <w:tr>
        <w:trPr/>
        <w:tc>
          <w:tcPr>
            <w:tcW w:w="3530"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386</w:t>
            </w:r>
          </w:p>
        </w:tc>
        <w:tc>
          <w:tcPr>
            <w:tcW w:w="75" w:type="dxa"/>
            <w:tcBorders/>
            <w:shd w:fill="FFFFFF" w:val="clear"/>
            <w:vAlign w:val="center"/>
          </w:tcPr>
          <w:p>
            <w:pPr>
              <w:pStyle w:val="TableContents"/>
              <w:bidi w:val="0"/>
              <w:spacing w:before="0" w:after="283"/>
              <w:jc w:val="left"/>
              <w:rPr/>
            </w:pPr>
            <w:r>
              <w:rPr/>
              <w:t> </w:t>
            </w:r>
            <w:bookmarkStart w:id="371" w:name="xdx_40A_eus-gaap--FiniteLivedIntangibleA"/>
            <w:bookmarkEnd w:id="371"/>
          </w:p>
        </w:tc>
      </w:tr>
      <w:tr>
        <w:trPr/>
        <w:tc>
          <w:tcPr>
            <w:tcW w:w="3530"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236</w:t>
            </w:r>
          </w:p>
        </w:tc>
        <w:tc>
          <w:tcPr>
            <w:tcW w:w="75" w:type="dxa"/>
            <w:tcBorders/>
            <w:shd w:fill="CCEEFF" w:val="clear"/>
            <w:vAlign w:val="center"/>
          </w:tcPr>
          <w:p>
            <w:pPr>
              <w:pStyle w:val="TableContents"/>
              <w:bidi w:val="0"/>
              <w:spacing w:before="0" w:after="283"/>
              <w:jc w:val="left"/>
              <w:rPr/>
            </w:pPr>
            <w:r>
              <w:rPr/>
              <w:t> </w:t>
            </w:r>
            <w:bookmarkStart w:id="372" w:name="xdx_402_eus-gaap--FiniteLivedIntangibleA"/>
            <w:bookmarkEnd w:id="372"/>
          </w:p>
        </w:tc>
      </w:tr>
      <w:tr>
        <w:trPr/>
        <w:tc>
          <w:tcPr>
            <w:tcW w:w="3530"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221</w:t>
            </w:r>
          </w:p>
        </w:tc>
        <w:tc>
          <w:tcPr>
            <w:tcW w:w="75" w:type="dxa"/>
            <w:tcBorders/>
            <w:shd w:fill="FFFFFF" w:val="clear"/>
            <w:vAlign w:val="center"/>
          </w:tcPr>
          <w:p>
            <w:pPr>
              <w:pStyle w:val="TableContents"/>
              <w:bidi w:val="0"/>
              <w:spacing w:before="0" w:after="283"/>
              <w:jc w:val="left"/>
              <w:rPr/>
            </w:pPr>
            <w:r>
              <w:rPr/>
              <w:t> </w:t>
            </w:r>
            <w:bookmarkStart w:id="373" w:name="xdx_402_eus-gaap--FiniteLivedIntangibleA"/>
            <w:bookmarkEnd w:id="373"/>
          </w:p>
        </w:tc>
      </w:tr>
      <w:tr>
        <w:trPr/>
        <w:tc>
          <w:tcPr>
            <w:tcW w:w="3530" w:type="dxa"/>
            <w:tcBorders/>
            <w:shd w:fill="CCEEFF" w:val="clear"/>
            <w:vAlign w:val="center"/>
          </w:tcPr>
          <w:p>
            <w:pPr>
              <w:pStyle w:val="TableContents"/>
              <w:bidi w:val="0"/>
              <w:spacing w:before="0" w:after="283"/>
              <w:jc w:val="left"/>
              <w:rPr/>
            </w:pPr>
            <w:r>
              <w:rPr/>
              <w:t>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186</w:t>
            </w:r>
          </w:p>
        </w:tc>
        <w:tc>
          <w:tcPr>
            <w:tcW w:w="75" w:type="dxa"/>
            <w:tcBorders/>
            <w:shd w:fill="CCEEFF" w:val="clear"/>
            <w:vAlign w:val="center"/>
          </w:tcPr>
          <w:p>
            <w:pPr>
              <w:pStyle w:val="TableContents"/>
              <w:bidi w:val="0"/>
              <w:spacing w:before="0" w:after="283"/>
              <w:jc w:val="left"/>
              <w:rPr/>
            </w:pPr>
            <w:r>
              <w:rPr/>
              <w:t> </w:t>
            </w:r>
            <w:bookmarkStart w:id="374" w:name="xdx_400_ecustom--FiniteLivedIntangibleAs"/>
            <w:bookmarkEnd w:id="374"/>
          </w:p>
        </w:tc>
      </w:tr>
      <w:tr>
        <w:trPr/>
        <w:tc>
          <w:tcPr>
            <w:tcW w:w="353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533</w:t>
            </w:r>
          </w:p>
        </w:tc>
        <w:tc>
          <w:tcPr>
            <w:tcW w:w="75" w:type="dxa"/>
            <w:tcBorders/>
            <w:shd w:fill="FFFFFF" w:val="clear"/>
            <w:vAlign w:val="center"/>
          </w:tcPr>
          <w:p>
            <w:pPr>
              <w:pStyle w:val="TableContents"/>
              <w:bidi w:val="0"/>
              <w:spacing w:before="0" w:after="283"/>
              <w:jc w:val="left"/>
              <w:rPr/>
            </w:pPr>
            <w:r>
              <w:rPr/>
              <w:t> </w:t>
            </w:r>
            <w:bookmarkStart w:id="375" w:name="xdx_40C_eus-gaap--FiniteLivedIntangibleA"/>
            <w:bookmarkEnd w:id="375"/>
          </w:p>
        </w:tc>
      </w:tr>
      <w:tr>
        <w:trPr/>
        <w:tc>
          <w:tcPr>
            <w:tcW w:w="3530" w:type="dxa"/>
            <w:tcBorders/>
            <w:shd w:fill="CCEEFF" w:val="clear"/>
            <w:vAlign w:val="center"/>
          </w:tcPr>
          <w:p>
            <w:pPr>
              <w:pStyle w:val="TableContents"/>
              <w:bidi w:val="0"/>
              <w:spacing w:before="0" w:after="283"/>
              <w:jc w:val="left"/>
              <w:rPr/>
            </w:pPr>
            <w:r>
              <w:rPr/>
              <w:t>Total estimated 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1,917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6" w:name="xdx_8A2_zB3dcGf9EdX3"/>
      <w:bookmarkEnd w:id="376"/>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bookmarkStart w:id="377" w:name="xdx_80A_eus-gaap--AccountsPayableAndAccr"/>
      <w:bookmarkEnd w:id="377"/>
      <w:r>
        <w:rPr>
          <w:rFonts w:ascii="Times New Roman;Times;Serif" w:hAnsi="Times New Roman;Times;Serif"/>
          <w:b/>
          <w:i w:val="false"/>
          <w:caps w:val="false"/>
          <w:smallCaps w:val="false"/>
          <w:sz w:val="20"/>
        </w:rPr>
        <w:t xml:space="preserve">7. </w:t>
      </w:r>
      <w:bookmarkStart w:id="378" w:name="xdx_825_z9CX9HX057Tc"/>
      <w:bookmarkEnd w:id="378"/>
      <w:r>
        <w:rPr>
          <w:rFonts w:ascii="Times New Roman;Times;Serif" w:hAnsi="Times New Roman;Times;Serif"/>
          <w:b/>
          <w:i w:val="false"/>
          <w:caps w:val="false"/>
          <w:smallCaps w:val="false"/>
          <w:sz w:val="20"/>
        </w:rPr>
        <w:t>ACCOUNTS PAYABLE AND ACCRUED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obligated to pay royalties pursuant to an exclusive Amended and Restated Intellectual Property License Agreement (the “License Agreement”), dated as of September 30, 2016, with Syzygy Licensing, LLC (“Syzygy”), a private technology invention, consulting and licensing company owned and controlled by Elwood G. Norris, a founder and former officer and current 5% or greater stockholder of the Company, and James A. Barnes, a former officer and stockholder of the Company (see Note 13). Accounts payable includes $</w:t>
      </w:r>
      <w:bookmarkStart w:id="379" w:name="xdx_907_eus-gaap--AccountsPayableCurrent"/>
      <w:bookmarkStart w:id="380" w:name="xdx_902_eus-gaap--AccountsPayableCurrent"/>
      <w:bookmarkEnd w:id="379"/>
      <w:bookmarkEnd w:id="380"/>
      <w:r>
        <w:rPr>
          <w:rFonts w:ascii="Times New Roman;Times;Serif" w:hAnsi="Times New Roman;Times;Serif"/>
          <w:b w:val="false"/>
          <w:i w:val="false"/>
          <w:caps w:val="false"/>
          <w:smallCaps w:val="false"/>
          <w:sz w:val="20"/>
        </w:rPr>
        <w:t>81 due to Syzygy as of March 31,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1" w:name="xdx_89C_eus-gaap--ScheduleOfAccruedLiabi"/>
      <w:bookmarkEnd w:id="381"/>
      <w:r>
        <w:rPr>
          <w:rFonts w:ascii="Times New Roman;Times;Serif" w:hAnsi="Times New Roman;Times;Serif"/>
          <w:b w:val="false"/>
          <w:i w:val="false"/>
          <w:caps w:val="false"/>
          <w:smallCaps w:val="false"/>
          <w:sz w:val="20"/>
        </w:rPr>
        <w:t>Accrued liabilities consist of the following:</w:t>
      </w:r>
    </w:p>
    <w:p>
      <w:pPr>
        <w:pStyle w:val="TextBody"/>
        <w:bidi w:val="0"/>
        <w:spacing w:before="0" w:after="0"/>
        <w:ind w:left="0" w:right="0" w:hanging="0"/>
        <w:jc w:val="left"/>
        <w:rPr>
          <w:caps w:val="false"/>
          <w:smallCaps w:val="false"/>
        </w:rPr>
      </w:pPr>
      <w:r>
        <w:rPr>
          <w:caps w:val="false"/>
          <w:smallCaps w:val="false"/>
        </w:rPr>
        <w:t> </w:t>
      </w:r>
      <w:bookmarkStart w:id="382" w:name="xdx_8B2_zG6At2zJdKge"/>
      <w:bookmarkEnd w:id="382"/>
      <w:r>
        <w:rPr>
          <w:rFonts w:ascii="Times New Roman;Times;Serif" w:hAnsi="Times New Roman;Times;Serif"/>
          <w:b w:val="false"/>
          <w:i w:val="false"/>
          <w:caps w:val="false"/>
          <w:smallCaps w:val="false"/>
          <w:sz w:val="20"/>
        </w:rPr>
        <w:t>SCHEDULE OF ACCRUED LIABILITIES </w:t>
      </w:r>
    </w:p>
    <w:tbl>
      <w:tblPr>
        <w:tblW w:w="5715" w:type="dxa"/>
        <w:jc w:val="left"/>
        <w:tblInd w:w="0" w:type="dxa"/>
        <w:tblLayout w:type="fixed"/>
        <w:tblCellMar>
          <w:top w:w="0" w:type="dxa"/>
          <w:left w:w="0" w:type="dxa"/>
          <w:bottom w:w="0" w:type="dxa"/>
          <w:right w:w="0" w:type="dxa"/>
        </w:tblCellMar>
      </w:tblPr>
      <w:tblGrid>
        <w:gridCol w:w="2210"/>
        <w:gridCol w:w="60"/>
        <w:gridCol w:w="322"/>
        <w:gridCol w:w="1288"/>
        <w:gridCol w:w="60"/>
        <w:gridCol w:w="60"/>
        <w:gridCol w:w="328"/>
        <w:gridCol w:w="1312"/>
        <w:gridCol w:w="75"/>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3" w:name="xdx_494_20250331_z9sP7X1AOIHc"/>
            <w:bookmarkEnd w:id="383"/>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4" w:name="xdx_49B_20241231_zv3PjHZOhKz9"/>
            <w:bookmarkEnd w:id="384"/>
          </w:p>
        </w:tc>
        <w:tc>
          <w:tcPr>
            <w:tcW w:w="16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left"/>
              <w:rPr/>
            </w:pPr>
            <w:r>
              <w:rPr/>
              <w:t> </w:t>
            </w:r>
            <w:bookmarkStart w:id="385" w:name="xdx_401_ecustom--AccruedPatentAndLegalCo"/>
            <w:bookmarkEnd w:id="385"/>
          </w:p>
        </w:tc>
      </w:tr>
      <w:tr>
        <w:trPr/>
        <w:tc>
          <w:tcPr>
            <w:tcW w:w="2210" w:type="dxa"/>
            <w:tcBorders/>
            <w:shd w:fill="CCEEFF" w:val="clear"/>
            <w:vAlign w:val="center"/>
          </w:tcPr>
          <w:p>
            <w:pPr>
              <w:pStyle w:val="TableContents"/>
              <w:bidi w:val="0"/>
              <w:spacing w:before="0" w:after="283"/>
              <w:jc w:val="left"/>
              <w:rPr/>
            </w:pPr>
            <w:r>
              <w:rPr/>
              <w:t>Patent and legal costs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60</w:t>
            </w:r>
          </w:p>
        </w:tc>
        <w:tc>
          <w:tcPr>
            <w:tcW w:w="75" w:type="dxa"/>
            <w:tcBorders/>
            <w:shd w:fill="CCEEFF" w:val="clear"/>
            <w:vAlign w:val="center"/>
          </w:tcPr>
          <w:p>
            <w:pPr>
              <w:pStyle w:val="TableContents"/>
              <w:bidi w:val="0"/>
              <w:spacing w:before="0" w:after="283"/>
              <w:jc w:val="left"/>
              <w:rPr/>
            </w:pPr>
            <w:r>
              <w:rPr/>
              <w:t> </w:t>
            </w:r>
            <w:bookmarkStart w:id="386" w:name="xdx_401_eus-gaap--EmployeeRelatedLiabili"/>
            <w:bookmarkEnd w:id="386"/>
          </w:p>
        </w:tc>
      </w:tr>
      <w:tr>
        <w:trPr/>
        <w:tc>
          <w:tcPr>
            <w:tcW w:w="2210" w:type="dxa"/>
            <w:tcBorders/>
            <w:shd w:fill="FFFFFF" w:val="clear"/>
            <w:vAlign w:val="center"/>
          </w:tcPr>
          <w:p>
            <w:pPr>
              <w:pStyle w:val="TableContents"/>
              <w:bidi w:val="0"/>
              <w:spacing w:before="0" w:after="283"/>
              <w:jc w:val="left"/>
              <w:rPr/>
            </w:pPr>
            <w:r>
              <w:rPr/>
              <w:t>Accrued compensation</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r>
              <w:rPr/>
              <w:t>121</w:t>
            </w:r>
          </w:p>
        </w:tc>
        <w:tc>
          <w:tcPr>
            <w:tcW w:w="75" w:type="dxa"/>
            <w:tcBorders/>
            <w:shd w:fill="FFFFFF" w:val="clear"/>
            <w:vAlign w:val="center"/>
          </w:tcPr>
          <w:p>
            <w:pPr>
              <w:pStyle w:val="TableContents"/>
              <w:bidi w:val="0"/>
              <w:spacing w:before="0" w:after="283"/>
              <w:jc w:val="left"/>
              <w:rPr/>
            </w:pPr>
            <w:r>
              <w:rPr/>
              <w:t> </w:t>
            </w:r>
            <w:bookmarkStart w:id="387" w:name="xdx_40E_eus-gaap--ProductWarrantyAccrual"/>
            <w:bookmarkEnd w:id="387"/>
          </w:p>
        </w:tc>
      </w:tr>
      <w:tr>
        <w:trPr/>
        <w:tc>
          <w:tcPr>
            <w:tcW w:w="2210" w:type="dxa"/>
            <w:tcBorders/>
            <w:shd w:fill="CCEEFF" w:val="clear"/>
            <w:vAlign w:val="center"/>
          </w:tcPr>
          <w:p>
            <w:pPr>
              <w:pStyle w:val="TableContents"/>
              <w:bidi w:val="0"/>
              <w:spacing w:before="0" w:after="283"/>
              <w:jc w:val="left"/>
              <w:rPr/>
            </w:pPr>
            <w:r>
              <w:rPr/>
              <w:t>Warranty costs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83</w:t>
            </w:r>
          </w:p>
        </w:tc>
        <w:tc>
          <w:tcPr>
            <w:tcW w:w="75" w:type="dxa"/>
            <w:tcBorders/>
            <w:shd w:fill="CCEEFF" w:val="clear"/>
            <w:vAlign w:val="center"/>
          </w:tcPr>
          <w:p>
            <w:pPr>
              <w:pStyle w:val="TableContents"/>
              <w:bidi w:val="0"/>
              <w:spacing w:before="0" w:after="283"/>
              <w:jc w:val="left"/>
              <w:rPr/>
            </w:pPr>
            <w:r>
              <w:rPr/>
              <w:t> </w:t>
            </w:r>
            <w:bookmarkStart w:id="388" w:name="xdx_404_eus-gaap--AccruedRoyaltiesCurren"/>
            <w:bookmarkEnd w:id="388"/>
          </w:p>
        </w:tc>
      </w:tr>
      <w:tr>
        <w:trPr/>
        <w:tc>
          <w:tcPr>
            <w:tcW w:w="2210" w:type="dxa"/>
            <w:tcBorders/>
            <w:shd w:fill="FFFFFF" w:val="clear"/>
            <w:vAlign w:val="center"/>
          </w:tcPr>
          <w:p>
            <w:pPr>
              <w:pStyle w:val="TableContents"/>
              <w:bidi w:val="0"/>
              <w:spacing w:before="0" w:after="283"/>
              <w:jc w:val="left"/>
              <w:rPr/>
            </w:pPr>
            <w:r>
              <w:rPr/>
              <w:t>Royalty</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r>
              <w:rPr/>
              <w:t>81</w:t>
            </w:r>
          </w:p>
        </w:tc>
        <w:tc>
          <w:tcPr>
            <w:tcW w:w="75" w:type="dxa"/>
            <w:tcBorders/>
            <w:shd w:fill="FFFFFF" w:val="clear"/>
            <w:vAlign w:val="center"/>
          </w:tcPr>
          <w:p>
            <w:pPr>
              <w:pStyle w:val="TableContents"/>
              <w:bidi w:val="0"/>
              <w:spacing w:before="0" w:after="283"/>
              <w:jc w:val="left"/>
              <w:rPr/>
            </w:pPr>
            <w:r>
              <w:rPr/>
              <w:t> </w:t>
            </w:r>
            <w:bookmarkStart w:id="389" w:name="xdx_40D_ecustom--ContractSettlement_iI_p"/>
            <w:bookmarkEnd w:id="389"/>
          </w:p>
        </w:tc>
      </w:tr>
      <w:tr>
        <w:trPr/>
        <w:tc>
          <w:tcPr>
            <w:tcW w:w="2210" w:type="dxa"/>
            <w:tcBorders/>
            <w:shd w:fill="CCEEFF" w:val="clear"/>
            <w:vAlign w:val="center"/>
          </w:tcPr>
          <w:p>
            <w:pPr>
              <w:pStyle w:val="TableContents"/>
              <w:bidi w:val="0"/>
              <w:spacing w:before="0" w:after="283"/>
              <w:jc w:val="left"/>
              <w:rPr/>
            </w:pPr>
            <w:r>
              <w:rPr/>
              <w:t>Contract settlement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bookmarkStart w:id="390" w:name="xdx_406_ecustom--AccruedPurchaseCurrent_"/>
            <w:bookmarkEnd w:id="390"/>
          </w:p>
        </w:tc>
      </w:tr>
      <w:tr>
        <w:trPr/>
        <w:tc>
          <w:tcPr>
            <w:tcW w:w="2210" w:type="dxa"/>
            <w:tcBorders/>
            <w:shd w:fill="FFFFFF" w:val="clear"/>
            <w:vAlign w:val="center"/>
          </w:tcPr>
          <w:p>
            <w:pPr>
              <w:pStyle w:val="TableContents"/>
              <w:bidi w:val="0"/>
              <w:spacing w:before="0" w:after="283"/>
              <w:jc w:val="left"/>
              <w:rPr/>
            </w:pPr>
            <w:r>
              <w:rPr/>
              <w:t>Accrued purchases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r>
              <w:rPr/>
              <w:t>584</w:t>
            </w:r>
          </w:p>
        </w:tc>
        <w:tc>
          <w:tcPr>
            <w:tcW w:w="75" w:type="dxa"/>
            <w:tcBorders/>
            <w:shd w:fill="FFFFFF" w:val="clear"/>
            <w:vAlign w:val="center"/>
          </w:tcPr>
          <w:p>
            <w:pPr>
              <w:pStyle w:val="TableContents"/>
              <w:bidi w:val="0"/>
              <w:spacing w:before="0" w:after="283"/>
              <w:jc w:val="left"/>
              <w:rPr/>
            </w:pPr>
            <w:r>
              <w:rPr/>
              <w:t> </w:t>
            </w:r>
            <w:bookmarkStart w:id="391" w:name="xdx_400_eus-gaap--OtherAccruedLiabilitie"/>
            <w:bookmarkEnd w:id="391"/>
          </w:p>
        </w:tc>
      </w:tr>
      <w:tr>
        <w:trPr/>
        <w:tc>
          <w:tcPr>
            <w:tcW w:w="2210" w:type="dxa"/>
            <w:tcBorders/>
            <w:shd w:fill="CCEEFF" w:val="clear"/>
            <w:vAlign w:val="center"/>
          </w:tcPr>
          <w:p>
            <w:pPr>
              <w:pStyle w:val="TableContents"/>
              <w:bidi w:val="0"/>
              <w:spacing w:before="0" w:after="283"/>
              <w:jc w:val="left"/>
              <w:rPr/>
            </w:pPr>
            <w:r>
              <w:rPr/>
              <w:t>Taxes and other</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2" w:type="dxa"/>
            <w:tcBorders>
              <w:bottom w:val="single" w:sz="8" w:space="0" w:color="000000"/>
            </w:tcBorders>
            <w:shd w:fill="CCEEFF" w:val="clear"/>
            <w:tcMar>
              <w:bottom w:w="28" w:type="dxa"/>
            </w:tcMar>
            <w:vAlign w:val="center"/>
          </w:tcPr>
          <w:p>
            <w:pPr>
              <w:pStyle w:val="TableContents"/>
              <w:bidi w:val="0"/>
              <w:spacing w:before="0" w:after="283"/>
              <w:jc w:val="right"/>
              <w:rPr/>
            </w:pPr>
            <w:r>
              <w:rPr/>
              <w:t>174</w:t>
            </w:r>
          </w:p>
        </w:tc>
        <w:tc>
          <w:tcPr>
            <w:tcW w:w="75" w:type="dxa"/>
            <w:tcBorders/>
            <w:shd w:fill="CCEEFF" w:val="clear"/>
            <w:vAlign w:val="center"/>
          </w:tcPr>
          <w:p>
            <w:pPr>
              <w:pStyle w:val="TableContents"/>
              <w:bidi w:val="0"/>
              <w:spacing w:before="0" w:after="283"/>
              <w:jc w:val="left"/>
              <w:rPr/>
            </w:pPr>
            <w:r>
              <w:rPr/>
              <w:t> </w:t>
            </w:r>
            <w:bookmarkStart w:id="392" w:name="xdx_408_eus-gaap--AccruedLiabilitiesCurr"/>
            <w:bookmarkEnd w:id="392"/>
          </w:p>
        </w:tc>
      </w:tr>
      <w:tr>
        <w:trPr/>
        <w:tc>
          <w:tcPr>
            <w:tcW w:w="221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FFFFFF" w:val="clear"/>
            <w:tcMar>
              <w:bottom w:w="28" w:type="dxa"/>
            </w:tcMar>
            <w:vAlign w:val="center"/>
          </w:tcPr>
          <w:p>
            <w:pPr>
              <w:pStyle w:val="TableContents"/>
              <w:bidi w:val="0"/>
              <w:spacing w:before="0" w:after="283"/>
              <w:jc w:val="right"/>
              <w:rPr/>
            </w:pPr>
            <w:r>
              <w:rPr/>
              <w:t>1,125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2" w:type="dxa"/>
            <w:tcBorders>
              <w:bottom w:val="double" w:sz="6" w:space="0" w:color="000000"/>
            </w:tcBorders>
            <w:shd w:fill="FFFFFF" w:val="clear"/>
            <w:tcMar>
              <w:bottom w:w="28" w:type="dxa"/>
            </w:tcMar>
            <w:vAlign w:val="center"/>
          </w:tcPr>
          <w:p>
            <w:pPr>
              <w:pStyle w:val="TableContents"/>
              <w:bidi w:val="0"/>
              <w:spacing w:before="0" w:after="283"/>
              <w:jc w:val="right"/>
              <w:rPr/>
            </w:pPr>
            <w:r>
              <w:rPr/>
              <w:t>1,403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3" w:name="xdx_8A9_zi8LMLgqb1Uc"/>
      <w:bookmarkEnd w:id="39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4" w:name="xdx_891_eus-gaap--ScheduleOfProductWarra"/>
      <w:bookmarkEnd w:id="394"/>
      <w:r>
        <w:rPr>
          <w:rFonts w:ascii="Times New Roman;Times;Serif" w:hAnsi="Times New Roman;Times;Serif"/>
          <w:b w:val="false"/>
          <w:i w:val="false"/>
          <w:caps w:val="false"/>
          <w:smallCaps w:val="false"/>
          <w:sz w:val="20"/>
        </w:rPr>
        <w:t>Changes in our estimated product warranty costs were as follows:</w:t>
      </w:r>
    </w:p>
    <w:p>
      <w:pPr>
        <w:pStyle w:val="TextBody"/>
        <w:bidi w:val="0"/>
        <w:spacing w:before="0" w:after="0"/>
        <w:ind w:left="0" w:right="0" w:hanging="0"/>
        <w:jc w:val="left"/>
        <w:rPr>
          <w:caps w:val="false"/>
          <w:smallCaps w:val="false"/>
        </w:rPr>
      </w:pPr>
      <w:r>
        <w:rPr>
          <w:caps w:val="false"/>
          <w:smallCaps w:val="false"/>
        </w:rPr>
        <w:t> </w:t>
      </w:r>
      <w:bookmarkStart w:id="395" w:name="xdx_8B8_za2Fum8WK2vl"/>
      <w:bookmarkEnd w:id="395"/>
      <w:r>
        <w:rPr>
          <w:rFonts w:ascii="Times New Roman;Times;Serif" w:hAnsi="Times New Roman;Times;Serif"/>
          <w:b w:val="false"/>
          <w:i w:val="false"/>
          <w:caps w:val="false"/>
          <w:smallCaps w:val="false"/>
          <w:sz w:val="20"/>
        </w:rPr>
        <w:t>SCHEDULE OF PRODUCT WARRANTY LIABILITY </w:t>
      </w:r>
    </w:p>
    <w:tbl>
      <w:tblPr>
        <w:tblW w:w="5651" w:type="dxa"/>
        <w:jc w:val="left"/>
        <w:tblInd w:w="0" w:type="dxa"/>
        <w:tblLayout w:type="fixed"/>
        <w:tblCellMar>
          <w:top w:w="0" w:type="dxa"/>
          <w:left w:w="0" w:type="dxa"/>
          <w:bottom w:w="0" w:type="dxa"/>
          <w:right w:w="0" w:type="dxa"/>
        </w:tblCellMar>
      </w:tblPr>
      <w:tblGrid>
        <w:gridCol w:w="2780"/>
        <w:gridCol w:w="60"/>
        <w:gridCol w:w="367"/>
        <w:gridCol w:w="682"/>
        <w:gridCol w:w="249"/>
        <w:gridCol w:w="157"/>
        <w:gridCol w:w="367"/>
        <w:gridCol w:w="879"/>
        <w:gridCol w:w="11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1" w:type="dxa"/>
            <w:gridSpan w:val="6"/>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11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49"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bookmarkStart w:id="396" w:name="xdx_984_eus-gaap--ProductWarrantyAccrual"/>
            <w:bookmarkEnd w:id="396"/>
          </w:p>
        </w:tc>
        <w:tc>
          <w:tcPr>
            <w:tcW w:w="682" w:type="dxa"/>
            <w:tcBorders/>
            <w:shd w:fill="CCEEFF" w:val="clear"/>
            <w:vAlign w:val="center"/>
          </w:tcPr>
          <w:p>
            <w:pPr>
              <w:pStyle w:val="TableContents"/>
              <w:bidi w:val="0"/>
              <w:spacing w:before="0" w:after="283"/>
              <w:jc w:val="right"/>
              <w:rPr/>
            </w:pPr>
            <w:r>
              <w:rPr/>
              <w:t>83</w:t>
            </w:r>
          </w:p>
        </w:tc>
        <w:tc>
          <w:tcPr>
            <w:tcW w:w="249"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bookmarkStart w:id="397" w:name="xdx_98E_eus-gaap--ProductWarrantyAccrual"/>
            <w:bookmarkEnd w:id="397"/>
          </w:p>
        </w:tc>
        <w:tc>
          <w:tcPr>
            <w:tcW w:w="879" w:type="dxa"/>
            <w:tcBorders/>
            <w:shd w:fill="CCEEFF" w:val="clear"/>
            <w:vAlign w:val="center"/>
          </w:tcPr>
          <w:p>
            <w:pPr>
              <w:pStyle w:val="TableContents"/>
              <w:bidi w:val="0"/>
              <w:spacing w:before="0" w:after="283"/>
              <w:jc w:val="right"/>
              <w:rPr/>
            </w:pPr>
            <w:r>
              <w:rPr/>
              <w:t>72</w:t>
            </w:r>
          </w:p>
        </w:tc>
        <w:tc>
          <w:tcPr>
            <w:tcW w:w="11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Warranty settlements</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bookmarkStart w:id="398" w:name="xdx_98E_eus-gaap--ProductWarrantyAccrual"/>
            <w:bookmarkEnd w:id="398"/>
          </w:p>
        </w:tc>
        <w:tc>
          <w:tcPr>
            <w:tcW w:w="682" w:type="dxa"/>
            <w:tcBorders/>
            <w:shd w:fill="FFFFFF" w:val="clear"/>
            <w:vAlign w:val="center"/>
          </w:tcPr>
          <w:p>
            <w:pPr>
              <w:pStyle w:val="TableContents"/>
              <w:bidi w:val="0"/>
              <w:spacing w:before="0" w:after="283"/>
              <w:jc w:val="right"/>
              <w:rPr/>
            </w:pPr>
            <w:r>
              <w:rPr/>
              <w:t>(7</w:t>
            </w:r>
          </w:p>
        </w:tc>
        <w:tc>
          <w:tcPr>
            <w:tcW w:w="249" w:type="dxa"/>
            <w:tcBorders/>
            <w:shd w:fill="FFFFFF" w:val="clear"/>
            <w:vAlign w:val="center"/>
          </w:tcPr>
          <w:p>
            <w:pPr>
              <w:pStyle w:val="TableContents"/>
              <w:bidi w:val="0"/>
              <w:spacing w:before="0" w:after="283"/>
              <w:jc w:val="left"/>
              <w:rPr/>
            </w:pPr>
            <w:r>
              <w:rPr/>
              <w:t>)</w:t>
            </w:r>
          </w:p>
        </w:tc>
        <w:tc>
          <w:tcPr>
            <w:tcW w:w="15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bookmarkStart w:id="399" w:name="xdx_98D_eus-gaap--ProductWarrantyAccrual"/>
            <w:bookmarkEnd w:id="399"/>
          </w:p>
        </w:tc>
        <w:tc>
          <w:tcPr>
            <w:tcW w:w="879" w:type="dxa"/>
            <w:tcBorders/>
            <w:shd w:fill="FFFFFF" w:val="clear"/>
            <w:vAlign w:val="center"/>
          </w:tcPr>
          <w:p>
            <w:pPr>
              <w:pStyle w:val="TableContents"/>
              <w:bidi w:val="0"/>
              <w:spacing w:before="0" w:after="283"/>
              <w:jc w:val="right"/>
              <w:rPr/>
            </w:pPr>
            <w:r>
              <w:rPr/>
              <w:t>(42</w:t>
            </w:r>
          </w:p>
        </w:tc>
        <w:tc>
          <w:tcPr>
            <w:tcW w:w="110" w:type="dxa"/>
            <w:tcBorders/>
            <w:shd w:fill="FFFFFF" w:val="clear"/>
            <w:vAlign w:val="center"/>
          </w:tcPr>
          <w:p>
            <w:pPr>
              <w:pStyle w:val="TableContents"/>
              <w:bidi w:val="0"/>
              <w:spacing w:before="0" w:after="283"/>
              <w:jc w:val="left"/>
              <w:rPr/>
            </w:pPr>
            <w:r>
              <w:rPr/>
              <w:t>)</w:t>
            </w:r>
          </w:p>
        </w:tc>
      </w:tr>
      <w:tr>
        <w:trPr/>
        <w:tc>
          <w:tcPr>
            <w:tcW w:w="2780" w:type="dxa"/>
            <w:tcBorders/>
            <w:shd w:fill="CCEEFF" w:val="clear"/>
            <w:vAlign w:val="center"/>
          </w:tcPr>
          <w:p>
            <w:pPr>
              <w:pStyle w:val="TableContents"/>
              <w:bidi w:val="0"/>
              <w:spacing w:before="0" w:after="283"/>
              <w:jc w:val="left"/>
              <w:rPr/>
            </w:pPr>
            <w:r>
              <w:rPr/>
              <w:t>Warranty provision</w:t>
            </w:r>
          </w:p>
        </w:tc>
        <w:tc>
          <w:tcPr>
            <w:tcW w:w="60" w:type="dxa"/>
            <w:tcBorders/>
            <w:shd w:fill="CCEEFF" w:val="clear"/>
            <w:vAlign w:val="center"/>
          </w:tcPr>
          <w:p>
            <w:pPr>
              <w:pStyle w:val="TableContents"/>
              <w:bidi w:val="0"/>
              <w:spacing w:before="0" w:after="283"/>
              <w:jc w:val="left"/>
              <w:rPr/>
            </w:pPr>
            <w:r>
              <w:rPr/>
              <w:t> </w:t>
            </w:r>
          </w:p>
        </w:tc>
        <w:tc>
          <w:tcPr>
            <w:tcW w:w="3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0" w:name="xdx_989_eus-gaap--ProductWarrantyAccrual"/>
            <w:bookmarkEnd w:id="400"/>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249"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3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1" w:name="xdx_983_eus-gaap--ProductWarrantyAccrual"/>
            <w:bookmarkEnd w:id="401"/>
          </w:p>
        </w:tc>
        <w:tc>
          <w:tcPr>
            <w:tcW w:w="879"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2" w:name="xdx_987_eus-gaap--ProductWarrantyAccrual"/>
            <w:bookmarkEnd w:id="402"/>
          </w:p>
        </w:tc>
        <w:tc>
          <w:tcPr>
            <w:tcW w:w="682" w:type="dxa"/>
            <w:tcBorders>
              <w:bottom w:val="double" w:sz="6" w:space="0" w:color="000000"/>
            </w:tcBorders>
            <w:shd w:fill="FFFFFF" w:val="clear"/>
            <w:tcMar>
              <w:bottom w:w="28" w:type="dxa"/>
            </w:tcMar>
            <w:vAlign w:val="center"/>
          </w:tcPr>
          <w:p>
            <w:pPr>
              <w:pStyle w:val="TableContents"/>
              <w:bidi w:val="0"/>
              <w:spacing w:before="0" w:after="283"/>
              <w:jc w:val="right"/>
              <w:rPr/>
            </w:pPr>
            <w:r>
              <w:rPr/>
              <w:t>78</w:t>
            </w:r>
          </w:p>
        </w:tc>
        <w:tc>
          <w:tcPr>
            <w:tcW w:w="24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3" w:name="xdx_981_eus-gaap--ProductWarrantyAccrual"/>
            <w:bookmarkEnd w:id="403"/>
          </w:p>
        </w:tc>
        <w:tc>
          <w:tcPr>
            <w:tcW w:w="879" w:type="dxa"/>
            <w:tcBorders>
              <w:bottom w:val="double" w:sz="6" w:space="0" w:color="000000"/>
            </w:tcBorders>
            <w:shd w:fill="FFFFFF" w:val="clear"/>
            <w:tcMar>
              <w:bottom w:w="28" w:type="dxa"/>
            </w:tcMar>
            <w:vAlign w:val="center"/>
          </w:tcPr>
          <w:p>
            <w:pPr>
              <w:pStyle w:val="TableContents"/>
              <w:bidi w:val="0"/>
              <w:spacing w:before="0" w:after="283"/>
              <w:jc w:val="right"/>
              <w:rPr/>
            </w:pPr>
            <w:r>
              <w:rPr/>
              <w:t>51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04" w:name="xdx_8AD_zDYOak5xGXGk"/>
      <w:bookmarkEnd w:id="40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bookmarkStart w:id="405" w:name="xdx_80F_ecustom--WarrantsTextBlock_zTgzp"/>
      <w:bookmarkEnd w:id="405"/>
      <w:r>
        <w:rPr>
          <w:rFonts w:ascii="Times New Roman;Times;Serif" w:hAnsi="Times New Roman;Times;Serif"/>
          <w:b/>
          <w:i w:val="false"/>
          <w:caps w:val="false"/>
          <w:smallCaps w:val="false"/>
          <w:sz w:val="20"/>
        </w:rPr>
        <w:t xml:space="preserve">8. </w:t>
      </w:r>
      <w:bookmarkStart w:id="406" w:name="xdx_822_zDLQ1Gf5Raz3"/>
      <w:bookmarkEnd w:id="406"/>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29, 2023, the Company entered into a Securities Purchase Agreement (the “Series A Purchase Agreement”) with certain directors of the Company and certain accredited and institutional investors (collectively, the “Series A Investors”), pursuant to which it agreed to sell to the Series A Investors in a registered direct offering (the “Series A Offering”): (i) an aggregate of </w:t>
      </w:r>
      <w:bookmarkStart w:id="407" w:name="xdx_901_eus-gaap--StockIssuedDuringPerio"/>
      <w:bookmarkEnd w:id="407"/>
      <w:r>
        <w:rPr>
          <w:rFonts w:ascii="Times New Roman;Times;Serif" w:hAnsi="Times New Roman;Times;Serif"/>
          <w:b w:val="false"/>
          <w:i w:val="false"/>
          <w:caps w:val="false"/>
          <w:smallCaps w:val="false"/>
          <w:sz w:val="20"/>
        </w:rPr>
        <w:t>10,000 shares of the Company’s newly-designated Series A Convertible Preferred Stock, with par value $</w:t>
      </w:r>
      <w:bookmarkStart w:id="408" w:name="xdx_904_eus-gaap--PreferredStockParOrSta"/>
      <w:bookmarkEnd w:id="408"/>
      <w:r>
        <w:rPr>
          <w:rFonts w:ascii="Times New Roman;Times;Serif" w:hAnsi="Times New Roman;Times;Serif"/>
          <w:b w:val="false"/>
          <w:i w:val="false"/>
          <w:caps w:val="false"/>
          <w:smallCaps w:val="false"/>
          <w:sz w:val="20"/>
        </w:rPr>
        <w:t>0.0001 per share and a stated value of $</w:t>
      </w:r>
      <w:bookmarkStart w:id="409" w:name="xdx_901_ecustom--PreferredStockStatedVal"/>
      <w:bookmarkEnd w:id="409"/>
      <w:r>
        <w:rPr>
          <w:rFonts w:ascii="Times New Roman;Times;Serif" w:hAnsi="Times New Roman;Times;Serif"/>
          <w:b w:val="false"/>
          <w:i w:val="false"/>
          <w:caps w:val="false"/>
          <w:smallCaps w:val="false"/>
          <w:sz w:val="20"/>
        </w:rPr>
        <w:t xml:space="preserve">1,000 per share (the “Series A Preferred Stock”), initially convertible into up to </w:t>
      </w:r>
      <w:bookmarkStart w:id="410" w:name="xdx_90D_eus-gaap--PreferredStockConverti"/>
      <w:bookmarkEnd w:id="410"/>
      <w:r>
        <w:rPr>
          <w:rFonts w:ascii="Times New Roman;Times;Serif" w:hAnsi="Times New Roman;Times;Serif"/>
          <w:b w:val="false"/>
          <w:i w:val="false"/>
          <w:caps w:val="false"/>
          <w:smallCaps w:val="false"/>
          <w:sz w:val="20"/>
        </w:rPr>
        <w:t>6,896,553 shares of Common Stock, at an initial conversion price of $</w:t>
      </w:r>
      <w:bookmarkStart w:id="411" w:name="xdx_90B_eus-gaap--PreferredStockConverti"/>
      <w:bookmarkEnd w:id="411"/>
      <w:r>
        <w:rPr>
          <w:rFonts w:ascii="Times New Roman;Times;Serif" w:hAnsi="Times New Roman;Times;Serif"/>
          <w:b w:val="false"/>
          <w:i w:val="false"/>
          <w:caps w:val="false"/>
          <w:smallCaps w:val="false"/>
          <w:sz w:val="20"/>
        </w:rPr>
        <w:t xml:space="preserve">1.45 per share (the “Conversion Price”), and (ii) warrants to acquire up to an aggregate of </w:t>
      </w:r>
      <w:bookmarkStart w:id="412" w:name="xdx_90B_eus-gaap--ClassOfWarrantOrRightN"/>
      <w:bookmarkEnd w:id="412"/>
      <w:r>
        <w:rPr>
          <w:rFonts w:ascii="Times New Roman;Times;Serif" w:hAnsi="Times New Roman;Times;Serif"/>
          <w:b w:val="false"/>
          <w:i w:val="false"/>
          <w:caps w:val="false"/>
          <w:smallCaps w:val="false"/>
          <w:sz w:val="20"/>
        </w:rPr>
        <w:t>6,896,553 shares of Common Stock (the “Series A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A Warrant has an exercise price of $</w:t>
      </w:r>
      <w:bookmarkStart w:id="413" w:name="xdx_90B_eus-gaap--ClassOfWarrantOrRightE"/>
      <w:bookmarkEnd w:id="413"/>
      <w:r>
        <w:rPr>
          <w:rFonts w:ascii="Times New Roman;Times;Serif" w:hAnsi="Times New Roman;Times;Serif"/>
          <w:b w:val="false"/>
          <w:i w:val="false"/>
          <w:caps w:val="false"/>
          <w:smallCaps w:val="false"/>
          <w:sz w:val="20"/>
        </w:rPr>
        <w:t xml:space="preserve">1.45 per share, became exercisable after the date that was six months from the date of issuance and will expire </w:t>
      </w:r>
      <w:bookmarkStart w:id="414" w:name="xdx_901_eus-gaap--WarrantsAndRightsOutst"/>
      <w:bookmarkEnd w:id="414"/>
      <w:r>
        <w:rPr>
          <w:rFonts w:ascii="Times New Roman;Times;Serif" w:hAnsi="Times New Roman;Times;Serif"/>
          <w:b w:val="false"/>
          <w:i w:val="false"/>
          <w:caps w:val="false"/>
          <w:smallCaps w:val="false"/>
          <w:sz w:val="20"/>
        </w:rPr>
        <w:t>5 years following the date of issuance. The exercise price is subject to customary adjustments for stock dividends, stock splits, reclassifications and the like, and subject to price-based adjustment, on a “full ratchet” basis, in the event of any issuances of Common Stock, or securities convertible, exercisable or exchangeable for Common Stock, at a price below the then-applicable exercise price (subject to certain exceptions). The closing of the Series A Offering occurred on July 3, 2023. The aggregate gross proceeds from the Series A Offering were $</w:t>
      </w:r>
      <w:bookmarkStart w:id="415" w:name="xdx_90A_eus-gaap--ProceedsFromIssuanceOr"/>
      <w:bookmarkEnd w:id="415"/>
      <w:r>
        <w:rPr>
          <w:rFonts w:ascii="Times New Roman;Times;Serif" w:hAnsi="Times New Roman;Times;Serif"/>
          <w:b w:val="false"/>
          <w:i w:val="false"/>
          <w:caps w:val="false"/>
          <w:smallCaps w:val="false"/>
          <w:sz w:val="20"/>
        </w:rPr>
        <w:t>10,000, of which $</w:t>
      </w:r>
      <w:bookmarkStart w:id="416" w:name="xdx_90A_eus-gaap--ProceedsFromIssuanceOf"/>
      <w:bookmarkEnd w:id="416"/>
      <w:r>
        <w:rPr>
          <w:rFonts w:ascii="Times New Roman;Times;Serif" w:hAnsi="Times New Roman;Times;Serif"/>
          <w:b w:val="false"/>
          <w:i w:val="false"/>
          <w:caps w:val="false"/>
          <w:smallCaps w:val="false"/>
          <w:sz w:val="20"/>
        </w:rPr>
        <w:t>7,717 was allocated to the Series A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24, 2025, the Company entered into a securities purchase agreement (the “PIPE Purchase Agreement”) with certain accredited investors (collectively, the “PIPE Purchasers”) for the issuance and sale in a private placement (the “Private Placement”) of an aggregate of </w:t>
      </w:r>
      <w:bookmarkStart w:id="417" w:name="xdx_90C_eus-gaap--SaleOfStockNumberOfSha"/>
      <w:bookmarkEnd w:id="417"/>
      <w:r>
        <w:rPr>
          <w:rFonts w:ascii="Times New Roman;Times;Serif" w:hAnsi="Times New Roman;Times;Serif"/>
          <w:b w:val="false"/>
          <w:i w:val="false"/>
          <w:caps w:val="false"/>
          <w:smallCaps w:val="false"/>
          <w:sz w:val="20"/>
        </w:rPr>
        <w:t xml:space="preserve">3,216,666 shares (the “Common Shares”) of Common Stock and accompanying warrants (“PIPE Warrants”) to purchase up to </w:t>
      </w:r>
      <w:bookmarkStart w:id="418" w:name="xdx_906_eus-gaap--ClassOfWarrantOrRightN"/>
      <w:bookmarkEnd w:id="418"/>
      <w:r>
        <w:rPr>
          <w:rFonts w:ascii="Times New Roman;Times;Serif" w:hAnsi="Times New Roman;Times;Serif"/>
          <w:b w:val="false"/>
          <w:i w:val="false"/>
          <w:caps w:val="false"/>
          <w:smallCaps w:val="false"/>
          <w:sz w:val="20"/>
        </w:rPr>
        <w:t>3,216,666 shares of Common Stock, with an exercise price of $</w:t>
      </w:r>
      <w:bookmarkStart w:id="419" w:name="xdx_906_eus-gaap--ClassOfWarrantOrRightE"/>
      <w:bookmarkEnd w:id="419"/>
      <w:r>
        <w:rPr>
          <w:rFonts w:ascii="Times New Roman;Times;Serif" w:hAnsi="Times New Roman;Times;Serif"/>
          <w:b w:val="false"/>
          <w:i w:val="false"/>
          <w:caps w:val="false"/>
          <w:smallCaps w:val="false"/>
          <w:sz w:val="20"/>
        </w:rPr>
        <w:t>1.80 per share. The purchase price for one Common Share and accompanying PIPE Warrant was $</w:t>
      </w:r>
      <w:bookmarkStart w:id="420" w:name="xdx_904_eus-gaap--ClassOfWarrantOrRightE"/>
      <w:bookmarkEnd w:id="420"/>
      <w:r>
        <w:rPr>
          <w:rFonts w:ascii="Times New Roman;Times;Serif" w:hAnsi="Times New Roman;Times;Serif"/>
          <w:b w:val="false"/>
          <w:i w:val="false"/>
          <w:caps w:val="false"/>
          <w:smallCaps w:val="false"/>
          <w:sz w:val="20"/>
        </w:rPr>
        <w:t>1.80. The gross proceeds to the Company were $</w:t>
      </w:r>
      <w:bookmarkStart w:id="421" w:name="xdx_90A_eus-gaap--ProceedsFromIssuanceOf"/>
      <w:bookmarkEnd w:id="421"/>
      <w:r>
        <w:rPr>
          <w:rFonts w:ascii="Times New Roman;Times;Serif" w:hAnsi="Times New Roman;Times;Serif"/>
          <w:b w:val="false"/>
          <w:i w:val="false"/>
          <w:caps w:val="false"/>
          <w:smallCaps w:val="false"/>
          <w:sz w:val="20"/>
        </w:rPr>
        <w:t>5,790 before estimated offering expenses payable by the Company, of which $</w:t>
      </w:r>
      <w:bookmarkStart w:id="422" w:name="xdx_902_eus-gaap--ProceedsFromIssuanceIn"/>
      <w:bookmarkEnd w:id="422"/>
      <w:r>
        <w:rPr>
          <w:rFonts w:ascii="Times New Roman;Times;Serif" w:hAnsi="Times New Roman;Times;Serif"/>
          <w:b w:val="false"/>
          <w:i w:val="false"/>
          <w:caps w:val="false"/>
          <w:smallCaps w:val="false"/>
          <w:sz w:val="20"/>
        </w:rPr>
        <w:t>5,185 was allocated to the PIPE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3" w:name="xdx_80E_eus-gaap--LesseeOperatingLeasesT"/>
      <w:bookmarkEnd w:id="423"/>
      <w:r>
        <w:rPr>
          <w:rFonts w:ascii="Times New Roman;Times;Serif" w:hAnsi="Times New Roman;Times;Serif"/>
          <w:b/>
          <w:i w:val="false"/>
          <w:caps w:val="false"/>
          <w:smallCaps w:val="false"/>
          <w:sz w:val="20"/>
        </w:rPr>
        <w:t xml:space="preserve">9. </w:t>
      </w:r>
      <w:bookmarkStart w:id="424" w:name="xdx_82F_zvqNAyfuMtO1"/>
      <w:bookmarkEnd w:id="424"/>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The guidance in FASB ASC Topic 842, Leases defines a lease as a contract, or part of a contract, that conveys the right to control the use of identified property, plant, or equipment (an identified asset) for a period of time in exchange for consideration. Operating lease right of use (“ROU”) assets and lease liabilities are recognized based on the present value of future minimum lease payments over the lease term at commencement date. The Company’s leases do not provide an implicit rate. Due to a lack of financing history or ability, the Company uses an estimate of low-grade debt rate published by the Federal Reserve Bank as its incremental borrowing rate based on the information available at the commencement date in determining the present value of future payments. The ROU asset includes any lease payments made and excludes lease incentives and initial direct costs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leases beginning on or after January 1, 2019, lease components are accounted for separately from non-lease components for all asset classes. On January 21, 2023, the Company’s lease was amended to extend the expiration date to July 31, 2025. Upon execution of the amendment, which was deemed a lease modification, the Company reassessed the lease liability using the discount rate determined at the modification date and recorded an additional ROU asset for the same amount. The Company’s lease contains renewal provisions and escalating rental clauses and generally requires the Company to pay utilities, insurance, taxes and other operating expenses. The renewal provisions of the existing lease agreement were not included in the determination of the operating lease liabilities and the ROU assets. The Company also reassessed the lease classification and concluded that the lease continues to be an 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w:t>
      </w:r>
      <w:bookmarkStart w:id="425" w:name="xdx_90A_eus-gaap--OperatingLeaseRightOfU"/>
      <w:bookmarkEnd w:id="425"/>
      <w:r>
        <w:rPr>
          <w:rFonts w:ascii="Times New Roman;Times;Serif" w:hAnsi="Times New Roman;Times;Serif"/>
          <w:b w:val="false"/>
          <w:i w:val="false"/>
          <w:caps w:val="false"/>
          <w:smallCaps w:val="false"/>
          <w:sz w:val="20"/>
        </w:rPr>
        <w:t>74 and $</w:t>
      </w:r>
      <w:bookmarkStart w:id="426" w:name="xdx_903_eus-gaap--OperatingLeaseRightOfU"/>
      <w:bookmarkEnd w:id="426"/>
      <w:r>
        <w:rPr>
          <w:rFonts w:ascii="Times New Roman;Times;Serif" w:hAnsi="Times New Roman;Times;Serif"/>
          <w:b w:val="false"/>
          <w:i w:val="false"/>
          <w:caps w:val="false"/>
          <w:smallCaps w:val="false"/>
          <w:sz w:val="20"/>
        </w:rPr>
        <w:t>71 for the three months ended March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 for capitalized operating leases included in operating activities was $156 and $249 for the three months ended March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obligations recorded on the balance sheet at March 31, 2025 are:</w:t>
      </w:r>
    </w:p>
    <w:p>
      <w:pPr>
        <w:pStyle w:val="TextBody"/>
        <w:bidi w:val="0"/>
        <w:spacing w:before="0" w:after="0"/>
        <w:ind w:left="0" w:right="0" w:hanging="0"/>
        <w:jc w:val="left"/>
        <w:rPr>
          <w:caps w:val="false"/>
          <w:smallCaps w:val="false"/>
        </w:rPr>
      </w:pPr>
      <w:bookmarkStart w:id="427" w:name="xdx_89F_ecustom--LesseeOperatingLeaseDis"/>
      <w:bookmarkEnd w:id="427"/>
      <w:r>
        <w:rPr>
          <w:caps w:val="false"/>
          <w:smallCaps w:val="false"/>
        </w:rPr>
        <w:t> </w:t>
      </w:r>
      <w:bookmarkStart w:id="428" w:name="xdx_8B5_zenQ8xoALeFe"/>
      <w:bookmarkEnd w:id="428"/>
      <w:r>
        <w:rPr>
          <w:rFonts w:ascii="Times New Roman;Times;Serif" w:hAnsi="Times New Roman;Times;Serif"/>
          <w:b w:val="false"/>
          <w:i w:val="false"/>
          <w:caps w:val="false"/>
          <w:smallCaps w:val="false"/>
          <w:sz w:val="20"/>
        </w:rPr>
        <w:t>SCHEDULE OF OPERATING LEASE OBLIGATIONS </w:t>
      </w:r>
    </w:p>
    <w:tbl>
      <w:tblPr>
        <w:tblW w:w="4200" w:type="dxa"/>
        <w:jc w:val="left"/>
        <w:tblInd w:w="0" w:type="dxa"/>
        <w:tblLayout w:type="fixed"/>
        <w:tblCellMar>
          <w:top w:w="0" w:type="dxa"/>
          <w:left w:w="0" w:type="dxa"/>
          <w:bottom w:w="0" w:type="dxa"/>
          <w:right w:w="0" w:type="dxa"/>
        </w:tblCellMar>
      </w:tblPr>
      <w:tblGrid>
        <w:gridCol w:w="3365"/>
        <w:gridCol w:w="60"/>
        <w:gridCol w:w="140"/>
        <w:gridCol w:w="560"/>
        <w:gridCol w:w="75"/>
      </w:tblGrid>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29" w:name="xdx_49A_20250331_z9L1ofBteesc"/>
            <w:bookmarkEnd w:id="429"/>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30" w:name="xdx_406_eus-gaap--OperatingLeaseLiabilit"/>
            <w:bookmarkEnd w:id="430"/>
          </w:p>
        </w:tc>
      </w:tr>
      <w:tr>
        <w:trPr/>
        <w:tc>
          <w:tcPr>
            <w:tcW w:w="3365" w:type="dxa"/>
            <w:tcBorders/>
            <w:shd w:fill="CCEEFF" w:val="clear"/>
            <w:vAlign w:val="center"/>
          </w:tcPr>
          <w:p>
            <w:pPr>
              <w:pStyle w:val="TableContents"/>
              <w:bidi w:val="0"/>
              <w:spacing w:before="0" w:after="283"/>
              <w:jc w:val="left"/>
              <w:rPr/>
            </w:pPr>
            <w:r>
              <w:rPr/>
              <w:t>Operating lease liability- short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570</w:t>
            </w:r>
          </w:p>
        </w:tc>
        <w:tc>
          <w:tcPr>
            <w:tcW w:w="75" w:type="dxa"/>
            <w:tcBorders/>
            <w:shd w:fill="CCEEFF" w:val="clear"/>
            <w:vAlign w:val="center"/>
          </w:tcPr>
          <w:p>
            <w:pPr>
              <w:pStyle w:val="TableContents"/>
              <w:bidi w:val="0"/>
              <w:spacing w:before="0" w:after="283"/>
              <w:jc w:val="left"/>
              <w:rPr/>
            </w:pPr>
            <w:r>
              <w:rPr/>
              <w:t> </w:t>
            </w:r>
            <w:bookmarkStart w:id="431" w:name="xdx_402_eus-gaap--OperatingLeaseLiabilit"/>
            <w:bookmarkEnd w:id="431"/>
          </w:p>
        </w:tc>
      </w:tr>
      <w:tr>
        <w:trPr/>
        <w:tc>
          <w:tcPr>
            <w:tcW w:w="3365" w:type="dxa"/>
            <w:tcBorders/>
            <w:shd w:fill="FFFFFF" w:val="clear"/>
            <w:vAlign w:val="center"/>
          </w:tcPr>
          <w:p>
            <w:pPr>
              <w:pStyle w:val="TableContents"/>
              <w:bidi w:val="0"/>
              <w:spacing w:before="0" w:after="283"/>
              <w:jc w:val="left"/>
              <w:rPr/>
            </w:pPr>
            <w:r>
              <w:rPr/>
              <w:t>Operating lease liability - long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1,552</w:t>
            </w:r>
          </w:p>
        </w:tc>
        <w:tc>
          <w:tcPr>
            <w:tcW w:w="75" w:type="dxa"/>
            <w:tcBorders/>
            <w:shd w:fill="FFFFFF" w:val="clear"/>
            <w:vAlign w:val="center"/>
          </w:tcPr>
          <w:p>
            <w:pPr>
              <w:pStyle w:val="TableContents"/>
              <w:bidi w:val="0"/>
              <w:spacing w:before="0" w:after="283"/>
              <w:jc w:val="left"/>
              <w:rPr/>
            </w:pPr>
            <w:r>
              <w:rPr/>
              <w:t> </w:t>
            </w:r>
            <w:bookmarkStart w:id="432" w:name="xdx_40F_eus-gaap--OperatingLeaseLiabilit"/>
            <w:bookmarkEnd w:id="432"/>
          </w:p>
        </w:tc>
      </w:tr>
      <w:tr>
        <w:trPr/>
        <w:tc>
          <w:tcPr>
            <w:tcW w:w="3365" w:type="dxa"/>
            <w:tcBorders/>
            <w:shd w:fill="CCEEFF" w:val="clear"/>
            <w:vAlign w:val="center"/>
          </w:tcPr>
          <w:p>
            <w:pPr>
              <w:pStyle w:val="TableContents"/>
              <w:bidi w:val="0"/>
              <w:spacing w:before="0" w:after="283"/>
              <w:jc w:val="left"/>
              <w:rPr/>
            </w:pPr>
            <w:r>
              <w:rPr/>
              <w:t>Total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3" w:name="xdx_8AC_zR4h5YetBgei"/>
      <w:bookmarkEnd w:id="43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4" w:name="xdx_890_eus-gaap--LesseeOperatingLeaseLi"/>
      <w:bookmarkEnd w:id="434"/>
      <w:r>
        <w:rPr>
          <w:rFonts w:ascii="Times New Roman;Times;Serif" w:hAnsi="Times New Roman;Times;Serif"/>
          <w:b w:val="false"/>
          <w:i w:val="false"/>
          <w:caps w:val="false"/>
          <w:smallCaps w:val="false"/>
          <w:sz w:val="20"/>
        </w:rPr>
        <w:t>Future lease payments included in the measurement of lease liabilities on the balance sheet at March 31, 2025 for future periods are as follows:</w:t>
      </w:r>
    </w:p>
    <w:p>
      <w:pPr>
        <w:pStyle w:val="TextBody"/>
        <w:bidi w:val="0"/>
        <w:spacing w:before="0" w:after="0"/>
        <w:ind w:left="0" w:right="0" w:hanging="0"/>
        <w:jc w:val="left"/>
        <w:rPr>
          <w:caps w:val="false"/>
          <w:smallCaps w:val="false"/>
        </w:rPr>
      </w:pPr>
      <w:r>
        <w:rPr>
          <w:caps w:val="false"/>
          <w:smallCaps w:val="false"/>
        </w:rPr>
        <w:t> </w:t>
      </w:r>
      <w:bookmarkStart w:id="435" w:name="xdx_8B6_zbAtC8NCePp3"/>
      <w:bookmarkEnd w:id="435"/>
      <w:r>
        <w:rPr>
          <w:rFonts w:ascii="Times New Roman;Times;Serif" w:hAnsi="Times New Roman;Times;Serif"/>
          <w:b w:val="false"/>
          <w:i w:val="false"/>
          <w:caps w:val="false"/>
          <w:smallCaps w:val="false"/>
          <w:sz w:val="20"/>
        </w:rPr>
        <w:t>SCHEDULE OF OPERATING LEASE, LIABILITY, TO BE PAID, MATURITY </w:t>
      </w:r>
    </w:p>
    <w:tbl>
      <w:tblPr>
        <w:tblW w:w="4535" w:type="dxa"/>
        <w:jc w:val="left"/>
        <w:tblInd w:w="0" w:type="dxa"/>
        <w:tblLayout w:type="fixed"/>
        <w:tblCellMar>
          <w:top w:w="0" w:type="dxa"/>
          <w:left w:w="0" w:type="dxa"/>
          <w:bottom w:w="0" w:type="dxa"/>
          <w:right w:w="0" w:type="dxa"/>
        </w:tblCellMar>
      </w:tblPr>
      <w:tblGrid>
        <w:gridCol w:w="3590"/>
        <w:gridCol w:w="60"/>
        <w:gridCol w:w="140"/>
        <w:gridCol w:w="635"/>
        <w:gridCol w:w="110"/>
      </w:tblGrid>
      <w:tr>
        <w:trPr/>
        <w:tc>
          <w:tcPr>
            <w:tcW w:w="3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36" w:name="xdx_495_20250331_zjZ4yXCMiLTf"/>
            <w:bookmarkEnd w:id="436"/>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37" w:name="xdx_40D_eus-gaap--LesseeOperatingLeaseLi"/>
            <w:bookmarkEnd w:id="437"/>
          </w:p>
        </w:tc>
      </w:tr>
      <w:tr>
        <w:trPr/>
        <w:tc>
          <w:tcPr>
            <w:tcW w:w="3590" w:type="dxa"/>
            <w:tcBorders/>
            <w:shd w:fill="CCEEFF" w:val="clear"/>
            <w:vAlign w:val="center"/>
          </w:tcPr>
          <w:p>
            <w:pPr>
              <w:pStyle w:val="TableContents"/>
              <w:bidi w:val="0"/>
              <w:spacing w:before="0" w:after="283"/>
              <w:jc w:val="left"/>
              <w:rPr/>
            </w:pPr>
            <w:r>
              <w:rPr/>
              <w:t>2025 (9 months)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413</w:t>
            </w:r>
          </w:p>
        </w:tc>
        <w:tc>
          <w:tcPr>
            <w:tcW w:w="110" w:type="dxa"/>
            <w:tcBorders/>
            <w:shd w:fill="CCEEFF" w:val="clear"/>
            <w:vAlign w:val="center"/>
          </w:tcPr>
          <w:p>
            <w:pPr>
              <w:pStyle w:val="TableContents"/>
              <w:bidi w:val="0"/>
              <w:spacing w:before="0" w:after="283"/>
              <w:jc w:val="left"/>
              <w:rPr/>
            </w:pPr>
            <w:r>
              <w:rPr/>
              <w:t> </w:t>
            </w:r>
            <w:bookmarkStart w:id="438" w:name="xdx_401_eus-gaap--LesseeOperatingLeaseLi"/>
            <w:bookmarkEnd w:id="438"/>
          </w:p>
        </w:tc>
      </w:tr>
      <w:tr>
        <w:trPr/>
        <w:tc>
          <w:tcPr>
            <w:tcW w:w="3590"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507</w:t>
            </w:r>
          </w:p>
        </w:tc>
        <w:tc>
          <w:tcPr>
            <w:tcW w:w="110" w:type="dxa"/>
            <w:tcBorders/>
            <w:shd w:fill="FFFFFF" w:val="clear"/>
            <w:vAlign w:val="center"/>
          </w:tcPr>
          <w:p>
            <w:pPr>
              <w:pStyle w:val="TableContents"/>
              <w:bidi w:val="0"/>
              <w:spacing w:before="0" w:after="283"/>
              <w:jc w:val="left"/>
              <w:rPr/>
            </w:pPr>
            <w:r>
              <w:rPr/>
              <w:t> </w:t>
            </w:r>
            <w:bookmarkStart w:id="439" w:name="xdx_40D_eus-gaap--LesseeOperatingLeaseLi"/>
            <w:bookmarkEnd w:id="439"/>
          </w:p>
        </w:tc>
      </w:tr>
      <w:tr>
        <w:trPr/>
        <w:tc>
          <w:tcPr>
            <w:tcW w:w="3590"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522</w:t>
            </w:r>
          </w:p>
        </w:tc>
        <w:tc>
          <w:tcPr>
            <w:tcW w:w="110" w:type="dxa"/>
            <w:tcBorders/>
            <w:shd w:fill="CCEEFF" w:val="clear"/>
            <w:vAlign w:val="center"/>
          </w:tcPr>
          <w:p>
            <w:pPr>
              <w:pStyle w:val="TableContents"/>
              <w:bidi w:val="0"/>
              <w:spacing w:before="0" w:after="283"/>
              <w:jc w:val="left"/>
              <w:rPr/>
            </w:pPr>
            <w:r>
              <w:rPr/>
              <w:t> </w:t>
            </w:r>
            <w:bookmarkStart w:id="440" w:name="xdx_404_eus-gaap--LesseeOperatingLeaseLi"/>
            <w:bookmarkEnd w:id="440"/>
          </w:p>
        </w:tc>
      </w:tr>
      <w:tr>
        <w:trPr/>
        <w:tc>
          <w:tcPr>
            <w:tcW w:w="3590"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538</w:t>
            </w:r>
          </w:p>
        </w:tc>
        <w:tc>
          <w:tcPr>
            <w:tcW w:w="110" w:type="dxa"/>
            <w:tcBorders/>
            <w:shd w:fill="FFFFFF" w:val="clear"/>
            <w:vAlign w:val="center"/>
          </w:tcPr>
          <w:p>
            <w:pPr>
              <w:pStyle w:val="TableContents"/>
              <w:bidi w:val="0"/>
              <w:spacing w:before="0" w:after="283"/>
              <w:jc w:val="left"/>
              <w:rPr/>
            </w:pPr>
            <w:r>
              <w:rPr/>
              <w:t> </w:t>
            </w:r>
            <w:bookmarkStart w:id="441" w:name="xdx_409_eus-gaap--LesseeOperatingLeaseLi"/>
            <w:bookmarkEnd w:id="441"/>
          </w:p>
        </w:tc>
      </w:tr>
      <w:tr>
        <w:trPr/>
        <w:tc>
          <w:tcPr>
            <w:tcW w:w="3590" w:type="dxa"/>
            <w:tcBorders/>
            <w:shd w:fill="CCEEFF" w:val="clear"/>
            <w:vAlign w:val="center"/>
          </w:tcPr>
          <w:p>
            <w:pPr>
              <w:pStyle w:val="TableContents"/>
              <w:bidi w:val="0"/>
              <w:spacing w:before="0" w:after="283"/>
              <w:jc w:val="left"/>
              <w:rPr/>
            </w:pPr>
            <w:r>
              <w:rPr/>
              <w:t>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554</w:t>
            </w:r>
          </w:p>
        </w:tc>
        <w:tc>
          <w:tcPr>
            <w:tcW w:w="110" w:type="dxa"/>
            <w:tcBorders/>
            <w:shd w:fill="CCEEFF" w:val="clear"/>
            <w:vAlign w:val="center"/>
          </w:tcPr>
          <w:p>
            <w:pPr>
              <w:pStyle w:val="TableContents"/>
              <w:bidi w:val="0"/>
              <w:spacing w:before="0" w:after="283"/>
              <w:jc w:val="left"/>
              <w:rPr/>
            </w:pPr>
            <w:r>
              <w:rPr/>
              <w:t> </w:t>
            </w:r>
            <w:bookmarkStart w:id="442" w:name="xdx_40C_eus-gaap--LesseeOperatingLeaseLi"/>
            <w:bookmarkEnd w:id="442"/>
          </w:p>
        </w:tc>
      </w:tr>
      <w:tr>
        <w:trPr/>
        <w:tc>
          <w:tcPr>
            <w:tcW w:w="359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717</w:t>
            </w:r>
          </w:p>
        </w:tc>
        <w:tc>
          <w:tcPr>
            <w:tcW w:w="110" w:type="dxa"/>
            <w:tcBorders/>
            <w:shd w:fill="FFFFFF" w:val="clear"/>
            <w:vAlign w:val="center"/>
          </w:tcPr>
          <w:p>
            <w:pPr>
              <w:pStyle w:val="TableContents"/>
              <w:bidi w:val="0"/>
              <w:spacing w:before="0" w:after="283"/>
              <w:jc w:val="left"/>
              <w:rPr/>
            </w:pPr>
            <w:r>
              <w:rPr/>
              <w:t> </w:t>
            </w:r>
            <w:bookmarkStart w:id="443" w:name="xdx_405_eus-gaap--LesseeOperatingLeaseLi"/>
            <w:bookmarkEnd w:id="443"/>
          </w:p>
        </w:tc>
      </w:tr>
      <w:tr>
        <w:trPr/>
        <w:tc>
          <w:tcPr>
            <w:tcW w:w="3590" w:type="dxa"/>
            <w:tcBorders/>
            <w:shd w:fill="CCEEFF" w:val="clear"/>
            <w:vAlign w:val="center"/>
          </w:tcPr>
          <w:p>
            <w:pPr>
              <w:pStyle w:val="TableContents"/>
              <w:bidi w:val="0"/>
              <w:spacing w:before="0" w:after="283"/>
              <w:jc w:val="left"/>
              <w:rPr/>
            </w:pPr>
            <w:r>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3,251</w:t>
            </w:r>
          </w:p>
        </w:tc>
        <w:tc>
          <w:tcPr>
            <w:tcW w:w="110" w:type="dxa"/>
            <w:tcBorders/>
            <w:shd w:fill="CCEEFF" w:val="clear"/>
            <w:vAlign w:val="center"/>
          </w:tcPr>
          <w:p>
            <w:pPr>
              <w:pStyle w:val="TableContents"/>
              <w:bidi w:val="0"/>
              <w:spacing w:before="0" w:after="283"/>
              <w:jc w:val="left"/>
              <w:rPr/>
            </w:pPr>
            <w:r>
              <w:rPr/>
              <w:t> </w:t>
            </w:r>
            <w:bookmarkStart w:id="444" w:name="xdx_400_eus-gaap--LesseeOperatingLeaseLi"/>
            <w:bookmarkEnd w:id="444"/>
          </w:p>
        </w:tc>
      </w:tr>
      <w:tr>
        <w:trPr/>
        <w:tc>
          <w:tcPr>
            <w:tcW w:w="359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(1,129</w:t>
            </w:r>
          </w:p>
        </w:tc>
        <w:tc>
          <w:tcPr>
            <w:tcW w:w="110" w:type="dxa"/>
            <w:tcBorders/>
            <w:shd w:fill="FFFFFF" w:val="clear"/>
            <w:vAlign w:val="center"/>
          </w:tcPr>
          <w:p>
            <w:pPr>
              <w:pStyle w:val="TableContents"/>
              <w:bidi w:val="0"/>
              <w:spacing w:before="0" w:after="283"/>
              <w:jc w:val="left"/>
              <w:rPr/>
            </w:pPr>
            <w:r>
              <w:rPr/>
              <w:t>)</w:t>
            </w:r>
            <w:bookmarkStart w:id="445" w:name="xdx_40D_eus-gaap--OperatingLeaseLiabilit"/>
            <w:bookmarkEnd w:id="445"/>
          </w:p>
        </w:tc>
      </w:tr>
      <w:tr>
        <w:trPr/>
        <w:tc>
          <w:tcPr>
            <w:tcW w:w="35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2,122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6" w:name="xdx_8AB_zozThIgmQ0p4"/>
      <w:bookmarkEnd w:id="44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 average remaining lease term is </w:t>
      </w:r>
      <w:bookmarkStart w:id="447" w:name="xdx_901_eus-gaap--OperatingLeaseWeighted"/>
      <w:bookmarkEnd w:id="447"/>
      <w:r>
        <w:rPr>
          <w:rFonts w:ascii="Times New Roman;Times;Serif" w:hAnsi="Times New Roman;Times;Serif"/>
          <w:b w:val="false"/>
          <w:i w:val="false"/>
          <w:caps w:val="false"/>
          <w:smallCaps w:val="false"/>
          <w:sz w:val="20"/>
        </w:rPr>
        <w:t xml:space="preserve">5.89 years, and the weighted average discount rate is </w:t>
      </w:r>
      <w:bookmarkStart w:id="448" w:name="xdx_90F_eus-gaap--OperatingLeaseWeighted"/>
      <w:bookmarkEnd w:id="448"/>
      <w:r>
        <w:rPr>
          <w:rFonts w:ascii="Times New Roman;Times;Serif" w:hAnsi="Times New Roman;Times;Serif"/>
          <w:b w:val="false"/>
          <w:i w:val="false"/>
          <w:caps w:val="false"/>
          <w:smallCaps w:val="false"/>
          <w:sz w:val="20"/>
        </w:rPr>
        <w:t>14.80%</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leases contain provisions for payment of real estate taxes, insurance and maintenance costs by the Company. These expenses are treated as variable lease payments and recognized in the period in which the obligation for those payments was incurred. The Company had $</w:t>
      </w:r>
      <w:bookmarkStart w:id="449" w:name="xdx_900_eus-gaap--VariableLeaseCost_pn3n"/>
      <w:bookmarkEnd w:id="449"/>
      <w:r>
        <w:rPr>
          <w:rFonts w:ascii="Times New Roman;Times;Serif" w:hAnsi="Times New Roman;Times;Serif"/>
          <w:b w:val="false"/>
          <w:i w:val="false"/>
          <w:caps w:val="false"/>
          <w:smallCaps w:val="false"/>
          <w:sz w:val="20"/>
        </w:rPr>
        <w:t>23 and $</w:t>
      </w:r>
      <w:bookmarkStart w:id="450" w:name="xdx_906_eus-gaap--VariableLeaseCost_pn3n"/>
      <w:bookmarkEnd w:id="450"/>
      <w:r>
        <w:rPr>
          <w:rFonts w:ascii="Times New Roman;Times;Serif" w:hAnsi="Times New Roman;Times;Serif"/>
          <w:b w:val="false"/>
          <w:i w:val="false"/>
          <w:caps w:val="false"/>
          <w:smallCaps w:val="false"/>
          <w:sz w:val="20"/>
        </w:rPr>
        <w:t>9 variable lease expenses for the three months ended March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w:t>
      </w:r>
      <w:bookmarkStart w:id="451" w:name="xdx_90B_eus-gaap--ShortTermLeaseCost_pn3"/>
      <w:bookmarkEnd w:id="451"/>
      <w:r>
        <w:rPr>
          <w:rFonts w:ascii="Times New Roman;Times;Serif" w:hAnsi="Times New Roman;Times;Serif"/>
          <w:b w:val="false"/>
          <w:i w:val="false"/>
          <w:caps w:val="false"/>
          <w:smallCaps w:val="false"/>
          <w:sz w:val="20"/>
        </w:rPr>
        <w:t>0 and $</w:t>
      </w:r>
      <w:bookmarkStart w:id="452" w:name="xdx_901_eus-gaap--ShortTermLeaseCost_pn3"/>
      <w:bookmarkEnd w:id="452"/>
      <w:r>
        <w:rPr>
          <w:rFonts w:ascii="Times New Roman;Times;Serif" w:hAnsi="Times New Roman;Times;Serif"/>
          <w:b w:val="false"/>
          <w:i w:val="false"/>
          <w:caps w:val="false"/>
          <w:smallCaps w:val="false"/>
          <w:sz w:val="20"/>
        </w:rPr>
        <w:t>11 short-term lease expense for the three months ended March 31, 2025 and 2024, respectively. The Company does not have any finance leases.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3" w:name="xdx_80A_eus-gaap--StockholdersEquityNote"/>
      <w:bookmarkEnd w:id="453"/>
      <w:r>
        <w:rPr>
          <w:rFonts w:ascii="Times New Roman;Times;Serif" w:hAnsi="Times New Roman;Times;Serif"/>
          <w:b/>
          <w:i w:val="false"/>
          <w:caps w:val="false"/>
          <w:smallCaps w:val="false"/>
          <w:sz w:val="20"/>
        </w:rPr>
        <w:t xml:space="preserve">10. </w:t>
      </w:r>
      <w:bookmarkStart w:id="454" w:name="xdx_82B_z3raYE8KgmC1"/>
      <w:bookmarkEnd w:id="454"/>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authorized capital consists of </w:t>
      </w:r>
      <w:bookmarkStart w:id="455" w:name="xdx_90A_eus-gaap--CommonStockSharesAutho"/>
      <w:bookmarkEnd w:id="455"/>
      <w:r>
        <w:rPr>
          <w:rFonts w:ascii="Times New Roman;Times;Serif" w:hAnsi="Times New Roman;Times;Serif"/>
          <w:b w:val="false"/>
          <w:i w:val="false"/>
          <w:caps w:val="false"/>
          <w:smallCaps w:val="false"/>
          <w:sz w:val="20"/>
        </w:rPr>
        <w:t xml:space="preserve">150,000,000 shares of Common Stock and </w:t>
      </w:r>
      <w:bookmarkStart w:id="456" w:name="xdx_909_eus-gaap--PreferredStockSharesAu"/>
      <w:bookmarkEnd w:id="456"/>
      <w:r>
        <w:rPr>
          <w:rFonts w:ascii="Times New Roman;Times;Serif" w:hAnsi="Times New Roman;Times;Serif"/>
          <w:b w:val="false"/>
          <w:i w:val="false"/>
          <w:caps w:val="false"/>
          <w:smallCaps w:val="false"/>
          <w:sz w:val="20"/>
        </w:rPr>
        <w:t>5,000,000 shares of preferred stock, par value $</w:t>
      </w:r>
      <w:bookmarkStart w:id="457" w:name="xdx_905_eus-gaap--PreferredStockParOrSta"/>
      <w:bookmarkEnd w:id="457"/>
      <w:r>
        <w:rPr>
          <w:rFonts w:ascii="Times New Roman;Times;Serif" w:hAnsi="Times New Roman;Times;Serif"/>
          <w:b w:val="false"/>
          <w:i w:val="false"/>
          <w:caps w:val="false"/>
          <w:smallCaps w:val="false"/>
          <w:sz w:val="20"/>
        </w:rPr>
        <w:t xml:space="preserve">0.0001 per share (“Preferred Stock”), of which </w:t>
      </w:r>
      <w:bookmarkStart w:id="458" w:name="xdx_907_eus-gaap--PreferredStockSharesAu"/>
      <w:bookmarkEnd w:id="458"/>
      <w:r>
        <w:rPr>
          <w:rFonts w:ascii="Times New Roman;Times;Serif" w:hAnsi="Times New Roman;Times;Serif"/>
          <w:b w:val="false"/>
          <w:i w:val="false"/>
          <w:caps w:val="false"/>
          <w:smallCaps w:val="false"/>
          <w:sz w:val="20"/>
        </w:rPr>
        <w:t>10,000 are designated as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 2023, the Company filed the Certificate of Designations of the Series a Preferred Stock (the “Certificate of Designations”) with the Secretary of State of the State of Delaware, designating </w:t>
      </w:r>
      <w:bookmarkStart w:id="459" w:name="xdx_905_eus-gaap--PreferredStockSharesAu"/>
      <w:bookmarkEnd w:id="459"/>
      <w:r>
        <w:rPr>
          <w:rFonts w:ascii="Times New Roman;Times;Serif" w:hAnsi="Times New Roman;Times;Serif"/>
          <w:b w:val="false"/>
          <w:i w:val="false"/>
          <w:caps w:val="false"/>
          <w:smallCaps w:val="false"/>
          <w:sz w:val="20"/>
        </w:rPr>
        <w:t>10,000 shares of its Preferred Stock as Series A Convertible Preferred Stock. The terms of the Series A Preferred Stock are as set forth in the form of Certificate of Designations of the Series A Preferred Stock (the “Certificate of Designations”). The Series A Preferred Stock is convertible into shares of common stock (the “Conversion Shares”) at the election of the holder at any time at an initial conversion price of $</w:t>
      </w:r>
      <w:bookmarkStart w:id="460" w:name="xdx_90D_eus-gaap--PreferredStockConverti"/>
      <w:bookmarkEnd w:id="460"/>
      <w:r>
        <w:rPr>
          <w:rFonts w:ascii="Times New Roman;Times;Serif" w:hAnsi="Times New Roman;Times;Serif"/>
          <w:b w:val="false"/>
          <w:i w:val="false"/>
          <w:caps w:val="false"/>
          <w:smallCaps w:val="false"/>
          <w:sz w:val="20"/>
        </w:rPr>
        <w:t>1.45 (the “Conversion Price”).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the Series A Preferred Stock are entitled to dividends of </w:t>
      </w:r>
      <w:bookmarkStart w:id="461" w:name="xdx_90C_eus-gaap--PreferredStockDividend"/>
      <w:bookmarkEnd w:id="461"/>
      <w:r>
        <w:rPr>
          <w:rFonts w:ascii="Times New Roman;Times;Serif" w:hAnsi="Times New Roman;Times;Serif"/>
          <w:b w:val="false"/>
          <w:i w:val="false"/>
          <w:caps w:val="false"/>
          <w:smallCaps w:val="false"/>
          <w:sz w:val="20"/>
        </w:rPr>
        <w:t xml:space="preserve">8% per annum, compounded monthly, which are payable in cash or shares of Common Stock, or a combination thereof, at the Company’s option in accordance with the terms of the Certificate of Designations. Upon the occurrence and during the continuance of a Triggering Event (as defined in the Certificate of Designations), the Series A Preferred Stock will accrue dividends at the rate of </w:t>
      </w:r>
      <w:bookmarkStart w:id="462" w:name="xdx_902_eus-gaap--PreferredStockDividend"/>
      <w:bookmarkEnd w:id="462"/>
      <w:r>
        <w:rPr>
          <w:rFonts w:ascii="Times New Roman;Times;Serif" w:hAnsi="Times New Roman;Times;Serif"/>
          <w:b w:val="false"/>
          <w:i w:val="false"/>
          <w:caps w:val="false"/>
          <w:smallCaps w:val="false"/>
          <w:sz w:val="20"/>
        </w:rPr>
        <w:t xml:space="preserve">20% per annum. If the Company elects to pay any dividends in shares of Common Stock, </w:t>
      </w:r>
      <w:bookmarkStart w:id="463" w:name="xdx_90D_eus-gaap--CommonStockConversionF"/>
      <w:bookmarkEnd w:id="463"/>
      <w:r>
        <w:rPr>
          <w:rFonts w:ascii="Times New Roman;Times;Serif" w:hAnsi="Times New Roman;Times;Serif"/>
          <w:b w:val="false"/>
          <w:i w:val="false"/>
          <w:caps w:val="false"/>
          <w:smallCaps w:val="false"/>
          <w:sz w:val="20"/>
        </w:rPr>
        <w:t>the Conversion Price used to calculate the number of shares issuable will be equal to the lower of (i) the then applicable Conversion Price and (ii) 85% of the arithmetic average of the three (3) lowest closing prices of the Company’s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the Stockholder Approval (subject to adjustment for stock splits, stock dividends, stock combinations, recapitalizations or other similar events) or, in any case, such lower amount as permitted, from time to time, by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2024, the Company entered into an Amendment Agreement (the “August 2024 Amendment”) with the Required Holders (as defined in the Certificate of Designations). Pursuant to the August 2024 Amendment, the Required Holders agreed that (A) the unpaid and accrued dividends on the Series A Preferred Stock due July 1, 2024 (the “July Delinquent Dividend Amount”), shall be payable, at the option of the Company, in (i) cash and/or (ii) shares of Common Stock, at a price per share of Common Stock equal to the lower of (x) $</w:t>
      </w:r>
      <w:bookmarkStart w:id="464" w:name="xdx_900_eus-gaap--CommonStockConvertible"/>
      <w:bookmarkEnd w:id="464"/>
      <w:r>
        <w:rPr>
          <w:rFonts w:ascii="Times New Roman;Times;Serif" w:hAnsi="Times New Roman;Times;Serif"/>
          <w:b w:val="false"/>
          <w:i w:val="false"/>
          <w:caps w:val="false"/>
          <w:smallCaps w:val="false"/>
          <w:sz w:val="20"/>
        </w:rPr>
        <w:t>1.00 and (y) the Dividend Conversion Price (as defined in the Certificate of Designations), using July 1, 2024, as the applicable date of determination in accordance with the Certificate of Designations; (B) the dividends due on October 1, 2024 (the “October Dividend Amount” and, together with the July Delinquent Dividend Amount, the “Delinquent Dividend Amounts”), shall be payable in shares of Common Stock based on a per share price of Common Stock equal to 80% of the arithmetic average of the three (3) lowest closing sale prices of the Common Stock during the month of September 2024; and (C) such Delinquent Dividend Amounts and any Dividend Balance Shares (as defined in the Certificate of Designations), with respect thereto, if applicable, shall be delivered on October 1, 2024. The Company and the Required Holders further agreed pursuant to the August 2024 Amendment to amend (i) the Certificate of Designations, as described below, by filing a Certificate of Amendment to the Certificate of Designations (the “August 2024 Certificate of Amendment”) and (ii) the Series A Purchase Agreement to amend the definition of “Excluded Securities.” The August 2024 Certificate of Amendment amends the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(as described below), and (ii) the Company’s right to redeem, all or a portion, of the Series A Preferred Stock outstanding pursuant to an optional redemption (as described below), in each case, pursuant to the terms of the Certificate of Designations.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August 2024 Certificate of Amendment, the Company may require holders to convert their shares of Series A Preferred Stock into shares of Common Stock if the closing price of the Company’s Common Stock exceeds $</w:t>
      </w:r>
      <w:bookmarkStart w:id="465" w:name="xdx_900_ecustom--PreferredStockConvertib"/>
      <w:bookmarkEnd w:id="465"/>
      <w:r>
        <w:rPr>
          <w:rFonts w:ascii="Times New Roman;Times;Serif" w:hAnsi="Times New Roman;Times;Serif"/>
          <w:b w:val="false"/>
          <w:i w:val="false"/>
          <w:caps w:val="false"/>
          <w:smallCaps w:val="false"/>
          <w:sz w:val="20"/>
        </w:rPr>
        <w:t>8.00 per share (subject to adjustment for stock splits, stock dividends, stock combinations, recapitalizations or other similar events) for 20 consecutive trading days and the daily dollar trading volume of the Common Stock exceeds $</w:t>
      </w:r>
      <w:bookmarkStart w:id="466" w:name="xdx_90A_ecustom--PreferredStockConvertib"/>
      <w:bookmarkEnd w:id="466"/>
      <w:r>
        <w:rPr>
          <w:rFonts w:ascii="Times New Roman;Times;Serif" w:hAnsi="Times New Roman;Times;Serif"/>
          <w:b w:val="false"/>
          <w:i w:val="false"/>
          <w:caps w:val="false"/>
          <w:smallCaps w:val="false"/>
          <w:sz w:val="20"/>
        </w:rPr>
        <w:t>2,000,000 per day during the same period, provided that certain equity conditions described in the Certificate of Designations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August 2024 Certificate of Amendment, at any time beginning 18 months from the date of the issuance, provided that the Company has filed all reports required to be filed by it pursuant to the Exchange Act on a timely basis for a continuous period of one year and provided further that certain equity conditions described in the Certificate of Designations are satisfied, the Company has the right to redeem in cash all or some of the shares of the Series A Preferred Stock outstanding at such time at a redemption price equal to the product of (x) 125% multiplied by (y) the sum of (A) the stated value of the Series A Preferred Stock plus (B) all declared and unpaid Dividends on such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2024, the Company entered into an Amendment Agreement with the Required Holders (as defined in the Certificate of Designations), pursuant to which, the Required Holders agreed to amend the Certificate of Designations of the Company’s Series A Preferred Stock, as described below, by filing a Certificate of Amendment to the Certificate of Designations (the “October 2024 Certificate of Amendment”). The October 2024 Certificate of Amendment amends the Certificate of Designations to, among other things, provide that, except as required by applicable law, the holders of the Series A Preferred Stock will be entitled to vote with holders of the Common Stock on an as converted basis, with the number of votes to which each holder of Series A Preferred Stock is entitled to be calculated assuming a conversion price of $</w:t>
      </w:r>
      <w:bookmarkStart w:id="467" w:name="xdx_905_eus-gaap--PreferredStockConverti"/>
      <w:bookmarkEnd w:id="467"/>
      <w:r>
        <w:rPr>
          <w:rFonts w:ascii="Times New Roman;Times;Serif" w:hAnsi="Times New Roman;Times;Serif"/>
          <w:b w:val="false"/>
          <w:i w:val="false"/>
          <w:caps w:val="false"/>
          <w:smallCaps w:val="false"/>
          <w:sz w:val="20"/>
        </w:rPr>
        <w:t>1.414 per share, which was the Minimum Price (as defined in Rule 5635 of the Rule of the Nasdaq Stock Market) applicable immediately before the execution and delivery of the Series A Purchase Agreement, subject to certain beneficial ownership limitations as set forth in the Certificate of Designations. The October 2024 Certificate of Amendment further provides that (i) certain holders of the Series A Preferred Stock will not be subject to certain beneficial ownership limitations as described in the Certificate of Designations, and (ii) stockholder approval will not be required in connection with the payment of dividends in the form of Common Stock to a holder of the Series A Preferred Stock who serves as a director, officer or employee of the Company. The October 2024 Certificate of Amendment was filed with the Secretary of State of the State of Delaware, effective as of October 14, 2024.The holders of the Series A Preferred Stock have no voting rights, other than with respect to certain matters affecting the rights of the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25, 2024, the Company entered into an Amendment and Agreement with the Series A Investors (the “November 2024 Amendment Agreement”), pursuant to which, (i) the Series A Investors agreed to amend the Certificate of Designations, as described below, by filing a Certificate of Amendment to the Certificate of Designations with the Secretary of State (the “November 2024 Certificate of Amendment”), and (ii) the Series A Investors and the Company agreed that all payment amounts that have accrued and are unpaid as of November 25, 2024, pursuant to the Certificate of Designations and the August 2024 Amendment will be satisfied by delivery of shares of Common Stock on or prior to November 25, 2024, with each Series A Investor entitled to receive the number of shares of Common Stock specified below such Series A Investor’s name on its respective signature page thereto. The November 2024 Certificate of Amendment amends the Certificate of Designations to provide that upon the occurrence of a Triggering Event (as defined in the Certificate of Designations), the Series A Preferred Stock will accrue dividends compounded monthly at the rate of </w:t>
      </w:r>
      <w:bookmarkStart w:id="468" w:name="xdx_90F_eus-gaap--PreferredStockDividend"/>
      <w:bookmarkEnd w:id="468"/>
      <w:r>
        <w:rPr>
          <w:rFonts w:ascii="Times New Roman;Times;Serif" w:hAnsi="Times New Roman;Times;Serif"/>
          <w:b w:val="false"/>
          <w:i w:val="false"/>
          <w:caps w:val="false"/>
          <w:smallCaps w:val="false"/>
          <w:sz w:val="20"/>
        </w:rPr>
        <w:t>20% per annum. The Certificate of Amendment became effective with the Secretary of State on December 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issuance, $</w:t>
      </w:r>
      <w:bookmarkStart w:id="469" w:name="xdx_905_eus-gaap--ProceedsFromIssuanceOf"/>
      <w:bookmarkEnd w:id="469"/>
      <w:r>
        <w:rPr>
          <w:rFonts w:ascii="Times New Roman;Times;Serif" w:hAnsi="Times New Roman;Times;Serif"/>
          <w:b w:val="false"/>
          <w:i w:val="false"/>
          <w:caps w:val="false"/>
          <w:smallCaps w:val="false"/>
          <w:sz w:val="20"/>
        </w:rPr>
        <w:t xml:space="preserve">2,036 of the net proceeds less transaction cost of the Series A Purchase Agreement was allocated to the </w:t>
      </w:r>
      <w:bookmarkStart w:id="470" w:name="xdx_903_eus-gaap--SharesIssued_iI_pid_c2"/>
      <w:bookmarkEnd w:id="470"/>
      <w:r>
        <w:rPr>
          <w:rFonts w:ascii="Times New Roman;Times;Serif" w:hAnsi="Times New Roman;Times;Serif"/>
          <w:b w:val="false"/>
          <w:i w:val="false"/>
          <w:caps w:val="false"/>
          <w:smallCaps w:val="false"/>
          <w:sz w:val="20"/>
        </w:rPr>
        <w:t xml:space="preserve">10,000 shares of Series A Preferred Stock initially issued. As of December 31, 2024, a total of </w:t>
      </w:r>
      <w:bookmarkStart w:id="471" w:name="xdx_902_eus-gaap--ConversionOfStockShare"/>
      <w:bookmarkEnd w:id="471"/>
      <w:r>
        <w:rPr>
          <w:rFonts w:ascii="Times New Roman;Times;Serif" w:hAnsi="Times New Roman;Times;Serif"/>
          <w:b w:val="false"/>
          <w:i w:val="false"/>
          <w:caps w:val="false"/>
          <w:smallCaps w:val="false"/>
          <w:sz w:val="20"/>
        </w:rPr>
        <w:t xml:space="preserve">1,793 shares of Series A Preferred Stock were converted into approximately </w:t>
      </w:r>
      <w:bookmarkStart w:id="472" w:name="xdx_907_eus-gaap--ConversionOfStockShare"/>
      <w:bookmarkEnd w:id="472"/>
      <w:r>
        <w:rPr>
          <w:rFonts w:ascii="Times New Roman;Times;Serif" w:hAnsi="Times New Roman;Times;Serif"/>
          <w:b w:val="false"/>
          <w:i w:val="false"/>
          <w:caps w:val="false"/>
          <w:smallCaps w:val="false"/>
          <w:sz w:val="20"/>
        </w:rPr>
        <w:t>1,468,000 shares of Common Stock. There were no additional conversions in the three months end March 31, 2025. As of March 31, 2025, the Company has authorized, declared and paid $</w:t>
      </w:r>
      <w:bookmarkStart w:id="473" w:name="xdx_906_eus-gaap--Dividends_pn3n3_c20250"/>
      <w:bookmarkEnd w:id="473"/>
      <w:r>
        <w:rPr>
          <w:rFonts w:ascii="Times New Roman;Times;Serif" w:hAnsi="Times New Roman;Times;Serif"/>
          <w:b w:val="false"/>
          <w:i w:val="false"/>
          <w:caps w:val="false"/>
          <w:smallCaps w:val="false"/>
          <w:sz w:val="20"/>
        </w:rPr>
        <w:t>164 in dividends in the form of shares of the Company’s Common Stock during the three months ended March 31, 2025. For the three months ended March 31, 2024, authorized and declared dividends totaling $</w:t>
      </w:r>
      <w:bookmarkStart w:id="474" w:name="xdx_90C_eus-gaap--Dividends_pn3n3_c20240"/>
      <w:bookmarkEnd w:id="474"/>
      <w:r>
        <w:rPr>
          <w:rFonts w:ascii="Times New Roman;Times;Serif" w:hAnsi="Times New Roman;Times;Serif"/>
          <w:b w:val="false"/>
          <w:i w:val="false"/>
          <w:caps w:val="false"/>
          <w:smallCaps w:val="false"/>
          <w:sz w:val="20"/>
        </w:rPr>
        <w:t>189, of which $</w:t>
      </w:r>
      <w:bookmarkStart w:id="475" w:name="xdx_90A_eus-gaap--DividendsPreferredStoc"/>
      <w:bookmarkEnd w:id="475"/>
      <w:r>
        <w:rPr>
          <w:rFonts w:ascii="Times New Roman;Times;Serif" w:hAnsi="Times New Roman;Times;Serif"/>
          <w:b w:val="false"/>
          <w:i w:val="false"/>
          <w:caps w:val="false"/>
          <w:smallCaps w:val="false"/>
          <w:sz w:val="20"/>
        </w:rPr>
        <w:t>60 was paid in cash, $</w:t>
      </w:r>
      <w:bookmarkStart w:id="476" w:name="xdx_90A_eus-gaap--DividendsCommonStockSt"/>
      <w:bookmarkEnd w:id="476"/>
      <w:r>
        <w:rPr>
          <w:rFonts w:ascii="Times New Roman;Times;Serif" w:hAnsi="Times New Roman;Times;Serif"/>
          <w:b w:val="false"/>
          <w:i w:val="false"/>
          <w:caps w:val="false"/>
          <w:smallCaps w:val="false"/>
          <w:sz w:val="20"/>
        </w:rPr>
        <w:t>129 was paid in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bookmarkStart w:id="477" w:name="xdx_808_eus-gaap--DisclosureOfCompensati"/>
      <w:bookmarkEnd w:id="477"/>
      <w:r>
        <w:rPr>
          <w:rFonts w:ascii="Times New Roman;Times;Serif" w:hAnsi="Times New Roman;Times;Serif"/>
          <w:b/>
          <w:i w:val="false"/>
          <w:caps w:val="false"/>
          <w:smallCaps w:val="false"/>
          <w:sz w:val="20"/>
        </w:rPr>
        <w:t xml:space="preserve">11. </w:t>
      </w:r>
      <w:bookmarkStart w:id="478" w:name="xdx_828_zE91ABsBIyCb"/>
      <w:bookmarkEnd w:id="478"/>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2017</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 adopted, and the Company’s stockholders approved, the Wrap Technologies, Inc. 2017 Equity Incentive Plan (the “2017 Plan”), which was adopted by the Board on November 12, 2024, subject to stockholder approval. Under the 2017 Plan as originally adopted, the Company initially reserved </w:t>
      </w:r>
      <w:bookmarkStart w:id="479" w:name="xdx_904_eus-gaap--ShareBasedCompensation"/>
      <w:bookmarkEnd w:id="479"/>
      <w:r>
        <w:rPr>
          <w:rFonts w:ascii="Times New Roman;Times;Serif" w:hAnsi="Times New Roman;Times;Serif"/>
          <w:b w:val="false"/>
          <w:i w:val="false"/>
          <w:caps w:val="false"/>
          <w:smallCaps w:val="false"/>
          <w:sz w:val="20"/>
        </w:rPr>
        <w:t xml:space="preserve">2,000,000 shares of Common Stock for issuance as awards under the 2017 Plan. The 2017 Plan was amended by the First Amendment to the 2017 Plan to increase the total number of shares of Common Stock for issuance under the 2017 Plan to </w:t>
      </w:r>
      <w:bookmarkStart w:id="480" w:name="xdx_90D_eus-gaap--SharesIssued_iI_pid_c2"/>
      <w:bookmarkEnd w:id="480"/>
      <w:r>
        <w:rPr>
          <w:rFonts w:ascii="Times New Roman;Times;Serif" w:hAnsi="Times New Roman;Times;Serif"/>
          <w:b w:val="false"/>
          <w:i w:val="false"/>
          <w:caps w:val="false"/>
          <w:smallCaps w:val="false"/>
          <w:sz w:val="20"/>
        </w:rPr>
        <w:t xml:space="preserve">4,100,000 shares, which was adopted by the Board on March 16, 2019, and by stockholders on May 23, 2019. The 2017 Plan was also amended by the Second Amendment to the 2017 Plan to increase the total number of shares of Common Stock for issuance under the 2017 Plan to </w:t>
      </w:r>
      <w:bookmarkStart w:id="481" w:name="xdx_90B_eus-gaap--SharesIssued_iI_pid_c2"/>
      <w:bookmarkEnd w:id="481"/>
      <w:r>
        <w:rPr>
          <w:rFonts w:ascii="Times New Roman;Times;Serif" w:hAnsi="Times New Roman;Times;Serif"/>
          <w:b w:val="false"/>
          <w:i w:val="false"/>
          <w:caps w:val="false"/>
          <w:smallCaps w:val="false"/>
          <w:sz w:val="20"/>
        </w:rPr>
        <w:t xml:space="preserve">6,000,000 shares which was adopted by the Board on April 8, 2020, and by stockholders on June 5, 2020. The 2017 Plan was also amended by the Third Amendment to the 2017 Plan to increase the total number of shares of Common Stock for issuance under the 2017 Plan to </w:t>
      </w:r>
      <w:bookmarkStart w:id="482" w:name="xdx_907_eus-gaap--SharesIssued_iI_pid_c2"/>
      <w:bookmarkEnd w:id="482"/>
      <w:r>
        <w:rPr>
          <w:rFonts w:ascii="Times New Roman;Times;Serif" w:hAnsi="Times New Roman;Times;Serif"/>
          <w:b w:val="false"/>
          <w:i w:val="false"/>
          <w:caps w:val="false"/>
          <w:smallCaps w:val="false"/>
          <w:sz w:val="20"/>
        </w:rPr>
        <w:t xml:space="preserve">7,500,000 shares which was adopted by the Board on April 23, 2021, and by stockholders on June 22, 2021. The 2017 Plan was also amended by the Fourth Amendment to the 2017 Plan to increase the total number of shares of Common Stock for issuance under the 2017 Plan to </w:t>
      </w:r>
      <w:bookmarkStart w:id="483" w:name="xdx_90B_eus-gaap--SharesIssued_iI_pid_c2"/>
      <w:bookmarkEnd w:id="483"/>
      <w:r>
        <w:rPr>
          <w:rFonts w:ascii="Times New Roman;Times;Serif" w:hAnsi="Times New Roman;Times;Serif"/>
          <w:b w:val="false"/>
          <w:i w:val="false"/>
          <w:caps w:val="false"/>
          <w:smallCaps w:val="false"/>
          <w:sz w:val="20"/>
        </w:rPr>
        <w:t xml:space="preserve">9,000,000 shares which was adopted by the Board on April 22, 2022, and by our stockholders on June 23, 2022.The 2017 Plan was amended by the Fifth Amendment to the 2017 Plan to increase the total number of shares of Common Stock for issuance under the 2017 Plan to </w:t>
      </w:r>
      <w:bookmarkStart w:id="484" w:name="xdx_900_eus-gaap--SharesIssued_iI_pid_c2"/>
      <w:bookmarkEnd w:id="484"/>
      <w:r>
        <w:rPr>
          <w:rFonts w:ascii="Times New Roman;Times;Serif" w:hAnsi="Times New Roman;Times;Serif"/>
          <w:b w:val="false"/>
          <w:i w:val="false"/>
          <w:caps w:val="false"/>
          <w:smallCaps w:val="false"/>
          <w:sz w:val="20"/>
        </w:rPr>
        <w:t>16,500,000 shares which was adopted by the Board on November 12, 2024, and by our stockholders on December 23,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2025, there were </w:t>
      </w:r>
      <w:bookmarkStart w:id="485" w:name="xdx_905_eus-gaap--ShareBasedCompensation"/>
      <w:bookmarkEnd w:id="485"/>
      <w:r>
        <w:rPr>
          <w:rFonts w:ascii="Times New Roman;Times;Serif" w:hAnsi="Times New Roman;Times;Serif"/>
          <w:b w:val="false"/>
          <w:i w:val="false"/>
          <w:caps w:val="false"/>
          <w:smallCaps w:val="false"/>
          <w:sz w:val="20"/>
        </w:rPr>
        <w:t>4,848,259 shares of Common Stock remaining available for grant under the 2017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6" w:name="xdx_899_eus-gaap--ScheduleOfShareBasedCo"/>
      <w:bookmarkEnd w:id="486"/>
      <w:r>
        <w:rPr>
          <w:rFonts w:ascii="Times New Roman;Times;Serif" w:hAnsi="Times New Roman;Times;Serif"/>
          <w:b w:val="false"/>
          <w:i w:val="false"/>
          <w:caps w:val="false"/>
          <w:smallCaps w:val="false"/>
          <w:sz w:val="20"/>
        </w:rPr>
        <w:t>The following table summarizes stock option activity for the three months ended March 31, 2025:</w:t>
      </w:r>
    </w:p>
    <w:p>
      <w:pPr>
        <w:pStyle w:val="TextBody"/>
        <w:bidi w:val="0"/>
        <w:spacing w:before="0" w:after="0"/>
        <w:ind w:left="0" w:right="0" w:hanging="0"/>
        <w:jc w:val="left"/>
        <w:rPr>
          <w:caps w:val="false"/>
          <w:smallCaps w:val="false"/>
        </w:rPr>
      </w:pPr>
      <w:r>
        <w:rPr>
          <w:caps w:val="false"/>
          <w:smallCaps w:val="false"/>
        </w:rPr>
        <w:t> </w:t>
      </w:r>
      <w:bookmarkStart w:id="487" w:name="xdx_8BB_zG2wsgjLGb97"/>
      <w:bookmarkEnd w:id="487"/>
      <w:r>
        <w:rPr>
          <w:rFonts w:ascii="Times New Roman;Times;Serif" w:hAnsi="Times New Roman;Times;Serif"/>
          <w:b w:val="false"/>
          <w:i w:val="false"/>
          <w:caps w:val="false"/>
          <w:smallCaps w:val="false"/>
          <w:sz w:val="20"/>
        </w:rPr>
        <w:t>SCHEDULE OF STOCK OPTION ACTIVITY </w:t>
      </w:r>
    </w:p>
    <w:tbl>
      <w:tblPr>
        <w:tblW w:w="7272" w:type="dxa"/>
        <w:jc w:val="left"/>
        <w:tblInd w:w="0" w:type="dxa"/>
        <w:tblLayout w:type="fixed"/>
        <w:tblCellMar>
          <w:top w:w="0" w:type="dxa"/>
          <w:left w:w="0" w:type="dxa"/>
          <w:bottom w:w="0" w:type="dxa"/>
          <w:right w:w="0" w:type="dxa"/>
        </w:tblCellMar>
      </w:tblPr>
      <w:tblGrid>
        <w:gridCol w:w="2765"/>
        <w:gridCol w:w="60"/>
        <w:gridCol w:w="60"/>
        <w:gridCol w:w="980"/>
        <w:gridCol w:w="95"/>
        <w:gridCol w:w="60"/>
        <w:gridCol w:w="222"/>
        <w:gridCol w:w="700"/>
        <w:gridCol w:w="95"/>
        <w:gridCol w:w="95"/>
        <w:gridCol w:w="124"/>
        <w:gridCol w:w="916"/>
        <w:gridCol w:w="60"/>
        <w:gridCol w:w="60"/>
        <w:gridCol w:w="181"/>
        <w:gridCol w:w="724"/>
        <w:gridCol w:w="75"/>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Weighted 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Outstanding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88" w:name="xdx_986_eus-gaap--ShareBasedCompensation"/>
            <w:bookmarkEnd w:id="488"/>
          </w:p>
        </w:tc>
        <w:tc>
          <w:tcPr>
            <w:tcW w:w="980" w:type="dxa"/>
            <w:tcBorders/>
            <w:shd w:fill="CCEEFF" w:val="clear"/>
            <w:vAlign w:val="center"/>
          </w:tcPr>
          <w:p>
            <w:pPr>
              <w:pStyle w:val="TableContents"/>
              <w:bidi w:val="0"/>
              <w:spacing w:before="0" w:after="283"/>
              <w:jc w:val="right"/>
              <w:rPr/>
            </w:pPr>
            <w:r>
              <w:rPr/>
              <w:t>3,944,284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bookmarkStart w:id="489" w:name="xdx_984_eus-gaap--ShareBasedCompensation"/>
            <w:bookmarkEnd w:id="489"/>
          </w:p>
        </w:tc>
        <w:tc>
          <w:tcPr>
            <w:tcW w:w="700" w:type="dxa"/>
            <w:tcBorders/>
            <w:shd w:fill="CCEEFF" w:val="clear"/>
            <w:vAlign w:val="center"/>
          </w:tcPr>
          <w:p>
            <w:pPr>
              <w:pStyle w:val="TableContents"/>
              <w:bidi w:val="0"/>
              <w:spacing w:before="0" w:after="283"/>
              <w:jc w:val="right"/>
              <w:rPr/>
            </w:pPr>
            <w:r>
              <w:rPr/>
              <w:t>2.12</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bookmarkStart w:id="490" w:name="xdx_903_eus-gaap--SharebasedCompensation"/>
            <w:bookmarkEnd w:id="490"/>
            <w:r>
              <w:rPr/>
              <w:t>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491" w:name="xdx_981_eus-gaap--ShareBasedCompensation"/>
            <w:bookmarkEnd w:id="491"/>
          </w:p>
        </w:tc>
        <w:tc>
          <w:tcPr>
            <w:tcW w:w="724" w:type="dxa"/>
            <w:tcBorders/>
            <w:shd w:fill="CCEEFF" w:val="clear"/>
            <w:vAlign w:val="center"/>
          </w:tcPr>
          <w:p>
            <w:pPr>
              <w:pStyle w:val="TableContents"/>
              <w:bidi w:val="0"/>
              <w:spacing w:before="0" w:after="283"/>
              <w:jc w:val="right"/>
              <w:rPr/>
            </w:pPr>
            <w:r>
              <w:rPr/>
              <w:t>1,486</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92" w:name="xdx_98F_eus-gaap--ShareBasedCompensation"/>
            <w:bookmarkEnd w:id="492"/>
          </w:p>
        </w:tc>
        <w:tc>
          <w:tcPr>
            <w:tcW w:w="980" w:type="dxa"/>
            <w:tcBorders/>
            <w:shd w:fill="FFFFFF" w:val="clear"/>
            <w:vAlign w:val="center"/>
          </w:tcPr>
          <w:p>
            <w:pPr>
              <w:pStyle w:val="TableContents"/>
              <w:bidi w:val="0"/>
              <w:spacing w:before="0" w:after="283"/>
              <w:jc w:val="right"/>
              <w:rPr/>
            </w:pPr>
            <w:r>
              <w:rPr/>
              <w:t>2,299,427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w:t>
            </w:r>
            <w:bookmarkStart w:id="493" w:name="xdx_984_eus-gaap--ShareBasedCompensation"/>
            <w:bookmarkEnd w:id="493"/>
          </w:p>
        </w:tc>
        <w:tc>
          <w:tcPr>
            <w:tcW w:w="700" w:type="dxa"/>
            <w:tcBorders/>
            <w:shd w:fill="FFFFFF" w:val="clear"/>
            <w:vAlign w:val="center"/>
          </w:tcPr>
          <w:p>
            <w:pPr>
              <w:pStyle w:val="TableContents"/>
              <w:bidi w:val="0"/>
              <w:spacing w:before="0" w:after="283"/>
              <w:jc w:val="right"/>
              <w:rPr/>
            </w:pPr>
            <w:r>
              <w:rPr/>
              <w:t>2.06</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94" w:name="xdx_98E_eus-gaap--StockIssuedDuringPerio"/>
            <w:bookmarkEnd w:id="494"/>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bookmarkStart w:id="495" w:name="xdx_98D_eus-gaap--ShareBasedCompensation"/>
            <w:bookmarkEnd w:id="495"/>
          </w:p>
        </w:tc>
        <w:tc>
          <w:tcPr>
            <w:tcW w:w="7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Forfeited, cancelled,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6" w:name="xdx_983_eus-gaap--ShareBasedCompensation"/>
            <w:bookmarkEnd w:id="496"/>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(147,500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97" w:name="xdx_985_eus-gaap--ShareBasedCompensation"/>
            <w:bookmarkEnd w:id="497"/>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5.43</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Outstanding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98" w:name="xdx_984_eus-gaap--ShareBasedCompensation"/>
            <w:bookmarkEnd w:id="49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6,096,211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9" w:name="xdx_98B_eus-gaap--ShareBasedCompensation"/>
            <w:bookmarkEnd w:id="499"/>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2.02</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00" w:name="xdx_90F_eus-gaap--SharebasedCompensation"/>
            <w:bookmarkEnd w:id="500"/>
            <w:r>
              <w:rPr/>
              <w:t>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01" w:name="xdx_98C_eus-gaap--ShareBasedCompensation"/>
            <w:bookmarkEnd w:id="501"/>
          </w:p>
        </w:tc>
        <w:tc>
          <w:tcPr>
            <w:tcW w:w="724" w:type="dxa"/>
            <w:tcBorders>
              <w:bottom w:val="double" w:sz="6" w:space="0" w:color="000000"/>
            </w:tcBorders>
            <w:shd w:fill="CCEEFF" w:val="clear"/>
            <w:tcMar>
              <w:bottom w:w="28" w:type="dxa"/>
            </w:tcMar>
            <w:vAlign w:val="center"/>
          </w:tcPr>
          <w:p>
            <w:pPr>
              <w:pStyle w:val="TableContents"/>
              <w:bidi w:val="0"/>
              <w:spacing w:before="0" w:after="283"/>
              <w:jc w:val="right"/>
              <w:rPr/>
            </w:pPr>
            <w:r>
              <w:rPr/>
              <w:t>1,343</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Exercisable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02" w:name="xdx_98D_eus-gaap--ShareBasedCompensation"/>
            <w:bookmarkEnd w:id="50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1,385,081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3" w:name="xdx_98B_eus-gaap--ShareBasedCompensation"/>
            <w:bookmarkEnd w:id="503"/>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2.64</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04" w:name="xdx_904_eus-gaap--SharebasedCompensation"/>
            <w:bookmarkEnd w:id="504"/>
            <w:r>
              <w:rPr/>
              <w:t>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5" w:name="xdx_98B_eus-gaap--SharebasedCompensation"/>
            <w:bookmarkEnd w:id="505"/>
          </w:p>
        </w:tc>
        <w:tc>
          <w:tcPr>
            <w:tcW w:w="724" w:type="dxa"/>
            <w:tcBorders>
              <w:bottom w:val="double" w:sz="6" w:space="0" w:color="000000"/>
            </w:tcBorders>
            <w:shd w:fill="FFFFFF" w:val="clear"/>
            <w:tcMar>
              <w:bottom w:w="28" w:type="dxa"/>
            </w:tcMar>
            <w:vAlign w:val="center"/>
          </w:tcPr>
          <w:p>
            <w:pPr>
              <w:pStyle w:val="TableContents"/>
              <w:bidi w:val="0"/>
              <w:spacing w:before="0" w:after="283"/>
              <w:jc w:val="right"/>
              <w:rPr/>
            </w:pPr>
            <w:r>
              <w:rPr/>
              <w:t>370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6" w:name="xdx_8A5_zLTxGzsBI6Jl"/>
      <w:bookmarkEnd w:id="50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2025, there were </w:t>
      </w:r>
      <w:bookmarkStart w:id="507" w:name="xdx_902_eus-gaap--ShareBasedCompensation"/>
      <w:bookmarkEnd w:id="507"/>
      <w:r>
        <w:rPr>
          <w:rFonts w:ascii="Times New Roman;Times;Serif" w:hAnsi="Times New Roman;Times;Serif"/>
          <w:b w:val="false"/>
          <w:i w:val="false"/>
          <w:caps w:val="false"/>
          <w:smallCaps w:val="false"/>
          <w:sz w:val="20"/>
        </w:rPr>
        <w:t xml:space="preserve">4,806,045 service-based stock options outstanding, and </w:t>
      </w:r>
      <w:bookmarkStart w:id="508" w:name="xdx_90C_eus-gaap--ShareBasedCompensation"/>
      <w:bookmarkEnd w:id="508"/>
      <w:r>
        <w:rPr>
          <w:rFonts w:ascii="Times New Roman;Times;Serif" w:hAnsi="Times New Roman;Times;Serif"/>
          <w:b w:val="false"/>
          <w:i w:val="false"/>
          <w:caps w:val="false"/>
          <w:smallCaps w:val="false"/>
          <w:sz w:val="20"/>
        </w:rPr>
        <w:t>1,290,166 performance-based stock options outstanding which were granted in October 2023 to the Company’s current Chief Executive Officer, subject to vesting based on future market capitalization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9" w:name="xdx_89C_eus-gaap--ScheduleOfShareBasedPa"/>
      <w:bookmarkEnd w:id="509"/>
      <w:r>
        <w:rPr>
          <w:rFonts w:ascii="Times New Roman;Times;Serif" w:hAnsi="Times New Roman;Times;Serif"/>
          <w:b w:val="false"/>
          <w:i w:val="false"/>
          <w:caps w:val="false"/>
          <w:smallCaps w:val="false"/>
          <w:sz w:val="20"/>
        </w:rPr>
        <w:t>The Company uses the Black-Scholes option pricing model to determine the fair value of the service-based options that have been granted. The following table summarizes the assumptions used to compute the fair value of options granted to employees and non-employees:</w:t>
      </w:r>
    </w:p>
    <w:p>
      <w:pPr>
        <w:pStyle w:val="TextBody"/>
        <w:bidi w:val="0"/>
        <w:spacing w:before="0" w:after="0"/>
        <w:ind w:left="0" w:right="0" w:hanging="0"/>
        <w:jc w:val="left"/>
        <w:rPr>
          <w:caps w:val="false"/>
          <w:smallCaps w:val="false"/>
        </w:rPr>
      </w:pPr>
      <w:r>
        <w:rPr>
          <w:caps w:val="false"/>
          <w:smallCaps w:val="false"/>
        </w:rPr>
        <w:t> </w:t>
      </w:r>
      <w:bookmarkStart w:id="510" w:name="xdx_8B0_zO4U5iYLTQyh"/>
      <w:bookmarkEnd w:id="510"/>
      <w:r>
        <w:rPr>
          <w:rFonts w:ascii="Times New Roman;Times;Serif" w:hAnsi="Times New Roman;Times;Serif"/>
          <w:b w:val="false"/>
          <w:i w:val="false"/>
          <w:caps w:val="false"/>
          <w:smallCaps w:val="false"/>
          <w:sz w:val="20"/>
        </w:rPr>
        <w:t>SCHEDULE OF STOCK OPTION ACTIVITY, FAIR VALUE OF ASSUMPTIONS </w:t>
      </w:r>
    </w:p>
    <w:tbl>
      <w:tblPr>
        <w:tblW w:w="7046" w:type="dxa"/>
        <w:jc w:val="left"/>
        <w:tblInd w:w="0" w:type="dxa"/>
        <w:tblLayout w:type="fixed"/>
        <w:tblCellMar>
          <w:top w:w="0" w:type="dxa"/>
          <w:left w:w="0" w:type="dxa"/>
          <w:bottom w:w="0" w:type="dxa"/>
          <w:right w:w="0" w:type="dxa"/>
        </w:tblCellMar>
      </w:tblPr>
      <w:tblGrid>
        <w:gridCol w:w="4475"/>
        <w:gridCol w:w="60"/>
        <w:gridCol w:w="222"/>
        <w:gridCol w:w="700"/>
        <w:gridCol w:w="342"/>
        <w:gridCol w:w="95"/>
        <w:gridCol w:w="222"/>
        <w:gridCol w:w="700"/>
        <w:gridCol w:w="23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1" w:type="dxa"/>
            <w:gridSpan w:val="6"/>
            <w:tcBorders/>
            <w:vAlign w:val="center"/>
          </w:tcPr>
          <w:p>
            <w:pPr>
              <w:pStyle w:val="TableContents"/>
              <w:bidi w:val="0"/>
              <w:spacing w:before="0" w:after="283"/>
              <w:jc w:val="center"/>
              <w:rPr>
                <w:b/>
              </w:rPr>
            </w:pPr>
            <w:r>
              <w:rPr>
                <w:b/>
              </w:rPr>
              <w:t>For the Three Months</w:t>
            </w:r>
          </w:p>
        </w:tc>
        <w:tc>
          <w:tcPr>
            <w:tcW w:w="23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1" w:type="dxa"/>
            <w:gridSpan w:val="6"/>
            <w:tcBorders/>
            <w:vAlign w:val="center"/>
          </w:tcPr>
          <w:p>
            <w:pPr>
              <w:pStyle w:val="TableContents"/>
              <w:bidi w:val="0"/>
              <w:spacing w:before="0" w:after="283"/>
              <w:jc w:val="center"/>
              <w:rPr>
                <w:b/>
              </w:rPr>
            </w:pPr>
            <w:r>
              <w:rPr>
                <w:b/>
              </w:rPr>
              <w:t>Ended March 31,</w:t>
            </w:r>
          </w:p>
        </w:tc>
        <w:tc>
          <w:tcPr>
            <w:tcW w:w="23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4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bookmarkStart w:id="511" w:name="xdx_986_eus-gaap--ShareBasedCompensation"/>
            <w:bookmarkEnd w:id="511"/>
          </w:p>
        </w:tc>
        <w:tc>
          <w:tcPr>
            <w:tcW w:w="700" w:type="dxa"/>
            <w:tcBorders/>
            <w:shd w:fill="CCEEFF" w:val="clear"/>
            <w:vAlign w:val="center"/>
          </w:tcPr>
          <w:p>
            <w:pPr>
              <w:pStyle w:val="TableContents"/>
              <w:bidi w:val="0"/>
              <w:spacing w:before="0" w:after="283"/>
              <w:jc w:val="right"/>
              <w:rPr/>
            </w:pPr>
            <w:r>
              <w:rPr/>
              <w:t>76</w:t>
            </w:r>
          </w:p>
        </w:tc>
        <w:tc>
          <w:tcPr>
            <w:tcW w:w="342"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bookmarkStart w:id="512" w:name="xdx_981_eus-gaap--ShareBasedCompensation"/>
            <w:bookmarkEnd w:id="512"/>
          </w:p>
        </w:tc>
        <w:tc>
          <w:tcPr>
            <w:tcW w:w="700" w:type="dxa"/>
            <w:tcBorders/>
            <w:shd w:fill="CCEEFF" w:val="clear"/>
            <w:vAlign w:val="center"/>
          </w:tcPr>
          <w:p>
            <w:pPr>
              <w:pStyle w:val="TableContents"/>
              <w:bidi w:val="0"/>
              <w:spacing w:before="0" w:after="283"/>
              <w:jc w:val="right"/>
              <w:rPr/>
            </w:pPr>
            <w:r>
              <w:rPr/>
              <w:t>76</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bookmarkStart w:id="513" w:name="xdx_98A_eus-gaap--ShareBasedCompensation"/>
            <w:bookmarkEnd w:id="513"/>
          </w:p>
        </w:tc>
        <w:tc>
          <w:tcPr>
            <w:tcW w:w="700" w:type="dxa"/>
            <w:tcBorders/>
            <w:shd w:fill="FFFFFF" w:val="clear"/>
            <w:vAlign w:val="center"/>
          </w:tcPr>
          <w:p>
            <w:pPr>
              <w:pStyle w:val="TableContents"/>
              <w:bidi w:val="0"/>
              <w:spacing w:before="0" w:after="283"/>
              <w:jc w:val="right"/>
              <w:rPr/>
            </w:pPr>
            <w:r>
              <w:rPr/>
              <w:t>4.28</w:t>
            </w:r>
          </w:p>
        </w:tc>
        <w:tc>
          <w:tcPr>
            <w:tcW w:w="342"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bookmarkStart w:id="514" w:name="xdx_98F_eus-gaap--ShareBasedCompensation"/>
            <w:bookmarkEnd w:id="514"/>
          </w:p>
        </w:tc>
        <w:tc>
          <w:tcPr>
            <w:tcW w:w="700" w:type="dxa"/>
            <w:tcBorders/>
            <w:shd w:fill="FFFFFF" w:val="clear"/>
            <w:vAlign w:val="center"/>
          </w:tcPr>
          <w:p>
            <w:pPr>
              <w:pStyle w:val="TableContents"/>
              <w:bidi w:val="0"/>
              <w:spacing w:before="0" w:after="283"/>
              <w:jc w:val="right"/>
              <w:rPr/>
            </w:pPr>
            <w:r>
              <w:rPr/>
              <w:t>3.89</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bookmarkStart w:id="515" w:name="xdx_98E_eus-gaap--ShareBasedCompensation"/>
            <w:bookmarkEnd w:id="515"/>
          </w:p>
        </w:tc>
        <w:tc>
          <w:tcPr>
            <w:tcW w:w="700" w:type="dxa"/>
            <w:tcBorders/>
            <w:shd w:fill="CCEEFF" w:val="clear"/>
            <w:vAlign w:val="center"/>
          </w:tcPr>
          <w:p>
            <w:pPr>
              <w:pStyle w:val="TableContents"/>
              <w:bidi w:val="0"/>
              <w:spacing w:before="0" w:after="283"/>
              <w:jc w:val="right"/>
              <w:rPr/>
            </w:pPr>
            <w:r>
              <w:rPr/>
              <w:t>0</w:t>
            </w:r>
          </w:p>
        </w:tc>
        <w:tc>
          <w:tcPr>
            <w:tcW w:w="342"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bookmarkStart w:id="516" w:name="xdx_98E_eus-gaap--ShareBasedCompensation"/>
            <w:bookmarkEnd w:id="516"/>
          </w:p>
        </w:tc>
        <w:tc>
          <w:tcPr>
            <w:tcW w:w="700"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Expected life of options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bookmarkStart w:id="517" w:name="xdx_90C_eus-gaap--SharebasedCompensation"/>
            <w:bookmarkEnd w:id="517"/>
            <w:r>
              <w:rPr/>
              <w:t>6.00</w:t>
            </w:r>
          </w:p>
        </w:tc>
        <w:tc>
          <w:tcPr>
            <w:tcW w:w="34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bookmarkStart w:id="518" w:name="xdx_90A_eus-gaap--SharebasedCompensation"/>
            <w:bookmarkEnd w:id="518"/>
            <w:r>
              <w:rPr/>
              <w:t>6.00</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Weighted-average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19" w:name="xdx_905_eus-gaap--ShareBasedCompensation"/>
            <w:bookmarkEnd w:id="519"/>
            <w:r>
              <w:rPr/>
              <w:t>1.47</w:t>
            </w:r>
          </w:p>
        </w:tc>
        <w:tc>
          <w:tcPr>
            <w:tcW w:w="34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20" w:name="xdx_90E_eus-gaap--ShareBasedCompensation"/>
            <w:bookmarkEnd w:id="520"/>
            <w:r>
              <w:rPr/>
              <w:t>2.29</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1" w:name="xdx_8AA_zzjrffYI0TVd"/>
      <w:bookmarkEnd w:id="52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 The Company records forfeitures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risk-free interest rate assumption is based upon observed interest rates on zero coupon U.S. Treasury bonds whose maturity period is appropriate for the term of the options. The dividend yield of zero </w:t>
      </w:r>
      <w:bookmarkStart w:id="522" w:name="xdx_906_eus-gaap--ShareBasedCompensation"/>
      <w:bookmarkEnd w:id="522"/>
      <w:r>
        <w:rPr>
          <w:rFonts w:ascii="Times New Roman;Times;Serif" w:hAnsi="Times New Roman;Times;Serif"/>
          <w:b w:val="false"/>
          <w:i w:val="false"/>
          <w:caps w:val="false"/>
          <w:smallCaps w:val="false"/>
          <w:sz w:val="20"/>
        </w:rPr>
        <w:t>0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exercise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expense was $</w:t>
      </w:r>
      <w:bookmarkStart w:id="523" w:name="xdx_906_eus-gaap--AllocatedShareBasedCom"/>
      <w:bookmarkEnd w:id="523"/>
      <w:r>
        <w:rPr>
          <w:rFonts w:ascii="Times New Roman;Times;Serif" w:hAnsi="Times New Roman;Times;Serif"/>
          <w:b w:val="false"/>
          <w:i w:val="false"/>
          <w:caps w:val="false"/>
          <w:smallCaps w:val="false"/>
          <w:sz w:val="20"/>
        </w:rPr>
        <w:t>387 and $</w:t>
      </w:r>
      <w:bookmarkStart w:id="524" w:name="xdx_90F_eus-gaap--AllocatedShareBasedCom"/>
      <w:bookmarkEnd w:id="524"/>
      <w:r>
        <w:rPr>
          <w:rFonts w:ascii="Times New Roman;Times;Serif" w:hAnsi="Times New Roman;Times;Serif"/>
          <w:b w:val="false"/>
          <w:i w:val="false"/>
          <w:caps w:val="false"/>
          <w:smallCaps w:val="false"/>
          <w:sz w:val="20"/>
        </w:rPr>
        <w:t>484 for the three months ended March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5" w:name="xdx_89C_eus-gaap--ScheduleOfNonvestedRes"/>
      <w:bookmarkEnd w:id="525"/>
      <w:r>
        <w:rPr>
          <w:rFonts w:ascii="Times New Roman;Times;Serif" w:hAnsi="Times New Roman;Times;Serif"/>
          <w:b w:val="false"/>
          <w:i w:val="false"/>
          <w:caps w:val="false"/>
          <w:smallCaps w:val="false"/>
          <w:sz w:val="20"/>
        </w:rPr>
        <w:t>The Plan provides for the grant of restricted stock units (“RSUs”). RSUs are settled in shares of the Company’s Common Stock as the RSUs vest. The following table summarizes RSU activity for the three months ended March 31, 2025:</w:t>
      </w:r>
    </w:p>
    <w:p>
      <w:pPr>
        <w:pStyle w:val="TextBody"/>
        <w:bidi w:val="0"/>
        <w:spacing w:before="0" w:after="0"/>
        <w:ind w:left="0" w:right="0" w:hanging="0"/>
        <w:jc w:val="left"/>
        <w:rPr>
          <w:caps w:val="false"/>
          <w:smallCaps w:val="false"/>
        </w:rPr>
      </w:pPr>
      <w:r>
        <w:rPr>
          <w:caps w:val="false"/>
          <w:smallCaps w:val="false"/>
        </w:rPr>
        <w:t> </w:t>
      </w:r>
      <w:bookmarkStart w:id="526" w:name="xdx_8B1_zXzSrXAGTaY9"/>
      <w:bookmarkEnd w:id="526"/>
      <w:r>
        <w:rPr>
          <w:rFonts w:ascii="Times New Roman;Times;Serif" w:hAnsi="Times New Roman;Times;Serif"/>
          <w:b w:val="false"/>
          <w:i w:val="false"/>
          <w:caps w:val="false"/>
          <w:smallCaps w:val="false"/>
          <w:sz w:val="20"/>
        </w:rPr>
        <w:t>SCHEDULE OF RESTRICTED STOCK UNITS ACTIVITY </w:t>
      </w:r>
    </w:p>
    <w:tbl>
      <w:tblPr>
        <w:tblW w:w="6159" w:type="dxa"/>
        <w:jc w:val="left"/>
        <w:tblInd w:w="0" w:type="dxa"/>
        <w:tblLayout w:type="fixed"/>
        <w:tblCellMar>
          <w:top w:w="0" w:type="dxa"/>
          <w:left w:w="0" w:type="dxa"/>
          <w:bottom w:w="0" w:type="dxa"/>
          <w:right w:w="0" w:type="dxa"/>
        </w:tblCellMar>
      </w:tblPr>
      <w:tblGrid>
        <w:gridCol w:w="2735"/>
        <w:gridCol w:w="60"/>
        <w:gridCol w:w="70"/>
        <w:gridCol w:w="1150"/>
        <w:gridCol w:w="95"/>
        <w:gridCol w:w="60"/>
        <w:gridCol w:w="232"/>
        <w:gridCol w:w="732"/>
        <w:gridCol w:w="60"/>
        <w:gridCol w:w="60"/>
        <w:gridCol w:w="99"/>
        <w:gridCol w:w="731"/>
        <w:gridCol w:w="7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Service-Based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Unvested at January 1, 2025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527" w:name="xdx_98D_eus-gaap--ShareBasedCompensation"/>
            <w:bookmarkEnd w:id="527"/>
          </w:p>
        </w:tc>
        <w:tc>
          <w:tcPr>
            <w:tcW w:w="1150" w:type="dxa"/>
            <w:tcBorders/>
            <w:shd w:fill="CCEEFF" w:val="clear"/>
            <w:vAlign w:val="center"/>
          </w:tcPr>
          <w:p>
            <w:pPr>
              <w:pStyle w:val="TableContents"/>
              <w:bidi w:val="0"/>
              <w:spacing w:before="0" w:after="283"/>
              <w:jc w:val="right"/>
              <w:rPr/>
            </w:pPr>
            <w:r>
              <w:rPr/>
              <w:t>988,102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bookmarkStart w:id="528" w:name="xdx_98C_eus-gaap--ShareBasedCompensation"/>
            <w:bookmarkEnd w:id="528"/>
          </w:p>
        </w:tc>
        <w:tc>
          <w:tcPr>
            <w:tcW w:w="732" w:type="dxa"/>
            <w:tcBorders/>
            <w:shd w:fill="CCEEFF" w:val="clear"/>
            <w:vAlign w:val="center"/>
          </w:tcPr>
          <w:p>
            <w:pPr>
              <w:pStyle w:val="TableContents"/>
              <w:bidi w:val="0"/>
              <w:spacing w:before="0" w:after="283"/>
              <w:jc w:val="right"/>
              <w:rPr/>
            </w:pPr>
            <w:r>
              <w:rPr/>
              <w:t>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bookmarkStart w:id="529" w:name="xdx_90A_eus-gaap--ShareBasedCompensation"/>
            <w:bookmarkEnd w:id="529"/>
            <w:r>
              <w:rPr/>
              <w:t>3.67</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Granted - service based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530" w:name="xdx_981_eus-gaap--ShareBasedCompensation"/>
            <w:bookmarkEnd w:id="530"/>
          </w:p>
        </w:tc>
        <w:tc>
          <w:tcPr>
            <w:tcW w:w="1150" w:type="dxa"/>
            <w:tcBorders/>
            <w:shd w:fill="FFFFFF" w:val="clear"/>
            <w:vAlign w:val="center"/>
          </w:tcPr>
          <w:p>
            <w:pPr>
              <w:pStyle w:val="TableContents"/>
              <w:bidi w:val="0"/>
              <w:spacing w:before="0" w:after="283"/>
              <w:jc w:val="right"/>
              <w:rPr/>
            </w:pPr>
            <w:r>
              <w:rPr/>
              <w:t>585,359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bookmarkStart w:id="531" w:name="xdx_987_eus-gaap--ShareBasedCompensation"/>
            <w:bookmarkEnd w:id="531"/>
          </w:p>
        </w:tc>
        <w:tc>
          <w:tcPr>
            <w:tcW w:w="732" w:type="dxa"/>
            <w:tcBorders/>
            <w:shd w:fill="FFFFFF" w:val="cle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532" w:name="xdx_98A_eus-gaap--ShareBasedCompensation"/>
            <w:bookmarkEnd w:id="532"/>
          </w:p>
        </w:tc>
        <w:tc>
          <w:tcPr>
            <w:tcW w:w="1150" w:type="dxa"/>
            <w:tcBorders/>
            <w:shd w:fill="CCEEFF" w:val="clear"/>
            <w:vAlign w:val="center"/>
          </w:tcPr>
          <w:p>
            <w:pPr>
              <w:pStyle w:val="TableContents"/>
              <w:bidi w:val="0"/>
              <w:spacing w:before="0" w:after="283"/>
              <w:jc w:val="right"/>
              <w:rPr/>
            </w:pPr>
            <w:r>
              <w:rPr/>
              <w:t>(74,157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bookmarkStart w:id="533" w:name="xdx_983_eus-gaap--ShareBasedCompensation"/>
            <w:bookmarkEnd w:id="533"/>
          </w:p>
        </w:tc>
        <w:tc>
          <w:tcPr>
            <w:tcW w:w="732" w:type="dxa"/>
            <w:tcBorders/>
            <w:shd w:fill="CCEEFF" w:val="clear"/>
            <w:vAlign w:val="center"/>
          </w:tcPr>
          <w:p>
            <w:pPr>
              <w:pStyle w:val="TableContents"/>
              <w:bidi w:val="0"/>
              <w:spacing w:before="0" w:after="283"/>
              <w:jc w:val="right"/>
              <w:rPr/>
            </w:pPr>
            <w:r>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Forfeited and cancelled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4" w:name="xdx_981_eus-gaap--ShareBasedCompensation"/>
            <w:bookmarkEnd w:id="534"/>
          </w:p>
        </w:tc>
        <w:tc>
          <w:tcPr>
            <w:tcW w:w="11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5" w:name="xdx_98E_eus-gaap--ShareBasedCompensation"/>
            <w:bookmarkEnd w:id="535"/>
          </w:p>
        </w:tc>
        <w:tc>
          <w:tcPr>
            <w:tcW w:w="7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Unvested at March 31, 2025</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36" w:name="xdx_98B_eus-gaap--ShareBasedCompensation"/>
            <w:bookmarkEnd w:id="536"/>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pPr>
            <w:r>
              <w:rPr/>
              <w:t>1,499,304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37" w:name="xdx_985_eus-gaap--ShareBasedCompensation"/>
            <w:bookmarkEnd w:id="537"/>
          </w:p>
        </w:tc>
        <w:tc>
          <w:tcPr>
            <w:tcW w:w="732" w:type="dxa"/>
            <w:tcBorders>
              <w:bottom w:val="double" w:sz="6" w:space="0" w:color="000000"/>
            </w:tcBorders>
            <w:shd w:fill="CCEEFF" w:val="clear"/>
            <w:tcMar>
              <w:bottom w:w="28" w:type="dxa"/>
            </w:tcMar>
            <w:vAlign w:val="center"/>
          </w:tcPr>
          <w:p>
            <w:pPr>
              <w:pStyle w:val="TableContents"/>
              <w:bidi w:val="0"/>
              <w:spacing w:before="0" w:after="283"/>
              <w:jc w:val="right"/>
              <w:rPr/>
            </w:pPr>
            <w:r>
              <w:rPr/>
              <w:t>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38" w:name="xdx_908_eus-gaap--ShareBasedCompensation"/>
            <w:bookmarkEnd w:id="538"/>
            <w:r>
              <w:rPr/>
              <w:t>2.47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9" w:name="xdx_8AB_zuFlrGdg9WU5"/>
      <w:bookmarkEnd w:id="53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used the Monte Carlo Simulation Model to value at the grant date the aggregate of </w:t>
      </w:r>
      <w:bookmarkStart w:id="540" w:name="xdx_903_eus-gaap--ShareBasedCompensation"/>
      <w:bookmarkEnd w:id="540"/>
      <w:r>
        <w:rPr>
          <w:rFonts w:ascii="Times New Roman;Times;Serif" w:hAnsi="Times New Roman;Times;Serif"/>
          <w:b w:val="false"/>
          <w:i w:val="false"/>
          <w:caps w:val="false"/>
          <w:smallCaps w:val="false"/>
          <w:sz w:val="20"/>
        </w:rPr>
        <w:t>632,911 market condition performance RSUs granted in January 2024 to the Company’s Chief Executive Officer. The assumptions used in the Monte Carlo Simulation were stock price on the date of grant equal to $</w:t>
      </w:r>
      <w:bookmarkStart w:id="541" w:name="xdx_903_eus-gaap--SharePrice_iI_c2025033"/>
      <w:bookmarkEnd w:id="541"/>
      <w:r>
        <w:rPr>
          <w:rFonts w:ascii="Times New Roman;Times;Serif" w:hAnsi="Times New Roman;Times;Serif"/>
          <w:b w:val="false"/>
          <w:i w:val="false"/>
          <w:caps w:val="false"/>
          <w:smallCaps w:val="false"/>
          <w:sz w:val="20"/>
        </w:rPr>
        <w:t xml:space="preserve">3.40, a contract term of </w:t>
      </w:r>
      <w:bookmarkStart w:id="542" w:name="xdx_906_eus-gaap--SharebasedCompensation"/>
      <w:bookmarkEnd w:id="542"/>
      <w:r>
        <w:rPr>
          <w:rFonts w:ascii="Times New Roman;Times;Serif" w:hAnsi="Times New Roman;Times;Serif"/>
          <w:b w:val="false"/>
          <w:i w:val="false"/>
          <w:caps w:val="false"/>
          <w:smallCaps w:val="false"/>
          <w:sz w:val="20"/>
        </w:rPr>
        <w:t xml:space="preserve">10 years, expected volatility of </w:t>
      </w:r>
      <w:bookmarkStart w:id="543" w:name="xdx_907_eus-gaap--ShareBasedCompensation"/>
      <w:bookmarkEnd w:id="543"/>
      <w:r>
        <w:rPr>
          <w:rFonts w:ascii="Times New Roman;Times;Serif" w:hAnsi="Times New Roman;Times;Serif"/>
          <w:b w:val="false"/>
          <w:i w:val="false"/>
          <w:caps w:val="false"/>
          <w:smallCaps w:val="false"/>
          <w:sz w:val="20"/>
        </w:rPr>
        <w:t xml:space="preserve">78% and risk-free interest rate of </w:t>
      </w:r>
      <w:bookmarkStart w:id="544" w:name="xdx_904_eus-gaap--ShareBasedCompensation"/>
      <w:bookmarkEnd w:id="544"/>
      <w:r>
        <w:rPr>
          <w:rFonts w:ascii="Times New Roman;Times;Serif" w:hAnsi="Times New Roman;Times;Serif"/>
          <w:b w:val="false"/>
          <w:i w:val="false"/>
          <w:caps w:val="false"/>
          <w:smallCaps w:val="false"/>
          <w:sz w:val="20"/>
        </w:rPr>
        <w:t>4.10%. Vesting is based on sustained market capitalization of $</w:t>
      </w:r>
      <w:bookmarkStart w:id="545" w:name="xdx_905_ecustom--MarketCapital_iI_pn9n9_"/>
      <w:bookmarkEnd w:id="545"/>
      <w:r>
        <w:rPr>
          <w:rFonts w:ascii="Times New Roman;Times;Serif" w:hAnsi="Times New Roman;Times;Serif"/>
          <w:b w:val="false"/>
          <w:i w:val="false"/>
          <w:caps w:val="false"/>
          <w:smallCaps w:val="false"/>
          <w:sz w:val="20"/>
        </w:rPr>
        <w:t xml:space="preserve">1 billion, and the derived service period is </w:t>
      </w:r>
      <w:bookmarkStart w:id="546" w:name="xdx_90C_ecustom--ShareBasedCompensationA"/>
      <w:bookmarkEnd w:id="546"/>
      <w:r>
        <w:rPr>
          <w:rFonts w:ascii="Times New Roman;Times;Serif" w:hAnsi="Times New Roman;Times;Serif"/>
          <w:b w:val="false"/>
          <w:i w:val="false"/>
          <w:caps w:val="false"/>
          <w:smallCaps w:val="false"/>
          <w:sz w:val="20"/>
        </w:rPr>
        <w:t>4.3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 expense was $</w:t>
      </w:r>
      <w:bookmarkStart w:id="547" w:name="xdx_903_eus-gaap--AllocatedShareBasedCom"/>
      <w:bookmarkEnd w:id="547"/>
      <w:r>
        <w:rPr>
          <w:rFonts w:ascii="Times New Roman;Times;Serif" w:hAnsi="Times New Roman;Times;Serif"/>
          <w:b w:val="false"/>
          <w:i w:val="false"/>
          <w:caps w:val="false"/>
          <w:smallCaps w:val="false"/>
          <w:sz w:val="20"/>
        </w:rPr>
        <w:t>1,278 and $</w:t>
      </w:r>
      <w:bookmarkStart w:id="548" w:name="xdx_901_eus-gaap--AllocatedShareBasedCom"/>
      <w:bookmarkEnd w:id="548"/>
      <w:r>
        <w:rPr>
          <w:rFonts w:ascii="Times New Roman;Times;Serif" w:hAnsi="Times New Roman;Times;Serif"/>
          <w:b w:val="false"/>
          <w:i w:val="false"/>
          <w:caps w:val="false"/>
          <w:smallCaps w:val="false"/>
          <w:sz w:val="20"/>
        </w:rPr>
        <w:t>191 for the three months ended March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9" w:name="xdx_89D_eus-gaap--DisclosureOfShareBased"/>
      <w:bookmarkEnd w:id="549"/>
      <w:r>
        <w:rPr>
          <w:rFonts w:ascii="Times New Roman;Times;Serif" w:hAnsi="Times New Roman;Times;Serif"/>
          <w:b w:val="false"/>
          <w:i w:val="false"/>
          <w:caps w:val="false"/>
          <w:smallCaps w:val="false"/>
          <w:sz w:val="20"/>
        </w:rPr>
        <w:t>The Company recorded share-based compensation for options and RSUs in its statements of operations for the relevant periods as follows:</w:t>
      </w:r>
    </w:p>
    <w:p>
      <w:pPr>
        <w:pStyle w:val="TextBody"/>
        <w:bidi w:val="0"/>
        <w:spacing w:before="0" w:after="0"/>
        <w:ind w:left="0" w:right="0" w:hanging="0"/>
        <w:jc w:val="left"/>
        <w:rPr>
          <w:caps w:val="false"/>
          <w:smallCaps w:val="false"/>
        </w:rPr>
      </w:pPr>
      <w:r>
        <w:rPr>
          <w:caps w:val="false"/>
          <w:smallCaps w:val="false"/>
        </w:rPr>
        <w:t> </w:t>
      </w:r>
      <w:bookmarkStart w:id="550" w:name="xdx_8BC_zk5xMzzr1Se5"/>
      <w:bookmarkEnd w:id="550"/>
      <w:r>
        <w:rPr>
          <w:rFonts w:ascii="Times New Roman;Times;Serif" w:hAnsi="Times New Roman;Times;Serif"/>
          <w:b w:val="false"/>
          <w:i w:val="false"/>
          <w:caps w:val="false"/>
          <w:smallCaps w:val="false"/>
          <w:sz w:val="20"/>
        </w:rPr>
        <w:t>SCHEDULE OF SHARE-BASED COMPENSATION FOR OPTIONS AND RESTRICTED STOCK UNITS </w:t>
      </w:r>
    </w:p>
    <w:tbl>
      <w:tblPr>
        <w:tblW w:w="6128" w:type="dxa"/>
        <w:jc w:val="left"/>
        <w:tblInd w:w="0" w:type="dxa"/>
        <w:tblLayout w:type="fixed"/>
        <w:tblCellMar>
          <w:top w:w="0" w:type="dxa"/>
          <w:left w:w="0" w:type="dxa"/>
          <w:bottom w:w="0" w:type="dxa"/>
          <w:right w:w="0" w:type="dxa"/>
        </w:tblCellMar>
      </w:tblPr>
      <w:tblGrid>
        <w:gridCol w:w="3290"/>
        <w:gridCol w:w="60"/>
        <w:gridCol w:w="282"/>
        <w:gridCol w:w="1130"/>
        <w:gridCol w:w="121"/>
        <w:gridCol w:w="121"/>
        <w:gridCol w:w="282"/>
        <w:gridCol w:w="767"/>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1" w:name="xdx_496_20250101__20250331_zKDkZUsPLbk7"/>
            <w:bookmarkEnd w:id="551"/>
          </w:p>
        </w:tc>
        <w:tc>
          <w:tcPr>
            <w:tcW w:w="14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bookmarkStart w:id="552" w:name="xdx_490_20240101__20240331_zcuvl9vJNqPg"/>
            <w:bookmarkEnd w:id="552"/>
          </w:p>
        </w:tc>
        <w:tc>
          <w:tcPr>
            <w:tcW w:w="10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3" w:type="dxa"/>
            <w:gridSpan w:val="6"/>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53" w:name="xdx_408_eus-gaap--AllocatedShareBasedCom"/>
            <w:bookmarkEnd w:id="553"/>
          </w:p>
        </w:tc>
      </w:tr>
      <w:tr>
        <w:trPr/>
        <w:tc>
          <w:tcPr>
            <w:tcW w:w="32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1,603</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767" w:type="dxa"/>
            <w:tcBorders/>
            <w:shd w:fill="CCEEFF" w:val="clear"/>
            <w:vAlign w:val="center"/>
          </w:tcPr>
          <w:p>
            <w:pPr>
              <w:pStyle w:val="TableContents"/>
              <w:bidi w:val="0"/>
              <w:spacing w:before="0" w:after="283"/>
              <w:jc w:val="right"/>
              <w:rPr/>
            </w:pPr>
            <w:r>
              <w:rPr/>
              <w:t>647</w:t>
            </w:r>
          </w:p>
        </w:tc>
        <w:tc>
          <w:tcPr>
            <w:tcW w:w="75" w:type="dxa"/>
            <w:tcBorders/>
            <w:shd w:fill="CCEEFF" w:val="clear"/>
            <w:vAlign w:val="center"/>
          </w:tcPr>
          <w:p>
            <w:pPr>
              <w:pStyle w:val="TableContents"/>
              <w:bidi w:val="0"/>
              <w:spacing w:before="0" w:after="283"/>
              <w:jc w:val="left"/>
              <w:rPr/>
            </w:pPr>
            <w:r>
              <w:rPr/>
              <w:t> </w:t>
            </w:r>
            <w:bookmarkStart w:id="554" w:name="xdx_40C_eus-gaap--AllocatedShareBasedCom"/>
            <w:bookmarkEnd w:id="554"/>
          </w:p>
        </w:tc>
      </w:tr>
      <w:tr>
        <w:trPr/>
        <w:tc>
          <w:tcPr>
            <w:tcW w:w="32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62</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pPr>
            <w:r>
              <w:rPr/>
              <w:t>28</w:t>
            </w:r>
          </w:p>
        </w:tc>
        <w:tc>
          <w:tcPr>
            <w:tcW w:w="75" w:type="dxa"/>
            <w:tcBorders/>
            <w:shd w:fill="FFFFFF" w:val="clear"/>
            <w:vAlign w:val="center"/>
          </w:tcPr>
          <w:p>
            <w:pPr>
              <w:pStyle w:val="TableContents"/>
              <w:bidi w:val="0"/>
              <w:spacing w:before="0" w:after="283"/>
              <w:jc w:val="left"/>
              <w:rPr/>
            </w:pPr>
            <w:r>
              <w:rPr/>
              <w:t> </w:t>
            </w:r>
            <w:bookmarkStart w:id="555" w:name="xdx_406_eus-gaap--AllocatedShareBasedCom"/>
            <w:bookmarkEnd w:id="555"/>
          </w:p>
        </w:tc>
      </w:tr>
      <w:tr>
        <w:trPr/>
        <w:tc>
          <w:tcPr>
            <w:tcW w:w="3290" w:type="dxa"/>
            <w:tcBorders/>
            <w:shd w:fill="CCEEFF" w:val="clear"/>
            <w:vAlign w:val="center"/>
          </w:tcPr>
          <w:p>
            <w:pPr>
              <w:pStyle w:val="TableContents"/>
              <w:bidi w:val="0"/>
              <w:spacing w:before="0" w:after="283"/>
              <w:jc w:val="left"/>
              <w:rPr/>
            </w:pPr>
            <w:r>
              <w:rPr/>
              <w:t>Total share-based expense</w:t>
            </w:r>
          </w:p>
        </w:tc>
        <w:tc>
          <w:tcPr>
            <w:tcW w:w="6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1,665</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jc w:val="right"/>
              <w:rPr/>
            </w:pPr>
            <w:r>
              <w:rPr/>
              <w:t>675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6" w:name="xdx_8A1_zvNGMhbCiGY3"/>
      <w:bookmarkEnd w:id="55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total estimated compensation cost of stock options granted and outstanding but not yet vested was $</w:t>
      </w:r>
      <w:bookmarkStart w:id="557" w:name="xdx_908_eus-gaap--EmployeeServiceShareBa"/>
      <w:bookmarkEnd w:id="557"/>
      <w:r>
        <w:rPr>
          <w:rFonts w:ascii="Times New Roman;Times;Serif" w:hAnsi="Times New Roman;Times;Serif"/>
          <w:b w:val="false"/>
          <w:i w:val="false"/>
          <w:caps w:val="false"/>
          <w:smallCaps w:val="false"/>
          <w:sz w:val="20"/>
        </w:rPr>
        <w:t xml:space="preserve">5,304 which is expected to be recognized over the weighted average period of </w:t>
      </w:r>
      <w:bookmarkStart w:id="558" w:name="xdx_90B_eus-gaap--EmployeeServiceShareBa"/>
      <w:bookmarkEnd w:id="558"/>
      <w:r>
        <w:rPr>
          <w:rFonts w:ascii="Times New Roman;Times;Serif" w:hAnsi="Times New Roman;Times;Serif"/>
          <w:b w:val="false"/>
          <w:i w:val="false"/>
          <w:caps w:val="false"/>
          <w:smallCaps w:val="false"/>
          <w:sz w:val="20"/>
        </w:rPr>
        <w:t>3.03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total estimated compensation cost of RSUs granted and outstanding but not yet vested was $</w:t>
      </w:r>
      <w:bookmarkStart w:id="559" w:name="xdx_904_eus-gaap--EmployeeServiceShareBa"/>
      <w:bookmarkEnd w:id="559"/>
      <w:r>
        <w:rPr>
          <w:rFonts w:ascii="Times New Roman;Times;Serif" w:hAnsi="Times New Roman;Times;Serif"/>
          <w:b w:val="false"/>
          <w:i w:val="false"/>
          <w:caps w:val="false"/>
          <w:smallCaps w:val="false"/>
          <w:sz w:val="20"/>
        </w:rPr>
        <w:t xml:space="preserve">1,540, which is expected to be recognized over the weighted average period of </w:t>
      </w:r>
      <w:bookmarkStart w:id="560" w:name="xdx_907_eus-gaap--EmployeeServiceShareBa"/>
      <w:bookmarkEnd w:id="560"/>
      <w:r>
        <w:rPr>
          <w:rFonts w:ascii="Times New Roman;Times;Serif" w:hAnsi="Times New Roman;Times;Serif"/>
          <w:b w:val="false"/>
          <w:i w:val="false"/>
          <w:caps w:val="false"/>
          <w:smallCaps w:val="false"/>
          <w:sz w:val="20"/>
        </w:rPr>
        <w:t>2.73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1" w:name="xdx_802_eus-gaap--DefinedContributionPla"/>
      <w:bookmarkEnd w:id="561"/>
      <w:r>
        <w:rPr>
          <w:rFonts w:ascii="Times New Roman;Times;Serif" w:hAnsi="Times New Roman;Times;Serif"/>
          <w:b/>
          <w:i w:val="false"/>
          <w:caps w:val="false"/>
          <w:smallCaps w:val="false"/>
          <w:sz w:val="20"/>
        </w:rPr>
        <w:t xml:space="preserve">12. </w:t>
      </w:r>
      <w:bookmarkStart w:id="562" w:name="xdx_82F_zggVVdZq7nWf"/>
      <w:bookmarkEnd w:id="562"/>
      <w:r>
        <w:rPr>
          <w:rFonts w:ascii="Times New Roman;Times;Serif" w:hAnsi="Times New Roman;Times;Serif"/>
          <w:b/>
          <w:i w:val="false"/>
          <w:caps w:val="false"/>
          <w:smallCaps w:val="false"/>
          <w:sz w:val="20"/>
        </w:rPr>
        <w:t>DEFINED CONTRIBUTION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defined contribution savings plan for all eligible U.S. employees established under the provisions of Section 401(k) of the Internal Revenue Code. This plan was formed on January 1, 2022. Eligible employees may contribute a percentage of their salary subject to certain limitations. The Company’s contributions for each of the three months ended March 31, 2025 and 2024 was $</w:t>
      </w:r>
      <w:bookmarkStart w:id="563" w:name="xdx_90D_eus-gaap--DefinedBenefitPlanCont"/>
      <w:bookmarkStart w:id="564" w:name="xdx_90B_eus-gaap--DefinedBenefitPlanCont"/>
      <w:bookmarkEnd w:id="563"/>
      <w:bookmarkEnd w:id="564"/>
      <w:r>
        <w:rPr>
          <w:rFonts w:ascii="Times New Roman;Times;Serif" w:hAnsi="Times New Roman;Times;Serif"/>
          <w:b w:val="false"/>
          <w:i w:val="false"/>
          <w:caps w:val="false"/>
          <w:smallCaps w:val="false"/>
          <w:sz w:val="20"/>
        </w:rPr>
        <w:t>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bookmarkStart w:id="565" w:name="xdx_809_eus-gaap--CommitmentsAndContinge"/>
      <w:bookmarkEnd w:id="565"/>
      <w:r>
        <w:rPr>
          <w:rFonts w:ascii="Times New Roman;Times;Serif" w:hAnsi="Times New Roman;Times;Serif"/>
          <w:b/>
          <w:i w:val="false"/>
          <w:caps w:val="false"/>
          <w:smallCaps w:val="false"/>
          <w:sz w:val="20"/>
        </w:rPr>
        <w:t xml:space="preserve">13. </w:t>
      </w:r>
      <w:bookmarkStart w:id="566" w:name="xdx_820_zWEl927Cztu5"/>
      <w:bookmarkEnd w:id="56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Party Technology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obligated to pay royalties and development and patent costs pursuant to the License Agreement dated as of September 30, 2016, with Syzygy, a company owned and controlled by stockholder and consultant to the Company, Mr. Elwood Norris, and Mr. James Barnes, a stockholder of the Company and consultant to the Company. The agreement provides for royalty payments of </w:t>
      </w:r>
      <w:bookmarkStart w:id="567" w:name="xdx_909_ecustom--RoyaltyPaymentsPercenta"/>
      <w:bookmarkEnd w:id="567"/>
      <w:r>
        <w:rPr>
          <w:rFonts w:ascii="Times New Roman;Times;Serif" w:hAnsi="Times New Roman;Times;Serif"/>
          <w:b w:val="false"/>
          <w:i w:val="false"/>
          <w:caps w:val="false"/>
          <w:smallCaps w:val="false"/>
          <w:sz w:val="20"/>
        </w:rPr>
        <w:t>4% of revenue from products employing the licensed ensnarement device technology up to an aggregate of $</w:t>
      </w:r>
      <w:bookmarkStart w:id="568" w:name="xdx_902_ecustom--MaximumRoyaltiesToBePai"/>
      <w:bookmarkEnd w:id="568"/>
      <w:r>
        <w:rPr>
          <w:rFonts w:ascii="Times New Roman;Times;Serif" w:hAnsi="Times New Roman;Times;Serif"/>
          <w:b w:val="false"/>
          <w:i w:val="false"/>
          <w:caps w:val="false"/>
          <w:smallCaps w:val="false"/>
          <w:sz w:val="20"/>
        </w:rPr>
        <w:t>1,000 in royalties or until September 30, 2026</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whichever occurs earlier. The Company recorded $</w:t>
      </w:r>
      <w:bookmarkStart w:id="569" w:name="xdx_90F_eus-gaap--RoyaltyExpense_pn3n3_c"/>
      <w:bookmarkEnd w:id="569"/>
      <w:r>
        <w:rPr>
          <w:rFonts w:ascii="Times New Roman;Times;Serif" w:hAnsi="Times New Roman;Times;Serif"/>
          <w:b w:val="false"/>
          <w:i w:val="false"/>
          <w:caps w:val="false"/>
          <w:smallCaps w:val="false"/>
          <w:sz w:val="20"/>
        </w:rPr>
        <w:t>0 and $</w:t>
      </w:r>
      <w:bookmarkStart w:id="570" w:name="xdx_906_eus-gaap--RoyaltyExpense_pn3n3_c"/>
      <w:bookmarkEnd w:id="570"/>
      <w:r>
        <w:rPr>
          <w:rFonts w:ascii="Times New Roman;Times;Serif" w:hAnsi="Times New Roman;Times;Serif"/>
          <w:b w:val="false"/>
          <w:i w:val="false"/>
          <w:caps w:val="false"/>
          <w:smallCaps w:val="false"/>
          <w:sz w:val="20"/>
        </w:rPr>
        <w:t>46 for the three months ended March 31, 2025 and 2024, respectively, related to such royalties. The maximum payout was satisfied as of June 30,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was committed for approximately $</w:t>
      </w:r>
      <w:bookmarkStart w:id="571" w:name="xdx_904_eus-gaap--ContractualObligation_"/>
      <w:bookmarkEnd w:id="571"/>
      <w:r>
        <w:rPr>
          <w:rFonts w:ascii="Times New Roman;Times;Serif" w:hAnsi="Times New Roman;Times;Serif"/>
          <w:b w:val="false"/>
          <w:i w:val="false"/>
          <w:caps w:val="false"/>
          <w:smallCaps w:val="false"/>
          <w:sz w:val="20"/>
        </w:rPr>
        <w:t>509 for future component deliveries that are generally subject to modification or rescheduling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Indemnifications and Guarantees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and directors are indemnified as to personal liability as provided by Delaware law and the Company’s articles of incorporation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Regulatory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oversight from regulatory agencies regarding firearms that arise in the ordinary course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litigation and other claims in the ordinary course of business. The Company records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As of March 31, 2025, the Company had no provision for liability under existing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bookmarkStart w:id="572" w:name="xdx_805_eus-gaap--RelatedPartyTransactio"/>
      <w:bookmarkEnd w:id="572"/>
      <w:r>
        <w:rPr>
          <w:rFonts w:ascii="Times New Roman;Times;Serif" w:hAnsi="Times New Roman;Times;Serif"/>
          <w:b/>
          <w:i w:val="false"/>
          <w:caps w:val="false"/>
          <w:smallCaps w:val="false"/>
          <w:sz w:val="20"/>
        </w:rPr>
        <w:t xml:space="preserve">14. </w:t>
      </w:r>
      <w:bookmarkStart w:id="573" w:name="xdx_82F_zF0NSRQBryc8"/>
      <w:bookmarkEnd w:id="573"/>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29, 2023, the Company entered into the Series A Purchase Agreement with certain investors, including Scot Cohen, the Company’s Chief Executive Officer, and V4 Global LLC (“V4”). Mr. Cohen has voting and dispositive control with respect to the securities and is deemed to be the beneficial owner of the securities held by V4. Pursuant to the Series A Purchase Agreement, the Company issued Mr. Cohen and V4 an aggregate of </w:t>
      </w:r>
      <w:bookmarkStart w:id="574" w:name="xdx_90A_eus-gaap--StockIssuedDuringPerio"/>
      <w:bookmarkEnd w:id="574"/>
      <w:r>
        <w:rPr>
          <w:rFonts w:ascii="Times New Roman;Times;Serif" w:hAnsi="Times New Roman;Times;Serif"/>
          <w:b w:val="false"/>
          <w:i w:val="false"/>
          <w:caps w:val="false"/>
          <w:smallCaps w:val="false"/>
          <w:sz w:val="20"/>
        </w:rPr>
        <w:t xml:space="preserve">3,000 shares of Series A Preferred Stock and Series A Warrants to purchase up to an aggregate of </w:t>
      </w:r>
      <w:bookmarkStart w:id="575" w:name="xdx_909_eus-gaap--ClassOfWarrantOrRightN"/>
      <w:bookmarkEnd w:id="575"/>
      <w:r>
        <w:rPr>
          <w:rFonts w:ascii="Times New Roman;Times;Serif" w:hAnsi="Times New Roman;Times;Serif"/>
          <w:b w:val="false"/>
          <w:i w:val="false"/>
          <w:caps w:val="false"/>
          <w:smallCaps w:val="false"/>
          <w:sz w:val="20"/>
        </w:rPr>
        <w:t>2,068,966 shares of Common Stock for aggregate gross proceeds of $</w:t>
      </w:r>
      <w:bookmarkStart w:id="576" w:name="xdx_908_eus-gaap--ProceedsFromIssuanceOr"/>
      <w:bookmarkEnd w:id="576"/>
      <w:r>
        <w:rPr>
          <w:rFonts w:ascii="Times New Roman;Times;Serif" w:hAnsi="Times New Roman;Times;Serif"/>
          <w:b w:val="false"/>
          <w:i w:val="false"/>
          <w:caps w:val="false"/>
          <w:smallCaps w:val="false"/>
          <w:sz w:val="20"/>
        </w:rPr>
        <w:t>3,000. For the three months ended March 31, 2025, Mr. Cohen earned dividends totaling $</w:t>
      </w:r>
      <w:bookmarkStart w:id="577" w:name="xdx_90E_eus-gaap--Dividends_pn3n3_c20250"/>
      <w:bookmarkEnd w:id="577"/>
      <w:r>
        <w:rPr>
          <w:rFonts w:ascii="Times New Roman;Times;Serif" w:hAnsi="Times New Roman;Times;Serif"/>
          <w:b w:val="false"/>
          <w:i w:val="false"/>
          <w:caps w:val="false"/>
          <w:smallCaps w:val="false"/>
          <w:sz w:val="20"/>
        </w:rPr>
        <w:t>60 on his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in October 2017, the Company began reimbursing Mr. Elwood Norris, a former officer, current 5% or more stockholder and consultant of the Company, $</w:t>
      </w:r>
      <w:bookmarkStart w:id="578" w:name="xdx_90D_ecustom--ReimbursementOfExpenses"/>
      <w:bookmarkEnd w:id="578"/>
      <w:r>
        <w:rPr>
          <w:rFonts w:ascii="Times New Roman;Times;Serif" w:hAnsi="Times New Roman;Times;Serif"/>
          <w:b w:val="false"/>
          <w:i w:val="false"/>
          <w:caps w:val="false"/>
          <w:smallCaps w:val="false"/>
          <w:sz w:val="20"/>
        </w:rPr>
        <w:t>1.5 per month on a month-to-month basis for laboratory facility costs, which was terminated in January 2024 and $</w:t>
      </w:r>
      <w:bookmarkStart w:id="579" w:name="xdx_904_ecustom--ConsultingFeesToRelated"/>
      <w:bookmarkEnd w:id="579"/>
      <w:r>
        <w:rPr>
          <w:rFonts w:ascii="Times New Roman;Times;Serif" w:hAnsi="Times New Roman;Times;Serif"/>
          <w:b w:val="false"/>
          <w:i w:val="false"/>
          <w:caps w:val="false"/>
          <w:smallCaps w:val="false"/>
          <w:sz w:val="20"/>
        </w:rPr>
        <w:t>7.5 per month on a month-to month basis for invention consulting services, which was terminated in February 2024 for an aggregate of $</w:t>
      </w:r>
      <w:bookmarkStart w:id="580" w:name="xdx_901_eus-gaap--RelatedPartyTransactio"/>
      <w:bookmarkEnd w:id="580"/>
      <w:r>
        <w:rPr>
          <w:rFonts w:ascii="Times New Roman;Times;Serif" w:hAnsi="Times New Roman;Times;Serif"/>
          <w:b w:val="false"/>
          <w:i w:val="false"/>
          <w:caps w:val="false"/>
          <w:smallCaps w:val="false"/>
          <w:sz w:val="20"/>
        </w:rPr>
        <w:t>0 and $</w:t>
      </w:r>
      <w:bookmarkStart w:id="581" w:name="xdx_90A_eus-gaap--RelatedPartyTransactio"/>
      <w:bookmarkEnd w:id="581"/>
      <w:r>
        <w:rPr>
          <w:rFonts w:ascii="Times New Roman;Times;Serif" w:hAnsi="Times New Roman;Times;Serif"/>
          <w:b w:val="false"/>
          <w:i w:val="false"/>
          <w:caps w:val="false"/>
          <w:smallCaps w:val="false"/>
          <w:sz w:val="20"/>
        </w:rPr>
        <w:t>15 during each of the three months ended March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obligated to pay royalties and development and patent costs pursuant to the License Agreement dated September 30, 2016, with Syzygy, a company owned and controlled by a 5% stockholder of the Company, Mr. Elwood Norris, and a former officer of the Company, Mr. James Barnes. The agreement provides for royalty payments of </w:t>
      </w:r>
      <w:bookmarkStart w:id="582" w:name="xdx_902_ecustom--RoyaltyPaymentsPercenta"/>
      <w:bookmarkEnd w:id="582"/>
      <w:r>
        <w:rPr>
          <w:rFonts w:ascii="Times New Roman;Times;Serif" w:hAnsi="Times New Roman;Times;Serif"/>
          <w:b w:val="false"/>
          <w:i w:val="false"/>
          <w:caps w:val="false"/>
          <w:smallCaps w:val="false"/>
          <w:sz w:val="20"/>
        </w:rPr>
        <w:t>4% of revenue from products employing the licensed ensnarement device technology up to an aggregate of $</w:t>
      </w:r>
      <w:bookmarkStart w:id="583" w:name="xdx_909_ecustom--MaximumRoyaltiesToBePai"/>
      <w:bookmarkEnd w:id="583"/>
      <w:r>
        <w:rPr>
          <w:rFonts w:ascii="Times New Roman;Times;Serif" w:hAnsi="Times New Roman;Times;Serif"/>
          <w:b w:val="false"/>
          <w:i w:val="false"/>
          <w:caps w:val="false"/>
          <w:smallCaps w:val="false"/>
          <w:sz w:val="20"/>
        </w:rPr>
        <w:t>1,000 in royalties or until September 30, 2026, whichever occurs earlier. During the three months ended March 31, 2025 and 2024, the Company incurred royalties to Syzygy of $</w:t>
      </w:r>
      <w:bookmarkStart w:id="584" w:name="xdx_907_eus-gaap--RoyaltyExpense_pn3n3_c"/>
      <w:bookmarkEnd w:id="584"/>
      <w:r>
        <w:rPr>
          <w:rFonts w:ascii="Times New Roman;Times;Serif" w:hAnsi="Times New Roman;Times;Serif"/>
          <w:b w:val="false"/>
          <w:i w:val="false"/>
          <w:caps w:val="false"/>
          <w:smallCaps w:val="false"/>
          <w:sz w:val="20"/>
        </w:rPr>
        <w:t>0 and $</w:t>
      </w:r>
      <w:bookmarkStart w:id="585" w:name="xdx_907_eus-gaap--RoyaltyExpense_pn3n3_c"/>
      <w:bookmarkEnd w:id="585"/>
      <w:r>
        <w:rPr>
          <w:rFonts w:ascii="Times New Roman;Times;Serif" w:hAnsi="Times New Roman;Times;Serif"/>
          <w:b w:val="false"/>
          <w:i w:val="false"/>
          <w:caps w:val="false"/>
          <w:smallCaps w:val="false"/>
          <w:sz w:val="20"/>
        </w:rPr>
        <w:t>46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24, 2025, the Company entered into the PIPE Purchase Agreement with certain accredited including: V4 Global, LLC (“V4”), an entity controlled by Mr. Cohen, the Company’s Chief Executive Officer; Continuum Ventures, LLC (“Continuum”), an entity controlled by Jared Novick, the Company’s President and Chief Operating Officer; and Savbo Investments LLC (“Savbo”), an entity controlled by Marc Savas, a member of the Company’s Board, pursuant to which, the Company issued and sold in a private placement an aggregate of </w:t>
      </w:r>
      <w:bookmarkStart w:id="586" w:name="xdx_90D_eus-gaap--SaleOfStockNumberOfSha"/>
      <w:bookmarkEnd w:id="586"/>
      <w:r>
        <w:rPr>
          <w:rFonts w:ascii="Times New Roman;Times;Serif" w:hAnsi="Times New Roman;Times;Serif"/>
          <w:b w:val="false"/>
          <w:i w:val="false"/>
          <w:caps w:val="false"/>
          <w:smallCaps w:val="false"/>
          <w:sz w:val="20"/>
        </w:rPr>
        <w:t>3,216,666 shares of common stock and PIPE Warrants with an exercise price of $</w:t>
      </w:r>
      <w:bookmarkStart w:id="587" w:name="xdx_903_eus-gaap--ClassOfWarrantOrRightE"/>
      <w:bookmarkEnd w:id="587"/>
      <w:r>
        <w:rPr>
          <w:rFonts w:ascii="Times New Roman;Times;Serif" w:hAnsi="Times New Roman;Times;Serif"/>
          <w:b w:val="false"/>
          <w:i w:val="false"/>
          <w:caps w:val="false"/>
          <w:smallCaps w:val="false"/>
          <w:sz w:val="20"/>
        </w:rPr>
        <w:t xml:space="preserve">1.80 per share, to purchase up to </w:t>
      </w:r>
      <w:bookmarkStart w:id="588" w:name="xdx_90E_eus-gaap--SaleOfStockNumberOfSha"/>
      <w:bookmarkEnd w:id="588"/>
      <w:r>
        <w:rPr>
          <w:rFonts w:ascii="Times New Roman;Times;Serif" w:hAnsi="Times New Roman;Times;Serif"/>
          <w:b w:val="false"/>
          <w:i w:val="false"/>
          <w:caps w:val="false"/>
          <w:smallCaps w:val="false"/>
          <w:sz w:val="20"/>
        </w:rPr>
        <w:t xml:space="preserve">3,216,666 shares of Common Stock (the “Private Placement”). Pursuant to the Private Placement, the Company sold to (i) V4 </w:t>
      </w:r>
      <w:bookmarkStart w:id="589" w:name="xdx_909_eus-gaap--SaleOfStockNumberOfSha"/>
      <w:bookmarkEnd w:id="589"/>
      <w:r>
        <w:rPr>
          <w:rFonts w:ascii="Times New Roman;Times;Serif" w:hAnsi="Times New Roman;Times;Serif"/>
          <w:b w:val="false"/>
          <w:i w:val="false"/>
          <w:caps w:val="false"/>
          <w:smallCaps w:val="false"/>
          <w:sz w:val="20"/>
        </w:rPr>
        <w:t xml:space="preserve">1,100,000 shares of Common Stock and PIPE Warrants to purchase up to an aggregate of </w:t>
      </w:r>
      <w:bookmarkStart w:id="590" w:name="xdx_90D_eus-gaap--SaleOfStockNumberOfSha"/>
      <w:bookmarkEnd w:id="590"/>
      <w:r>
        <w:rPr>
          <w:rFonts w:ascii="Times New Roman;Times;Serif" w:hAnsi="Times New Roman;Times;Serif"/>
          <w:b w:val="false"/>
          <w:i w:val="false"/>
          <w:caps w:val="false"/>
          <w:smallCaps w:val="false"/>
          <w:sz w:val="20"/>
        </w:rPr>
        <w:t>1,100,000 shares of Common Stock, for aggregate gross proceeds of $</w:t>
      </w:r>
      <w:bookmarkStart w:id="591" w:name="xdx_907_eus-gaap--ProceedsFromIssuanceOf"/>
      <w:bookmarkEnd w:id="591"/>
      <w:r>
        <w:rPr>
          <w:rFonts w:ascii="Times New Roman;Times;Serif" w:hAnsi="Times New Roman;Times;Serif"/>
          <w:b w:val="false"/>
          <w:i w:val="false"/>
          <w:caps w:val="false"/>
          <w:smallCaps w:val="false"/>
          <w:sz w:val="20"/>
        </w:rPr>
        <w:t xml:space="preserve">1,980, (ii) Continuum an aggregate of </w:t>
      </w:r>
      <w:bookmarkStart w:id="592" w:name="xdx_901_eus-gaap--SaleOfStockNumberOfSha"/>
      <w:bookmarkEnd w:id="592"/>
      <w:r>
        <w:rPr>
          <w:rFonts w:ascii="Times New Roman;Times;Serif" w:hAnsi="Times New Roman;Times;Serif"/>
          <w:b w:val="false"/>
          <w:i w:val="false"/>
          <w:caps w:val="false"/>
          <w:smallCaps w:val="false"/>
          <w:sz w:val="20"/>
        </w:rPr>
        <w:t xml:space="preserve">275,000 shares of Common stock and PIPE Warrants to purchase up to an aggregate of </w:t>
      </w:r>
      <w:bookmarkStart w:id="593" w:name="xdx_90C_eus-gaap--SaleOfStockNumberOfSha"/>
      <w:bookmarkEnd w:id="593"/>
      <w:r>
        <w:rPr>
          <w:rFonts w:ascii="Times New Roman;Times;Serif" w:hAnsi="Times New Roman;Times;Serif"/>
          <w:b w:val="false"/>
          <w:i w:val="false"/>
          <w:caps w:val="false"/>
          <w:smallCaps w:val="false"/>
          <w:sz w:val="20"/>
        </w:rPr>
        <w:t>275,000 shares of Common Stock for aggregate gross proceeds of $</w:t>
      </w:r>
      <w:bookmarkStart w:id="594" w:name="xdx_906_eus-gaap--ProceedsFromIssuanceOf"/>
      <w:bookmarkEnd w:id="594"/>
      <w:r>
        <w:rPr>
          <w:rFonts w:ascii="Times New Roman;Times;Serif" w:hAnsi="Times New Roman;Times;Serif"/>
          <w:b w:val="false"/>
          <w:i w:val="false"/>
          <w:caps w:val="false"/>
          <w:smallCaps w:val="false"/>
          <w:sz w:val="20"/>
        </w:rPr>
        <w:t xml:space="preserve">495 and (iii) Savbo an aggregate of </w:t>
      </w:r>
      <w:bookmarkStart w:id="595" w:name="xdx_903_eus-gaap--SaleOfStockNumberOfSha"/>
      <w:bookmarkEnd w:id="595"/>
      <w:r>
        <w:rPr>
          <w:rFonts w:ascii="Times New Roman;Times;Serif" w:hAnsi="Times New Roman;Times;Serif"/>
          <w:b w:val="false"/>
          <w:i w:val="false"/>
          <w:caps w:val="false"/>
          <w:smallCaps w:val="false"/>
          <w:sz w:val="20"/>
        </w:rPr>
        <w:t xml:space="preserve">50,000 shares of Common stock and PIPE Warrants to purchase up to an aggregate of </w:t>
      </w:r>
      <w:bookmarkStart w:id="596" w:name="xdx_905_eus-gaap--SaleOfStockNumberOfSha"/>
      <w:bookmarkEnd w:id="596"/>
      <w:r>
        <w:rPr>
          <w:rFonts w:ascii="Times New Roman;Times;Serif" w:hAnsi="Times New Roman;Times;Serif"/>
          <w:b w:val="false"/>
          <w:i w:val="false"/>
          <w:caps w:val="false"/>
          <w:smallCaps w:val="false"/>
          <w:sz w:val="20"/>
        </w:rPr>
        <w:t>50,000 shares of Common Stock for aggregate gross proceeds of $</w:t>
      </w:r>
      <w:bookmarkStart w:id="597" w:name="xdx_900_eus-gaap--ProceedsFromIssuanceOf"/>
      <w:bookmarkEnd w:id="597"/>
      <w:r>
        <w:rPr>
          <w:rFonts w:ascii="Times New Roman;Times;Serif" w:hAnsi="Times New Roman;Times;Serif"/>
          <w:b w:val="false"/>
          <w:i w:val="false"/>
          <w:caps w:val="false"/>
          <w:smallCaps w:val="false"/>
          <w:sz w:val="20"/>
        </w:rPr>
        <w:t>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1, 7 and 13 for additional information on related party transactions and obligations.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bookmarkStart w:id="598" w:name="xdx_80E_eus-gaap--ConcentrationRiskDiscl"/>
      <w:bookmarkEnd w:id="598"/>
      <w:r>
        <w:rPr>
          <w:rFonts w:ascii="Times New Roman;Times;Serif" w:hAnsi="Times New Roman;Times;Serif"/>
          <w:b/>
          <w:i w:val="false"/>
          <w:caps w:val="false"/>
          <w:smallCaps w:val="false"/>
          <w:sz w:val="20"/>
        </w:rPr>
        <w:t xml:space="preserve">15. </w:t>
      </w:r>
      <w:bookmarkStart w:id="599" w:name="xdx_827_zmHLezJ4Clk6"/>
      <w:bookmarkEnd w:id="599"/>
      <w:r>
        <w:rPr>
          <w:rFonts w:ascii="Times New Roman;Times;Serif" w:hAnsi="Times New Roman;Times;Serif"/>
          <w:b/>
          <w:i w:val="false"/>
          <w:caps w:val="false"/>
          <w:smallCaps w:val="false"/>
          <w:sz w:val="20"/>
        </w:rPr>
        <w:t>MAJOR CUSTOMERS AND RELATED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March 31, 2025, revenue from </w:t>
      </w:r>
      <w:bookmarkStart w:id="600" w:name="xdx_90C_ecustom--NumberOfMajorCustomers_"/>
      <w:bookmarkEnd w:id="600"/>
      <w:r>
        <w:rPr>
          <w:rFonts w:ascii="Times New Roman;Times;Serif" w:hAnsi="Times New Roman;Times;Serif"/>
          <w:b w:val="false"/>
          <w:i w:val="false"/>
          <w:caps w:val="false"/>
          <w:smallCaps w:val="false"/>
          <w:sz w:val="20"/>
        </w:rPr>
        <w:t xml:space="preserve">three customers accounted for approximately </w:t>
      </w:r>
      <w:bookmarkStart w:id="601" w:name="xdx_90B_eus-gaap--ConcentrationRiskPerce"/>
      <w:bookmarkEnd w:id="601"/>
      <w:r>
        <w:rPr>
          <w:rFonts w:ascii="Times New Roman;Times;Serif" w:hAnsi="Times New Roman;Times;Serif"/>
          <w:b w:val="false"/>
          <w:i w:val="false"/>
          <w:caps w:val="false"/>
          <w:smallCaps w:val="false"/>
          <w:sz w:val="20"/>
        </w:rPr>
        <w:t xml:space="preserve">13%, </w:t>
      </w:r>
      <w:bookmarkStart w:id="602" w:name="xdx_909_eus-gaap--ConcentrationRiskPerce"/>
      <w:bookmarkEnd w:id="602"/>
      <w:r>
        <w:rPr>
          <w:rFonts w:ascii="Times New Roman;Times;Serif" w:hAnsi="Times New Roman;Times;Serif"/>
          <w:b w:val="false"/>
          <w:i w:val="false"/>
          <w:caps w:val="false"/>
          <w:smallCaps w:val="false"/>
          <w:sz w:val="20"/>
        </w:rPr>
        <w:t xml:space="preserve">13% and </w:t>
      </w:r>
      <w:bookmarkStart w:id="603" w:name="xdx_903_eus-gaap--ConcentrationRiskPerce"/>
      <w:bookmarkEnd w:id="603"/>
      <w:r>
        <w:rPr>
          <w:rFonts w:ascii="Times New Roman;Times;Serif" w:hAnsi="Times New Roman;Times;Serif"/>
          <w:b w:val="false"/>
          <w:i w:val="false"/>
          <w:caps w:val="false"/>
          <w:smallCaps w:val="false"/>
          <w:sz w:val="20"/>
        </w:rPr>
        <w:t xml:space="preserve">11% of revenue, respectively, with no other single customer accounting for more than 10% of total revenue. For the three months ended March 31, 2024, revenue from </w:t>
      </w:r>
      <w:bookmarkStart w:id="604" w:name="xdx_90A_ecustom--NumberOfMajorCustomers_"/>
      <w:bookmarkEnd w:id="604"/>
      <w:r>
        <w:rPr>
          <w:rFonts w:ascii="Times New Roman;Times;Serif" w:hAnsi="Times New Roman;Times;Serif"/>
          <w:b w:val="false"/>
          <w:i w:val="false"/>
          <w:caps w:val="false"/>
          <w:smallCaps w:val="false"/>
          <w:sz w:val="20"/>
        </w:rPr>
        <w:t xml:space="preserve">one distributor accounted for approximately </w:t>
      </w:r>
      <w:bookmarkStart w:id="605" w:name="xdx_900_eus-gaap--ConcentrationRiskPerce"/>
      <w:bookmarkEnd w:id="605"/>
      <w:r>
        <w:rPr>
          <w:rFonts w:ascii="Times New Roman;Times;Serif" w:hAnsi="Times New Roman;Times;Serif"/>
          <w:b w:val="false"/>
          <w:i w:val="false"/>
          <w:caps w:val="false"/>
          <w:smallCaps w:val="false"/>
          <w:sz w:val="20"/>
        </w:rPr>
        <w:t xml:space="preserve">68% of revenues, with no other single customer accounting for more than </w:t>
      </w:r>
      <w:bookmarkStart w:id="606" w:name="xdx_90D_eus-gaap--ConcentrationRiskPerce"/>
      <w:bookmarkEnd w:id="606"/>
      <w:r>
        <w:rPr>
          <w:rFonts w:ascii="Times New Roman;Times;Serif" w:hAnsi="Times New Roman;Times;Serif"/>
          <w:b w:val="false"/>
          <w:i w:val="false"/>
          <w:caps w:val="false"/>
          <w:smallCaps w:val="false"/>
          <w:sz w:val="20"/>
        </w:rPr>
        <w:t>10% of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2025, accounts receivable from </w:t>
      </w:r>
      <w:bookmarkStart w:id="607" w:name="xdx_908_ecustom--NumberOfMajorCustomers_"/>
      <w:bookmarkEnd w:id="607"/>
      <w:r>
        <w:rPr>
          <w:rFonts w:ascii="Times New Roman;Times;Serif" w:hAnsi="Times New Roman;Times;Serif"/>
          <w:b w:val="false"/>
          <w:i w:val="false"/>
          <w:caps w:val="false"/>
          <w:smallCaps w:val="false"/>
          <w:sz w:val="20"/>
        </w:rPr>
        <w:t xml:space="preserve">two customers accounted for </w:t>
      </w:r>
      <w:bookmarkStart w:id="608" w:name="xdx_907_eus-gaap--ConcentrationRiskPerce"/>
      <w:bookmarkEnd w:id="608"/>
      <w:r>
        <w:rPr>
          <w:rFonts w:ascii="Times New Roman;Times;Serif" w:hAnsi="Times New Roman;Times;Serif"/>
          <w:b w:val="false"/>
          <w:i w:val="false"/>
          <w:caps w:val="false"/>
          <w:smallCaps w:val="false"/>
          <w:sz w:val="20"/>
        </w:rPr>
        <w:t xml:space="preserve">15% and </w:t>
      </w:r>
      <w:bookmarkStart w:id="609" w:name="xdx_901_eus-gaap--ConcentrationRiskPerce"/>
      <w:bookmarkEnd w:id="609"/>
      <w:r>
        <w:rPr>
          <w:rFonts w:ascii="Times New Roman;Times;Serif" w:hAnsi="Times New Roman;Times;Serif"/>
          <w:b w:val="false"/>
          <w:i w:val="false"/>
          <w:caps w:val="false"/>
          <w:smallCaps w:val="false"/>
          <w:sz w:val="20"/>
        </w:rPr>
        <w:t xml:space="preserve">15% of net accounts receivable with no other single customer accounting for more than </w:t>
      </w:r>
      <w:bookmarkStart w:id="610" w:name="xdx_90C_eus-gaap--ConcentrationRiskPerce"/>
      <w:bookmarkEnd w:id="610"/>
      <w:r>
        <w:rPr>
          <w:rFonts w:ascii="Times New Roman;Times;Serif" w:hAnsi="Times New Roman;Times;Serif"/>
          <w:b w:val="false"/>
          <w:i w:val="false"/>
          <w:caps w:val="false"/>
          <w:smallCaps w:val="false"/>
          <w:sz w:val="20"/>
        </w:rPr>
        <w:t xml:space="preserve">10% of the accounts receivable balance. At December 31, 2024, accounts receivable from </w:t>
      </w:r>
      <w:bookmarkStart w:id="611" w:name="xdx_90C_ecustom--NumberOfMajorCustomers_"/>
      <w:bookmarkEnd w:id="611"/>
      <w:r>
        <w:rPr>
          <w:rFonts w:ascii="Times New Roman;Times;Serif" w:hAnsi="Times New Roman;Times;Serif"/>
          <w:b w:val="false"/>
          <w:i w:val="false"/>
          <w:caps w:val="false"/>
          <w:smallCaps w:val="false"/>
          <w:sz w:val="20"/>
        </w:rPr>
        <w:t xml:space="preserve">one distributor accounted for </w:t>
      </w:r>
      <w:bookmarkStart w:id="612" w:name="xdx_90B_eus-gaap--ConcentrationRiskPerce"/>
      <w:bookmarkEnd w:id="612"/>
      <w:r>
        <w:rPr>
          <w:rFonts w:ascii="Times New Roman;Times;Serif" w:hAnsi="Times New Roman;Times;Serif"/>
          <w:b w:val="false"/>
          <w:i w:val="false"/>
          <w:caps w:val="false"/>
          <w:smallCaps w:val="false"/>
          <w:sz w:val="20"/>
        </w:rPr>
        <w:t xml:space="preserve">68% of net accounts receivable, with no other single customer accounting for more than </w:t>
      </w:r>
      <w:bookmarkStart w:id="613" w:name="xdx_90C_eus-gaap--ConcentrationRiskPerce"/>
      <w:bookmarkEnd w:id="613"/>
      <w:r>
        <w:rPr>
          <w:rFonts w:ascii="Times New Roman;Times;Serif" w:hAnsi="Times New Roman;Times;Serif"/>
          <w:b w:val="false"/>
          <w:i w:val="false"/>
          <w:caps w:val="false"/>
          <w:smallCaps w:val="false"/>
          <w:sz w:val="20"/>
        </w:rPr>
        <w:t>10% of the accounts receivable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4" w:name="xdx_898_eus-gaap--DisaggregationOfRevenu"/>
      <w:bookmarkEnd w:id="614"/>
      <w:r>
        <w:rPr>
          <w:rFonts w:ascii="Times New Roman;Times;Serif" w:hAnsi="Times New Roman;Times;Serif"/>
          <w:b w:val="false"/>
          <w:i w:val="false"/>
          <w:caps w:val="false"/>
          <w:smallCaps w:val="false"/>
          <w:sz w:val="20"/>
        </w:rPr>
        <w:t>The following table summarizes revenue by geographic region. Revenue is attributed to countries based on customer’s delivery location:</w:t>
      </w:r>
    </w:p>
    <w:p>
      <w:pPr>
        <w:pStyle w:val="TextBody"/>
        <w:bidi w:val="0"/>
        <w:spacing w:before="0" w:after="0"/>
        <w:ind w:left="0" w:right="0" w:hanging="0"/>
        <w:jc w:val="both"/>
        <w:rPr>
          <w:caps w:val="false"/>
          <w:smallCaps w:val="false"/>
        </w:rPr>
      </w:pPr>
      <w:r>
        <w:rPr>
          <w:caps w:val="false"/>
          <w:smallCaps w:val="false"/>
        </w:rPr>
        <w:t> </w:t>
      </w:r>
      <w:bookmarkStart w:id="615" w:name="xdx_8B5_zXFM6nmqqTIe"/>
      <w:bookmarkEnd w:id="615"/>
      <w:r>
        <w:rPr>
          <w:rFonts w:ascii="Times New Roman;Times;Serif" w:hAnsi="Times New Roman;Times;Serif"/>
          <w:b w:val="false"/>
          <w:i w:val="false"/>
          <w:caps w:val="false"/>
          <w:smallCaps w:val="false"/>
          <w:sz w:val="20"/>
        </w:rPr>
        <w:t>SCHEDULE OF DISAGGREGATION OF REVENUE </w:t>
      </w:r>
    </w:p>
    <w:tbl>
      <w:tblPr>
        <w:tblW w:w="5466" w:type="dxa"/>
        <w:jc w:val="left"/>
        <w:tblInd w:w="0" w:type="dxa"/>
        <w:tblLayout w:type="fixed"/>
        <w:tblCellMar>
          <w:top w:w="0" w:type="dxa"/>
          <w:left w:w="0" w:type="dxa"/>
          <w:bottom w:w="0" w:type="dxa"/>
          <w:right w:w="0" w:type="dxa"/>
        </w:tblCellMar>
      </w:tblPr>
      <w:tblGrid>
        <w:gridCol w:w="3050"/>
        <w:gridCol w:w="60"/>
        <w:gridCol w:w="238"/>
        <w:gridCol w:w="647"/>
        <w:gridCol w:w="102"/>
        <w:gridCol w:w="102"/>
        <w:gridCol w:w="238"/>
        <w:gridCol w:w="954"/>
        <w:gridCol w:w="75"/>
      </w:tblGrid>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6" w:name="xdx_49C_20250101__20250331_zq83YdfUIxt8"/>
            <w:bookmarkEnd w:id="616"/>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bookmarkStart w:id="617" w:name="xdx_49E_20240101__20240331_zJLpQsmQZ0O3"/>
            <w:bookmarkEnd w:id="617"/>
          </w:p>
        </w:tc>
        <w:tc>
          <w:tcPr>
            <w:tcW w:w="11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1" w:type="dxa"/>
            <w:gridSpan w:val="6"/>
            <w:tcBorders/>
            <w:vAlign w:val="center"/>
          </w:tcPr>
          <w:p>
            <w:pPr>
              <w:pStyle w:val="TableContents"/>
              <w:bidi w:val="0"/>
              <w:spacing w:before="0" w:after="283"/>
              <w:jc w:val="center"/>
              <w:rPr>
                <w:b/>
              </w:rPr>
            </w:pPr>
            <w:r>
              <w:rPr>
                <w:b/>
              </w:rPr>
              <w:t>For the Three Months</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1" w:type="dxa"/>
            <w:gridSpan w:val="6"/>
            <w:tcBorders/>
            <w:vAlign w:val="center"/>
          </w:tcPr>
          <w:p>
            <w:pPr>
              <w:pStyle w:val="TableContents"/>
              <w:bidi w:val="0"/>
              <w:spacing w:before="0" w:after="283"/>
              <w:jc w:val="center"/>
              <w:rPr>
                <w:b/>
              </w:rPr>
            </w:pPr>
            <w:r>
              <w:rPr>
                <w:b/>
              </w:rPr>
              <w:t>Ended March 31,</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18" w:name="xdx_40E_eus-gaap--Revenues_pn3n3_hsrt--S"/>
            <w:bookmarkEnd w:id="618"/>
          </w:p>
        </w:tc>
      </w:tr>
      <w:tr>
        <w:trPr/>
        <w:tc>
          <w:tcPr>
            <w:tcW w:w="3050" w:type="dxa"/>
            <w:tcBorders/>
            <w:shd w:fill="CCEEFF" w:val="clear"/>
            <w:vAlign w:val="center"/>
          </w:tcPr>
          <w:p>
            <w:pPr>
              <w:pStyle w:val="TableContents"/>
              <w:bidi w:val="0"/>
              <w:spacing w:before="0" w:after="283"/>
              <w:jc w:val="left"/>
              <w:rPr/>
            </w:pPr>
            <w:r>
              <w:rPr/>
              <w:t>Americas</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647" w:type="dxa"/>
            <w:tcBorders/>
            <w:shd w:fill="CCEEFF" w:val="clear"/>
            <w:vAlign w:val="center"/>
          </w:tcPr>
          <w:p>
            <w:pPr>
              <w:pStyle w:val="TableContents"/>
              <w:bidi w:val="0"/>
              <w:spacing w:before="0" w:after="283"/>
              <w:jc w:val="right"/>
              <w:rPr/>
            </w:pPr>
            <w:r>
              <w:rPr/>
              <w:t>651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4" w:type="dxa"/>
            <w:tcBorders/>
            <w:shd w:fill="CCEEFF" w:val="clear"/>
            <w:vAlign w:val="center"/>
          </w:tcPr>
          <w:p>
            <w:pPr>
              <w:pStyle w:val="TableContents"/>
              <w:bidi w:val="0"/>
              <w:spacing w:before="0" w:after="283"/>
              <w:jc w:val="right"/>
              <w:rPr/>
            </w:pPr>
            <w:r>
              <w:rPr/>
              <w:t>1,463</w:t>
            </w:r>
          </w:p>
        </w:tc>
        <w:tc>
          <w:tcPr>
            <w:tcW w:w="75" w:type="dxa"/>
            <w:tcBorders/>
            <w:shd w:fill="CCEEFF" w:val="clear"/>
            <w:vAlign w:val="center"/>
          </w:tcPr>
          <w:p>
            <w:pPr>
              <w:pStyle w:val="TableContents"/>
              <w:bidi w:val="0"/>
              <w:spacing w:before="0" w:after="283"/>
              <w:jc w:val="left"/>
              <w:rPr/>
            </w:pPr>
            <w:r>
              <w:rPr/>
              <w:t> </w:t>
            </w:r>
            <w:bookmarkStart w:id="619" w:name="xdx_401_eus-gaap--Revenues_pn3n3_hsrt--S"/>
            <w:bookmarkEnd w:id="619"/>
          </w:p>
        </w:tc>
      </w:tr>
      <w:tr>
        <w:trPr/>
        <w:tc>
          <w:tcPr>
            <w:tcW w:w="3050" w:type="dxa"/>
            <w:tcBorders/>
            <w:shd w:fill="FFFFFF" w:val="clear"/>
            <w:vAlign w:val="center"/>
          </w:tcPr>
          <w:p>
            <w:pPr>
              <w:pStyle w:val="TableContents"/>
              <w:bidi w:val="0"/>
              <w:spacing w:before="0" w:after="283"/>
              <w:jc w:val="left"/>
              <w:rPr/>
            </w:pPr>
            <w:r>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114</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6</w:t>
            </w:r>
          </w:p>
        </w:tc>
        <w:tc>
          <w:tcPr>
            <w:tcW w:w="75" w:type="dxa"/>
            <w:tcBorders/>
            <w:shd w:fill="FFFFFF" w:val="clear"/>
            <w:vAlign w:val="center"/>
          </w:tcPr>
          <w:p>
            <w:pPr>
              <w:pStyle w:val="TableContents"/>
              <w:bidi w:val="0"/>
              <w:spacing w:before="0" w:after="283"/>
              <w:jc w:val="left"/>
              <w:rPr/>
            </w:pPr>
            <w:r>
              <w:rPr/>
              <w:t> </w:t>
            </w:r>
            <w:bookmarkStart w:id="620" w:name="xdx_406_eus-gaap--Revenues_pn3n3_hsrt--S"/>
            <w:bookmarkEnd w:id="620"/>
          </w:p>
        </w:tc>
      </w:tr>
      <w:tr>
        <w:trPr/>
        <w:tc>
          <w:tcPr>
            <w:tcW w:w="3050" w:type="dxa"/>
            <w:tcBorders/>
            <w:shd w:fill="CCEEFF" w:val="clear"/>
            <w:vAlign w:val="center"/>
          </w:tcPr>
          <w:p>
            <w:pPr>
              <w:pStyle w:val="TableContents"/>
              <w:bidi w:val="0"/>
              <w:spacing w:before="0" w:after="283"/>
              <w:jc w:val="left"/>
              <w:rPr/>
            </w:pPr>
            <w:r>
              <w:rPr/>
              <w:t>Asia Pacific</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bookmarkStart w:id="621" w:name="xdx_40E_eus-gaap--Revenues_pn3n3_zfcB3KN"/>
            <w:bookmarkEnd w:id="621"/>
          </w:p>
        </w:tc>
      </w:tr>
      <w:tr>
        <w:trPr/>
        <w:tc>
          <w:tcPr>
            <w:tcW w:w="3050"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jc w:val="right"/>
              <w:rPr/>
            </w:pPr>
            <w:r>
              <w:rPr/>
              <w:t>765</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pPr>
            <w:r>
              <w:rPr/>
              <w:t>1,476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2" w:name="xdx_8A3_z6IYWjk2T5D8"/>
      <w:bookmarkEnd w:id="622"/>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bookmarkStart w:id="623" w:name="xdx_801_eus-gaap--AssetAcquisitionTextBl"/>
      <w:bookmarkEnd w:id="623"/>
      <w:r>
        <w:rPr>
          <w:rFonts w:ascii="Times New Roman;Times;Serif" w:hAnsi="Times New Roman;Times;Serif"/>
          <w:b/>
          <w:i w:val="false"/>
          <w:caps w:val="false"/>
          <w:smallCaps w:val="false"/>
          <w:sz w:val="20"/>
        </w:rPr>
        <w:t xml:space="preserve">16. </w:t>
      </w:r>
      <w:bookmarkStart w:id="624" w:name="xdx_826_zyCrsNwIhfP5"/>
      <w:bookmarkEnd w:id="624"/>
      <w:r>
        <w:rPr>
          <w:rFonts w:ascii="Times New Roman;Times;Serif" w:hAnsi="Times New Roman;Times;Serif"/>
          <w:b/>
          <w:i w:val="false"/>
          <w:caps w:val="false"/>
          <w:smallCaps w:val="false"/>
          <w:sz w:val="20"/>
        </w:rPr>
        <w:t>W1 ACQUISITION</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the Company and W1, entered into an Asset Purchase Agreement, dated as of February 18, 2025 (the “W1 Purchase Agreement”), pursuant which, subject to the terms and conditions set forth therein, the Company agreed to acquire substantially all the assets of W1 used in, held for use in or relating to the business of advisory and investigative professional services which were specific identified customer contracts. The Company recorded the transaction as an Asset Acquisition in accordance with ASC 805 and recorded $</w:t>
      </w:r>
      <w:bookmarkStart w:id="625" w:name="xdx_908_eus-gaap--IntangibleAssetsNetExc"/>
      <w:bookmarkEnd w:id="625"/>
      <w:r>
        <w:rPr>
          <w:rFonts w:ascii="Times New Roman;Times;Serif" w:hAnsi="Times New Roman;Times;Serif"/>
          <w:b w:val="false"/>
          <w:i w:val="false"/>
          <w:caps w:val="false"/>
          <w:smallCaps w:val="false"/>
          <w:sz w:val="20"/>
        </w:rPr>
        <w:t>54 as intangible assets included in Customer Relationships (See Note 6 “Intangible Assets” above). The Company has preliminarily assigned a three-year life to such Customer Relationships included as part of the W1 asset acquisition.</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bookmarkStart w:id="626" w:name="xdx_807_eus-gaap--SubsequentEventsTextBl"/>
      <w:bookmarkEnd w:id="626"/>
      <w:r>
        <w:rPr>
          <w:rFonts w:ascii="Times New Roman;Times;Serif" w:hAnsi="Times New Roman;Times;Serif"/>
          <w:b/>
          <w:i w:val="false"/>
          <w:caps w:val="false"/>
          <w:smallCaps w:val="false"/>
          <w:sz w:val="20"/>
        </w:rPr>
        <w:t xml:space="preserve">17. </w:t>
      </w:r>
      <w:bookmarkStart w:id="627" w:name="xdx_829_zTNky95ee4lk"/>
      <w:bookmarkEnd w:id="627"/>
      <w:r>
        <w:rPr>
          <w:rFonts w:ascii="Times New Roman;Times;Serif" w:hAnsi="Times New Roman;Times;Serif"/>
          <w:b/>
          <w:i w:val="false"/>
          <w:caps w:val="false"/>
          <w:smallCaps w:val="false"/>
          <w:sz w:val="20"/>
        </w:rPr>
        <w:t>SUBSEQUENT EVENTS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reviewed activities through May 15, 2025, and determined that there are no subsequent events that require disclosure in accordance with ASC 855-10-25-1.</w:t>
      </w:r>
    </w:p>
    <w:p>
      <w:pPr>
        <w:pStyle w:val="TextBody"/>
        <w:bidi w:val="0"/>
        <w:spacing w:before="0" w:after="0"/>
        <w:ind w:left="20" w:right="0" w:hanging="0"/>
        <w:jc w:val="both"/>
        <w:rPr>
          <w:caps w:val="false"/>
          <w:smallCaps w:val="false"/>
        </w:rPr>
      </w:pPr>
      <w:bookmarkStart w:id="628" w:name="xdx_815_zrITkX9CtBE1"/>
      <w:bookmarkEnd w:id="62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9" w:name="a_008"/>
      <w:bookmarkEnd w:id="62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You should read the following discussion in conjunction with the financial statements and other financial information included elsewhere in this Quarterly Report on Form 10-Q (this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Report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and with our audited financial statements and other information presented in our Annual Report on Form 10-K for the year ended December 31, 2023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Annual Report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This Report may contain or incorporate by reference forward-looking statements within the meaning of Section 27A of the Securities Act of 1933, as amended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and Section 21E of the Securities Exchange Act of 1934, as amended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Such forward-looking statements are based upon management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s assumptions, expectations, projections, intentions and beliefs about future events. Except for historical information, the use of predictive, future-tense or forward-looking words such as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anticipate,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intend,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plan,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believe,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seek,</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estimate,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continue,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will,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could,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would,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 the negative or plural of such words and similar expressions or variations of such words are intended to identify forward-looking statements but are not the only means of identifying forward-looking statements.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filings with the Securities and Exchange Commission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including particularly matters set forth under Part I, Item 1A (Risk Factors) of the Annual Report. Furthermore, such forward-looking statements speak only as of the date of this Report. Except as required by law, we undertake no obligation to update any forward-looking statements to reflect events or circumstances after the date of such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public safety technology and services company that delivers safe and effective policing solutions to law enforcement and security personnel worldwide. We are leading the movement for safer outcomes by equipping law enforcement with safer, non-painful compliance tools, and immersive training fit for modern society. We began sales of our first public safety product, the BolaWrap 100 remote restraint device, in late 2018. In the first quarter of 2022, we delivered a new generation product, the BolaWrap 150. The BolaWrap 150 is electronically deployed and is more robust, smaller, lighter and simpler to deploy than the BolaWrap 100 that has since been phased out. In late 2020 we added a new solution to our public safety technologies, our virtual reality (“VR”) training platform, Wrap Reality, and in August 2023 we acquired Intrensic, LLC, a Delaware limited liability company (“Intrensic”), which added a Body-Worn Camera (“BWC”) and Digital Evidence Management (“DEM”) solution to our portfolio of policing solutions. Wrap Reality is now sold to law enforcement agencies for simulation training as well as corrections departments for the societal reentry scenarios.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target market for our solutions includes approximately 900,000 full-time sworn law enforcement officers in over 18,000 federal, state, and local law enforcement agencies in the U.S. and over 12 million police officers in more than 100 countries. Additionally, we are exploring opportunities in other domestic markets, such as military and private security. Our international focus is on countries with the largest police forces. According to 360iResearch, a market research consulting firm, our non-lethal products are part of a global market segment expected to grow to $16.1 billion by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focus our efforts on the following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BolaWrap Remote Restraint Device</w:t>
      </w:r>
      <w:r>
        <w:rPr>
          <w:rFonts w:ascii="Times New Roman;Times;Serif" w:hAnsi="Times New Roman;Times;Serif"/>
          <w:b w:val="false"/>
          <w:i w:val="false"/>
          <w:caps w:val="false"/>
          <w:smallCaps w:val="false"/>
          <w:sz w:val="20"/>
        </w:rPr>
        <w:t xml:space="preserve"> – a hand-held remote restraint device that discharges a seven and half-foot Kevlar tether to entangle an individual at a range of 10-25 feet. BolaWrap assists law enforcement to safely and effectively control encounters early without resorting to painful force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Wrap Reality</w:t>
      </w:r>
      <w:r>
        <w:rPr>
          <w:rFonts w:ascii="Times New Roman;Times;Serif" w:hAnsi="Times New Roman;Times;Serif"/>
          <w:b w:val="false"/>
          <w:i w:val="false"/>
          <w:caps w:val="false"/>
          <w:smallCaps w:val="false"/>
          <w:sz w:val="20"/>
        </w:rPr>
        <w:t xml:space="preserve"> – a law enforcement 3D training system employing immersive computer graphics VR with proprietary software-enabled content. It allows up to two participants to enter a simulated training environment simultaneously, and customized weapons controllers enable trainees to engage in strategic decision making along the force continuum. Wrap Reality has 45 scenarios for law enforcement and corrections and 15 scenarios for societal reentry. Wrap Reality is one of the most robust 3D Virtual Reality solutions on the market for law enforcement and societal reentry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Wrap Intrensic</w:t>
      </w:r>
      <w:r>
        <w:rPr>
          <w:rFonts w:ascii="Times New Roman;Times;Serif" w:hAnsi="Times New Roman;Times;Serif"/>
          <w:b w:val="false"/>
          <w:i w:val="false"/>
          <w:caps w:val="false"/>
          <w:smallCaps w:val="false"/>
          <w:sz w:val="20"/>
        </w:rPr>
        <w:t xml:space="preserve"> – a Body-Worn Camera and Digital Evidence Management solutions provider. BWC and DEM play crucial roles in capturing, storing, and managing digital evidence, such as video and audio recordings for various purposes, including criminal investigations and maintaining transparency in public interactions. The Wrap Intrensic X2 camera hardware and storage and data management capability, along with awareness of front-line operations, provides customers with a solution to meet their challenges. Wrap Intrensic Evidence on our cloud-based video storage platform provides an unlimited video storage platform that includes video and other evidence uploading, search, retrieval, redaction, and evidence sharing while reducing the need for resources required to manage this evidence.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U.S. law enforcement market, we have shipped our restraint products to 62 countries. We have established an active distributor network representing 50 states and one dealer representing the U.S. territory of Puerto Rico. We have distribution agreements with 35 international distributors covering 75 countries. We focus significant sales, training and business development efforts to support our distribution network in addition to our internal sales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focus significant resources on research and development innovations and continue to enhance our products and plan to introduce new products. We believe we have established a strong brand and market presence globally and have established significant competitive advantages in our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W1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we entered into an Asset Purchase Agreement, dated as of February 18, 2025 (the “W1 Purchase Agreement”), pursuant which, subject to the terms and conditions set forth therein, we acquired substantially all the assets of W1 used in, held for use in or relating to the business of advisory and investigative professional services, which were primarily the customer contracts assigned at the closing, for a nominal purchase price.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 and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Company’s products and solutions are gaining global recognition and awareness through various channels such as social media, trade shows, and media exposure, among others. In part, this recognition and awareness can be attributed to positive feedback from law enforcement agencies and the successful deployment of our products. As a result, we believe our brand is becoming increasingly recognized on a global scale as a leader in remote restraint and non-lethal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focused on marketing and public relations efforts. We believe there are market opportunities for our remote restraint and virtual reality solutions in the law enforcement and security sectors worldwide. These opportunities are driven by the increasing demand for less-lethal policing.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law enforcement sector, our BolaWrap product has been successfully deployed in the field, as reported by many agencies. BolaWrap is now in use by over 900 U.S. law enforcement agencies and in 62 countries. Due to its safe remote restraint capabilities, some agencies do not deem its usage a categorical reportable use of force and rather place it underneath early use of force such as handcuffs. In our strategic roadmap, we clarified that law enforcement agencies deploy BolaWrap when verbal commands breakdown but long before there is justifiable escalation to pepper spray, pepper ball, batons, bean bags, tasers or Conducted Electrical Weapons (CEW’s) or firearms.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agencies voluntarily report usage to Wrap but many do not. In the usage reports we have been provided, officers have reported successful outcomes in 84% of the use cases. This percentage is higher than what is often seen with less lethal tools. From the information we have been provided, the most common BolaWrap use case is for individuals with behavioral health issues, and the second most common BolaWrap use case is during domestic violence calls. 26% of the reported persons who are wrapped with the BolaWrap are thought to be under the influence of alcohol or drugs.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many reasons why we may not receive reports on all the use of the BolaWrap, including, when uses of BolaWrap are considered evidence in ongoing criminal cases, are controlled by local policy or regulation, or require officer and union permission to be shared with us. However, some agencies have shared bodycam footage of successful field deployments with us, which we may use in our training and education efforts. We believe that as the reports of BolaWrap’s effectiveness in de-escalation continue to increase, it will contribute to our future revenue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and believe that our portfolio of safe, remote restraint products and training services has a strong and expanding pipeline of market opportunities in the law enforcement, military, corrections, and homeland security sectors both domestically and internationally. With the increasing demand for more humane and safer policing practices, we expect a continued surge in our global business. Currently, we are exploring major international business prospects while simultaneously seeking to establish relationships with large police agencies in the U.S. However, we acknowledge that it is challenging to predict the exact timeline for closing these deals, or whether they will ultimately materialize.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anticipates that our portfolio of products has a strong and expanding pipeline of market opportunities in the law enforcement, military, corrections, and homeland security sectors both domestically and internationally. With the increasing demand for more humane and safer policing practices, continued need for ongoing training and transparency for police encounters, we expect a continued surge in our global business. Currently, we are exploring major international business prospects while simultaneously seeking to establish relationships with large police agencies in the U.S. However, we acknowledge that it is challenging to predict the exact timeline for closing these deals, or whether they will ultimately materialize.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efforts to expand our sales and distribution operations, we provide a comprehensive training program for law enforcement officers and trainers in using the BolaWrap. This training equips them with knowledge about the appropriate use and limitations of BolaWrap in tandem with modern policing techniques for de-escalation of encounters. We now focus on also teaching when and why BolaWrap should be used, including the specific area of success, such as after verbal commands break down and before the law enforcement officer is ready to escalate to less lethal pain compliance tools. We believe that law enforcement trainers and officers who have been trained to use our products, or have witnessed demonstrations, are more inclined to support the acquisition and deployment of our products by their respective departments to drive successful outcomes. As of March 31, 2024, over 1,530 agencies have received BolaWrap training with over 5,400 training officers at those agencies certified as BolaWrap instructors and qualified to train the rest of their departments, representing an 10% increase in agencies and a 10% increase in trained officers as compared to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 of $4.5 million for the three months ended March 31, 2025 decreased by $458 thousand, when compared to $5.0 million for the three months ended March 31, 2024, as a result of the Company’s cost containment initiatives enacted beginning during the first half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geopolitical tensions and macroeconomic challenges have affected our quarterly results in the past and may in the future, we believe our Company is uniquely positioned to provide lifesaving technologies and training that enable law enforcement officers worldwide to conduct safe and effective encounters while reducing the use of force. If departments follow our Use of Force Guarantee requirements, we have offered to buy back their BolaWrap devices if their reportable use of force is not reduced by 10%. With an increasing addressable market, the Company offers what we believe is a unique value proposition. Our improved pricing strategy, coupled with reduced operating expenses and our growing sales outlook, is expected to help reduce losses and improve cash flow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increase the number of product demonstrations and training sessions, particularly in international markets. Our new focus on the when and why BolaWrap is used has shown improved results. This is a departure from the hardware product only approach of the past. Our sales of the BolaWrap 150 and Wrap Reality are expected to continue to rise, aided by our ongoing cost savings and cost control measures, which we expect to lead to an overall reduction in cash burn.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we had backlog of approximately $64 thousand which was expected to be delivered in the second quarter of 2025. Additionally, as of March 31, 2025, we had deferred revenue of $350 thousand consisting of $57 thousand related to VR, $234 thousand related to Intrensic, $54 thousand related to BolaWrap extended warranties and services and $5 thousand related to training. Distributor and customer orders for future deliveries are generally subject to modification, rescheduling or in some instances, cancellation,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generated significant losses from operations and anticipate that we will continue to generate significant losses from operations for the foreseeable future. We believe that we have adequate financial resources to sustain our operations for the twelve months. We recorded net income of $109 thousand during the three months ended March 31, 2025, which was in-line with the net income of $117 thousand for the three months ended March 31, 2024. Net cash used in operations during the three months ended March 31, 2025, was $0.7 million less than net cash used in operations during the three months ended March 31, 2024. This decrease in net cash used in operations during the three months ended March 31, 2024, was primarily driven by the Company’s continued cost containment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continue to innovate new applications for our public safety technology, open new geographies, develop new products and technologies to meet diverse customer requirements and identify and develop new markets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disruptions also affected our operations and could negatively impact our ability to source materials, manufacture and distribute products in the future. Moreover, financial markets continue to experience significant volatility, which could potentially affect our ability to enter into or modify favorable terms and conditions regarding equity and debt financing activities. Nevertheless, we had $6.2 million in cash and cash equivalents as of March 31, 2025. We therefore believe we have sufficient capital to fund our operations for the next twelve months following this Report on Form 10-Q. However, we may require additional working capital and liquidity constraints and access to capital markets could still negatively affect our liquidity and may require changes to our plan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may be positively or negatively impacted by continued social unrest, protests against racial inequality, and movements like “Defund the Police.” Such unrest may be further fueled by misleading information or negative publicity about our solutions. We believe our solutions are the answer to reducing use of force and driving safer outcomes for officers and the citizens they interact with each day. Although the intensity of these events may have subsided, some may still indirectly or directly, influence police agency budgets and the funding available to current and potential customers. In addition, participants in these events may attempt to create the impression that our solutions are contributing to the perceived problems, potentially harming our business and operations, including our revenues, earnings, and cash flows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management and other critical personnel have the potential to positively or negatively affect our business. Such disruptions could have an adverse impact on our operations, programs, growth, financial condition, or results of operations. On the other hand, improvements in our operations, operating expenses, and go-to-market approaches could positively influence the success of our business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accounting principles generally accepted in the United States (“</w:t>
      </w:r>
      <w:r>
        <w:rPr>
          <w:rFonts w:ascii="Times New Roman;Times;Serif" w:hAnsi="Times New Roman;Times;Serif"/>
          <w:b w:val="false"/>
          <w:i/>
          <w:caps w:val="false"/>
          <w:smallCaps w:val="false"/>
          <w:sz w:val="20"/>
        </w:rPr>
        <w:t>U.S. GAAP</w:t>
      </w:r>
      <w:r>
        <w:rPr>
          <w:rFonts w:ascii="Times New Roman;Times;Serif" w:hAnsi="Times New Roman;Times;Serif"/>
          <w:b w:val="false"/>
          <w:i w:val="false"/>
          <w:caps w:val="false"/>
          <w:smallCaps w:val="false"/>
          <w:sz w:val="20"/>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accounting policies require higher degrees of judgment than others in their application. These include share-based compensation and contingencies and areas such as revenue recognition, allowance for doubtful accounts, valuation of inventory and intangible assets, estimates of product line exit costs, warranty liabilities and impairments.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 Recognition</w:t>
      </w:r>
      <w:r>
        <w:rPr>
          <w:rFonts w:ascii="Times New Roman;Times;Serif" w:hAnsi="Times New Roman;Times;Serif"/>
          <w:b w:val="false"/>
          <w:i w:val="false"/>
          <w:caps w:val="false"/>
          <w:smallCaps w:val="false"/>
          <w:sz w:val="20"/>
        </w:rPr>
        <w:t>. We sell our products to customers including law enforcement agencies, domestic distributors and international distributors and revenue from such transactions is recognized in the periods that products are shipped (free on board (“</w:t>
      </w:r>
      <w:r>
        <w:rPr>
          <w:rFonts w:ascii="Times New Roman;Times;Serif" w:hAnsi="Times New Roman;Times;Serif"/>
          <w:b w:val="false"/>
          <w:i/>
          <w:caps w:val="false"/>
          <w:smallCaps w:val="false"/>
          <w:sz w:val="20"/>
        </w:rPr>
        <w:t>FOB</w:t>
      </w:r>
      <w:r>
        <w:rPr>
          <w:rFonts w:ascii="Times New Roman;Times;Serif" w:hAnsi="Times New Roman;Times;Serif"/>
          <w:b w:val="false"/>
          <w:i w:val="false"/>
          <w:caps w:val="false"/>
          <w:smallCaps w:val="false"/>
          <w:sz w:val="20"/>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VR software licensing or sale. Our customers do not have the right to return product unless the product is found to be defective.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Share-Based Compensation.</w:t>
      </w:r>
      <w:r>
        <w:rPr>
          <w:rFonts w:ascii="Times New Roman;Times;Serif" w:hAnsi="Times New Roman;Times;Serif"/>
          <w:b w:val="false"/>
          <w:i w:val="false"/>
          <w:caps w:val="false"/>
          <w:smallCaps w:val="false"/>
          <w:sz w:val="20"/>
        </w:rPr>
        <w:t xml:space="preserve"> We follow the fair value recognition provisions issued by the Financial Accounting Standards Board (“</w:t>
      </w:r>
      <w:r>
        <w:rPr>
          <w:rFonts w:ascii="Times New Roman;Times;Serif" w:hAnsi="Times New Roman;Times;Serif"/>
          <w:b w:val="false"/>
          <w:i/>
          <w:caps w:val="false"/>
          <w:smallCaps w:val="false"/>
          <w:sz w:val="20"/>
        </w:rPr>
        <w:t>FASB</w:t>
      </w:r>
      <w:r>
        <w:rPr>
          <w:rFonts w:ascii="Times New Roman;Times;Serif" w:hAnsi="Times New Roman;Times;Serif"/>
          <w:b w:val="false"/>
          <w:i w:val="false"/>
          <w:caps w:val="false"/>
          <w:smallCaps w:val="false"/>
          <w:sz w:val="20"/>
        </w:rPr>
        <w:t>”) in Accounting Standards Codification (“</w:t>
      </w:r>
      <w:r>
        <w:rPr>
          <w:rFonts w:ascii="Times New Roman;Times;Serif" w:hAnsi="Times New Roman;Times;Serif"/>
          <w:b w:val="false"/>
          <w:i/>
          <w:caps w:val="false"/>
          <w:smallCaps w:val="false"/>
          <w:sz w:val="20"/>
        </w:rPr>
        <w:t>ASC</w:t>
      </w:r>
      <w:r>
        <w:rPr>
          <w:rFonts w:ascii="Times New Roman;Times;Serif" w:hAnsi="Times New Roman;Times;Serif"/>
          <w:b w:val="false"/>
          <w:i w:val="false"/>
          <w:caps w:val="false"/>
          <w:smallCaps w:val="false"/>
          <w:sz w:val="20"/>
        </w:rPr>
        <w:t>”) Topic 718, Stock Compensation (“</w:t>
      </w:r>
      <w:r>
        <w:rPr>
          <w:rFonts w:ascii="Times New Roman;Times;Serif" w:hAnsi="Times New Roman;Times;Serif"/>
          <w:b w:val="false"/>
          <w:i/>
          <w:caps w:val="false"/>
          <w:smallCaps w:val="false"/>
          <w:sz w:val="20"/>
        </w:rPr>
        <w:t>ASC 718</w:t>
      </w:r>
      <w:r>
        <w:rPr>
          <w:rFonts w:ascii="Times New Roman;Times;Serif" w:hAnsi="Times New Roman;Times;Serif"/>
          <w:b w:val="false"/>
          <w:i w:val="false"/>
          <w:caps w:val="false"/>
          <w:smallCaps w:val="false"/>
          <w:sz w:val="20"/>
        </w:rPr>
        <w:t>”) and we adopted Accounting Standards Update (“</w:t>
      </w:r>
      <w:r>
        <w:rPr>
          <w:rFonts w:ascii="Times New Roman;Times;Serif" w:hAnsi="Times New Roman;Times;Serif"/>
          <w:b w:val="false"/>
          <w:i/>
          <w:caps w:val="false"/>
          <w:smallCaps w:val="false"/>
          <w:sz w:val="20"/>
        </w:rPr>
        <w:t>ASU</w:t>
      </w:r>
      <w:r>
        <w:rPr>
          <w:rFonts w:ascii="Times New Roman;Times;Serif" w:hAnsi="Times New Roman;Times;Serif"/>
          <w:b w:val="false"/>
          <w:i w:val="false"/>
          <w:caps w:val="false"/>
          <w:smallCaps w:val="false"/>
          <w:sz w:val="20"/>
        </w:rPr>
        <w:t>”) 2018-07 for share-based transactions with non-employees. Share-based compensation expense recognized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Allowance for Doubtful Accounts.</w:t>
      </w:r>
      <w:r>
        <w:rPr>
          <w:rFonts w:ascii="Times New Roman;Times;Serif" w:hAnsi="Times New Roman;Times;Serif"/>
          <w:b w:val="false"/>
          <w:i w:val="false"/>
          <w:caps w:val="false"/>
          <w:smallCaps w:val="false"/>
          <w:sz w:val="20"/>
        </w:rPr>
        <w:t xml:space="preserve"> Our products are sold to customers in many different markets and geographic locations. We estimate our bad debt reserve on a case-by-case basis and the aging of accounts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Valuation of Inventory</w:t>
      </w:r>
      <w:r>
        <w:rPr>
          <w:rFonts w:ascii="Times New Roman;Times;Serif" w:hAnsi="Times New Roman;Times;Serif"/>
          <w:b w:val="false"/>
          <w:i w:val="false"/>
          <w:caps w:val="false"/>
          <w:smallCaps w:val="false"/>
          <w:sz w:val="20"/>
        </w:rPr>
        <w:t>. Our inventory is comprised of raw materials, assemblies and finished products. We must periodically make judgments and estimates regarding the future utility and carrying value of our inventory. The carrying value of our inventory is periodically reviewed and impairments, if any, are recognized when the expected future benefit from our inventory is less than carrying value.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Valuation of Intangible Assets.</w:t>
      </w:r>
      <w:r>
        <w:rPr>
          <w:rFonts w:ascii="Times New Roman;Times;Serif" w:hAnsi="Times New Roman;Times;Serif"/>
          <w:b w:val="false"/>
          <w:i w:val="false"/>
          <w:caps w:val="false"/>
          <w:smallCaps w:val="false"/>
          <w:sz w:val="20"/>
        </w:rPr>
        <w:t xml:space="preserve"> Intangible assets consisted of (a) capitalized legal fees and filing expense related to obtaining patents and trademarks, (b) 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Accrued Expense.</w:t>
      </w:r>
      <w:r>
        <w:rPr>
          <w:rFonts w:ascii="Times New Roman;Times;Serif" w:hAnsi="Times New Roman;Times;Serif"/>
          <w:b w:val="false"/>
          <w:i w:val="false"/>
          <w:caps w:val="false"/>
          <w:smallCaps w:val="false"/>
          <w:sz w:val="20"/>
        </w:rPr>
        <w:t xml:space="preserve"> We establish a warranty reserve based on anticipated warranty claims at the time product revenue is recognized. This reserve requires us to 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 We evaluate the adequacy of this reserve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recognition criteria of FASB ASC Topic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Warrants. </w:t>
      </w:r>
      <w:r>
        <w:rPr>
          <w:rFonts w:ascii="Times New Roman;Times;Serif" w:hAnsi="Times New Roman;Times;Serif"/>
          <w:b w:val="false"/>
          <w:i w:val="false"/>
          <w:caps w:val="false"/>
          <w:smallCaps w:val="false"/>
          <w:sz w:val="20"/>
        </w:rPr>
        <w:t>The Company accounts for warrants as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Business Combination. </w:t>
      </w:r>
      <w:r>
        <w:rPr>
          <w:rFonts w:ascii="Times New Roman;Times;Serif" w:hAnsi="Times New Roman;Times;Serif"/>
          <w:b w:val="false"/>
          <w:i w:val="false"/>
          <w:caps w:val="false"/>
          <w:smallCaps w:val="false"/>
          <w:sz w:val="20"/>
        </w:rPr>
        <w:t>The Company accounts for its business combinations under the provisions of Accounting Standards Codification (“ASC”) Topic 805-10, Business Combinations (“ASC 805-10”), which requires that the purchase method of accounting be used for all business combinations. Assets acquired and liabilities assumed, including non-controlling interests, are recorded at the date of acquisition at their respective fair values. The estimated fair value of net assets acquired, including the allocation of the fair value to identifiable assets and liabilities, was determined using established valuation techniques. ASC 805-10 also specifies criteria that intangible assets acquired in a business combination must meet to be recognized and reported apart from goodwill. Goodwill represents the excess purchase price over the fair value of the tangible net assets and intangible assets acquired in a business combination. Acquisition-related expenses are recognized separately from the business combinations and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acquired intangible assets was determined using a method which reflects the present value of the operating cash flows generated by this asset after taking into account the cost to realize the revenue, and an appropriate discount rate to reflect the time value and risk associated with the invested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adjustments to the assessed fair values of the assets and liabilities made subsequent to the acquisition date, but within the measurement period, which is up to one year, are recorded as adjustments to goodwill. Any adjustments subsequent to the measurement period are recorded in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assumptions, judgments and estimates relative to our critical accounting policies have not differed materially from actual results. Other than the warrants and business combination described above, there were no significant changes or modification of our critical accounting policies and estimates involving management valuation adjustments affecting our results for the period ended March 31, 2025. Our accounting policies are more fully described in Note 1. Organization and Summary of Significant Accounting Policies in the notes to our audited consolidated financial statements included in our Annual Report on Form 10-K for the year ended December 31, 2024, as filed with the SEC on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and Related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segment. The Company’s chief operating decision maker is Scot Cohen, the Company’s Executive Chairman and Chief Executive Officer, who manages operations for purposes of allocating resources. Refer to Note 15. Major Customers and Related Information, in our financial statements for further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 includes (i) selling, general and administrative expense, (ii) research and development expense, and in the most recent fiscal quarter, and (iii) 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operating costs will continue to stabilize or decline slightly from the first quarter of 2025 as a result of the changes from ongoing cost containment efforts.  We may incur additional non-cash share-based compensation costs depending on future options and restricted stock unit grants that are impacted by stock prices and other valuation factors. Historical expenditures are not indicative of future expenditures.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March 31, 2025, Compared to Three Months Ended March 31, 2024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the periods indicated certain items of our condensed consolidated statement of operations. The financial information and the discussion below should be read in conjunction with the financial statements and notes contained in this Quarterly Report on Form 10-Q.</w:t>
      </w:r>
    </w:p>
    <w:p>
      <w:pPr>
        <w:pStyle w:val="TextBody"/>
        <w:bidi w:val="0"/>
        <w:spacing w:before="0" w:after="0"/>
        <w:ind w:left="0" w:right="0" w:hanging="0"/>
        <w:jc w:val="left"/>
        <w:rPr>
          <w:caps w:val="false"/>
          <w:smallCaps w:val="false"/>
        </w:rPr>
      </w:pPr>
      <w:r>
        <w:rPr>
          <w:caps w:val="false"/>
          <w:smallCaps w:val="false"/>
        </w:rPr>
        <w:t> </w:t>
      </w:r>
    </w:p>
    <w:tbl>
      <w:tblPr>
        <w:tblW w:w="7553" w:type="dxa"/>
        <w:jc w:val="left"/>
        <w:tblInd w:w="0" w:type="dxa"/>
        <w:tblLayout w:type="fixed"/>
        <w:tblCellMar>
          <w:top w:w="0" w:type="dxa"/>
          <w:left w:w="0" w:type="dxa"/>
          <w:bottom w:w="0" w:type="dxa"/>
          <w:right w:w="0" w:type="dxa"/>
        </w:tblCellMar>
      </w:tblPr>
      <w:tblGrid>
        <w:gridCol w:w="3290"/>
        <w:gridCol w:w="60"/>
        <w:gridCol w:w="184"/>
        <w:gridCol w:w="843"/>
        <w:gridCol w:w="125"/>
        <w:gridCol w:w="78"/>
        <w:gridCol w:w="184"/>
        <w:gridCol w:w="843"/>
        <w:gridCol w:w="120"/>
        <w:gridCol w:w="75"/>
        <w:gridCol w:w="177"/>
        <w:gridCol w:w="575"/>
        <w:gridCol w:w="120"/>
        <w:gridCol w:w="75"/>
        <w:gridCol w:w="75"/>
        <w:gridCol w:w="424"/>
        <w:gridCol w:w="30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4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0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8" w:type="dxa"/>
            <w:gridSpan w:val="14"/>
            <w:tcBorders/>
            <w:vAlign w:val="center"/>
          </w:tcPr>
          <w:p>
            <w:pPr>
              <w:pStyle w:val="TableContents"/>
              <w:bidi w:val="0"/>
              <w:spacing w:before="0" w:after="283"/>
              <w:jc w:val="center"/>
              <w:rPr/>
            </w:pPr>
            <w:r>
              <w:rPr/>
              <w:t>(in thousands, except percentage change)</w:t>
            </w:r>
          </w:p>
        </w:tc>
        <w:tc>
          <w:tcPr>
            <w:tcW w:w="30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027" w:type="dxa"/>
            <w:gridSpan w:val="2"/>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27" w:type="dxa"/>
            <w:gridSpan w:val="2"/>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2" w:type="dxa"/>
            <w:gridSpan w:val="2"/>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99" w:type="dxa"/>
            <w:gridSpan w:val="2"/>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Product sales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843" w:type="dxa"/>
            <w:tcBorders/>
            <w:shd w:fill="FFFFFF" w:val="clear"/>
            <w:vAlign w:val="center"/>
          </w:tcPr>
          <w:p>
            <w:pPr>
              <w:pStyle w:val="TableContents"/>
              <w:bidi w:val="0"/>
              <w:spacing w:before="0" w:after="283"/>
              <w:jc w:val="right"/>
              <w:rPr/>
            </w:pPr>
            <w:r>
              <w:rPr/>
              <w:t>353</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843" w:type="dxa"/>
            <w:tcBorders/>
            <w:shd w:fill="FFFFFF" w:val="clear"/>
            <w:vAlign w:val="center"/>
          </w:tcPr>
          <w:p>
            <w:pPr>
              <w:pStyle w:val="TableContents"/>
              <w:bidi w:val="0"/>
              <w:spacing w:before="0" w:after="283"/>
              <w:jc w:val="right"/>
              <w:rPr/>
            </w:pPr>
            <w:r>
              <w:rPr/>
              <w:t>1,327</w:t>
            </w:r>
          </w:p>
        </w:tc>
        <w:tc>
          <w:tcPr>
            <w:tcW w:w="12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575" w:type="dxa"/>
            <w:tcBorders/>
            <w:shd w:fill="FFFFFF" w:val="clear"/>
            <w:vAlign w:val="center"/>
          </w:tcPr>
          <w:p>
            <w:pPr>
              <w:pStyle w:val="TableContents"/>
              <w:bidi w:val="0"/>
              <w:spacing w:before="0" w:after="283"/>
              <w:jc w:val="right"/>
              <w:rPr/>
            </w:pPr>
            <w:r>
              <w:rPr/>
              <w:t>(974</w:t>
            </w:r>
          </w:p>
        </w:tc>
        <w:tc>
          <w:tcPr>
            <w:tcW w:w="120"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pPr>
            <w:r>
              <w:rPr/>
              <w:t>(73</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Managed services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234</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234</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Other revenue</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pPr>
            <w:r>
              <w:rPr/>
              <w:t>178</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pPr>
            <w:r>
              <w:rPr/>
              <w:t>149</w:t>
            </w:r>
          </w:p>
        </w:tc>
        <w:tc>
          <w:tcPr>
            <w:tcW w:w="12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pPr>
            <w:r>
              <w:rPr/>
              <w:t>29</w:t>
            </w:r>
          </w:p>
        </w:tc>
        <w:tc>
          <w:tcPr>
            <w:tcW w:w="12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4"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765</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1,476</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(711</w:t>
            </w:r>
          </w:p>
        </w:tc>
        <w:tc>
          <w:tcPr>
            <w:tcW w:w="120"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pPr>
            <w:r>
              <w:rPr/>
              <w:t>(48</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pPr>
            <w:r>
              <w:rPr/>
              <w:t>170</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pPr>
            <w:r>
              <w:rPr/>
              <w:t>640</w:t>
            </w:r>
          </w:p>
        </w:tc>
        <w:tc>
          <w:tcPr>
            <w:tcW w:w="12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pPr>
            <w:r>
              <w:rPr/>
              <w:t>(470</w:t>
            </w:r>
          </w:p>
        </w:tc>
        <w:tc>
          <w:tcPr>
            <w:tcW w:w="120"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4"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595</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836</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pPr>
            <w:r>
              <w:rPr/>
              <w:t>(241</w:t>
            </w:r>
          </w:p>
        </w:tc>
        <w:tc>
          <w:tcPr>
            <w:tcW w:w="120"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4" w:type="dxa"/>
            <w:tcBorders>
              <w:bottom w:val="single" w:sz="8" w:space="0" w:color="000000"/>
            </w:tcBorders>
            <w:shd w:fill="CCEEFF" w:val="clear"/>
            <w:tcMar>
              <w:bottom w:w="28" w:type="dxa"/>
            </w:tcMar>
            <w:vAlign w:val="center"/>
          </w:tcPr>
          <w:p>
            <w:pPr>
              <w:pStyle w:val="TableContents"/>
              <w:bidi w:val="0"/>
              <w:spacing w:before="0" w:after="283"/>
              <w:jc w:val="right"/>
              <w:rPr/>
            </w:pPr>
            <w:r>
              <w:rPr/>
              <w:t>(29</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4,139</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4,220</w:t>
            </w:r>
          </w:p>
        </w:tc>
        <w:tc>
          <w:tcPr>
            <w:tcW w:w="12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(81</w:t>
            </w:r>
          </w:p>
        </w:tc>
        <w:tc>
          <w:tcPr>
            <w:tcW w:w="120"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pPr>
            <w:r>
              <w:rPr/>
              <w:t>(2</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378</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755</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pPr>
            <w:r>
              <w:rPr/>
              <w:t>(377</w:t>
            </w:r>
          </w:p>
        </w:tc>
        <w:tc>
          <w:tcPr>
            <w:tcW w:w="120"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4" w:type="dxa"/>
            <w:tcBorders>
              <w:bottom w:val="single" w:sz="8" w:space="0" w:color="000000"/>
            </w:tcBorders>
            <w:shd w:fill="CCEEFF" w:val="clear"/>
            <w:tcMar>
              <w:bottom w:w="28" w:type="dxa"/>
            </w:tcMar>
            <w:vAlign w:val="center"/>
          </w:tcPr>
          <w:p>
            <w:pPr>
              <w:pStyle w:val="TableContents"/>
              <w:bidi w:val="0"/>
              <w:spacing w:before="0" w:after="283"/>
              <w:jc w:val="right"/>
              <w:rPr/>
            </w:pPr>
            <w:r>
              <w:rPr/>
              <w:t>(50</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pPr>
            <w:r>
              <w:rPr/>
              <w:t>4,517</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pPr>
            <w:r>
              <w:rPr/>
              <w:t>4,975</w:t>
            </w:r>
          </w:p>
        </w:tc>
        <w:tc>
          <w:tcPr>
            <w:tcW w:w="12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pPr>
            <w:r>
              <w:rPr/>
              <w:t>(458</w:t>
            </w:r>
          </w:p>
        </w:tc>
        <w:tc>
          <w:tcPr>
            <w:tcW w:w="120"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4"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(3,922</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(4,139</w:t>
            </w:r>
          </w:p>
        </w:tc>
        <w:tc>
          <w:tcPr>
            <w:tcW w:w="120"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pPr>
            <w:r>
              <w:rPr/>
              <w:t>217</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4"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reported net revenue of $765 thousand for the three months ended March 31, 2025, as compared to $1.5 million for the three months ended March 31, 2024, or a 48% decrease. The decrease for the three months ended March 31, 2025, as compared to March 31, 2024, is primarily a result of lower product orders offset by the added managed services revenue from the acquisition of the W1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for the three months ended March 31, 2025, was $595 thousand, or a gross margin of 78%. Our gross profit for the three months ended March 31, 2024, was $836 thousand, or a gross margin of 57%. The decrease in gross profit represented a 29% decrease compared to the three months ended March 31, 2024, as a result of lower volume of the Bola Wrap 150 product sales offset by the added high-margin revenue from the Company’s Intrensic acquisition in August 2023 and acquisition ofW1 in February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revenue history is limited, historical margins may not accurately reflect future margins. However, we expect higher margins with the production of the BolaWrap 150 compared to previous production due to design changes and improved pricing as well as our higher margin revenue from the Intrensic product offerings. Our margins are also subject to variations based on the sales channels and product mix through which our products are sold. At present, our cassettes have lower margins than BolaWrap devices. As we scale cassette production, we will look to reduce our costs and drive higher cassette margins. Cassettes were a total of 10% of our overall revenue in the three months ended March 31, 2025, and is expected to continue to grow as a recurring revenue base as more BolaWrap devices are in the field and the usage of BolaWrap increases due to the need of officers to de-escalate earlier to prevent injuries and use of higher levels of force. Additionally, we expect that gross margins will be impacted by the added managed services and software revenue contributions in the second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introduce updates and revisions to our products, which may include changes to raw materials and components, and can impact our product costs. Given our limited experience with warranty costs, our estimated future warranty expense may affect our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global supply chain has experienced notable component shortages, extended lead times, cost fluctuations, and logistical constraints, all of which have affected our product costs. Although we have seen these supply chain obstacles ease in 2025, we acknowledge that future supplier shortages, quality problems, and logistics delays could impact our production schedules and have a material negative impact on our financial condition, results of operation,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Selling,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expense of $4.1 million for the three months ended March 31, 2025, was reduced by $0.1 million when compared to $4.2 million for the three months ended March 31, 2024. The decrease in SG&amp;A expense was primarily the result of the Company’s cost containment initiatives enacted beginning during the first half of 2024 which were offset by an increase of $1.0 million in share-based compensation as well as by increased occupancy expenses related to the new the office space in Florida.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costs allocated to SG&amp;A totaled $1.6 million thousand for the three months ended March 31, 2025, compared to $675 thousand for the three months ended March 31, 2024, primarily due to options and grants issued to new employees as a result of the acquisition of W1 in February 2025, as well as incentives provided to certain key senior level management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burden costs of $799 thousand for the three months ended March 31, 2025, were approximately $0.6 million lower than the three months ended March 31, 2024. This reduction reflects the reduction in the Company’s workforce including a reduction of certain C-Level positions. During the three months ended March 31, 2025, as compared to the three months ended March 31, 2024, we decreased professional and consulting fees by $95 thousand reflecting the Company’s cost containment efforts. We expect expenditures for SG&amp;A expenses in 2025 to increase from the first quarter’s run-rate as a result of the W1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costs were $81 thousand for the three months ended March 31, 2025, or a decrease of $182 thousand as compared to $263 thousand during the three months ended March 31, 2024. The changes in advertising costs were primarily related to reduced trade show costs offset by slight increases in digital marketing campaigns.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totaling $378 thousand decreased by $377 thousand for the three months ended March 31, 2025, when compared to the three months ended March 31, 2024. We incurred a $309 thousand period-over-period decrease in compensation expense as well as a $34 thousand period-over-period increase in share-based compensation expense allocated to research and development expense as a result of reduction of personnel. Outside consulting costs decreased by $21 thousand for the three months ended March 31, 2025, when compared to the three months ended March 31, 2024, primarily due to the Company’s move to a more variable cost model.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of $3.9 million during the three months ended March 31, 2025, was a decrease of $0.2 million compared to loss from operations of $4.1 million during the three months ended March 31, 2024, primarily reflecting the reduced revenues offset by lower operating costs from the Company’s cost containment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from future equity or debt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net losses and negative cash flows from operations since our inception. As of March 31, 2025, we had cash of $6.2 million, negative working capital of $0.3 million including the $11.3 million of the Series A Warrants recorded in connection with the issuance of the Series A Preferred Stock in July 2023 as well as the PIPE Warrants (as defined herein) issued in connection with the Private Placement (as defined herein), and had sustained cumulative losses attributable to stockholders of $105.1 million. Our working capital net of the warrants-short term as of March 31, 2025, was $3.6 million higher compared to December 31, 2024, primarily as a result of the cash received in the Private Placement offset by operating losses of $3.9 million for the three months ended March 31, 2025. We believe we have sufficient capital to fund our operations for the next twelve months from the date of this Quarterly Report on Form 10-Q. However, liquidity constraints and access to capital markets could still negatively affect our liquidity and may require changes to our investment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liquidity requirements or future capital needs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including the timing of receipt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cash flows and results of operations could be affected by, and will depend on, many factors, some of which are currently unknown to us, including,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outbreaks pandemics or contagious diseases or fear of such outbreaks;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regarding staffing, development, production, marketing and other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extent of market acceptance of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timing and outcome of planned production and required customer and regulatory compliance of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preparing, filing and prosecuting our patent applications and defending any future intellectual property-related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timing of additional product development;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timing and outcome of any future warranty claims or litigation against us associated with any of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collect accounts receivable;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costs associated with any new financing.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factors that could affect our ability to obtain cash from external sources including from exercise of outstanding warrants and options include:</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capital markets;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5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 and trading volume of our Common Stock.</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the Company entered into a Series Purchase Agreement (“Series A Purchase Agreement”) with certain accredited investors, including the Company’s Executive Chairman and Chief Executive Officer (collectively, the “Series A Investors”), pursuant to which it agreed to sell to the Series A Investors in a registered direct offering (the “Series A Offering”) (i) an aggregate of 10,000 shares of Series A Preferred Stock, initially convertible into up to 6,896,553 shares of the Company’s Common Stock, at an initial conversion price of $1.45 per share, and (ii) warrants (the “Series A Warrants”) to acquire up to an aggregate of 6,896,553 shares of Common Stock (the “Series A Warrant Shares”). The conversion price of the Series A Preferred Stock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 The closing of the Series A Offering occurred on July 3, 2023. The aggregate gross proceeds from the Series A Offering were $10 million. The Company expects to use the net proceeds from the Series A Offering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Katalyst Securities LLC (the “Placement Agent”) to act as exclusive placement agent in connection with the Series A Offering. Pursuant to an Engagement Letter with the Placement Agent, we paid to the Placement Agent or its designees (i) a cash fee equal to 8% of the gross proceeds of the Series A Offering and (ii) warrants to purchase an aggregate of 551,725 shares of Common Stock (equal to 8% of the shares of Common Stock underlying the Series A Preferred Stock sold in the Series A Offering) at an exercise price of $1.45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 2023, the Company filed the Certificate of Designations of the Series A Preferred Stock (the “Certificate of Designations”) with the Secretary of State of the State of Delaware, designating 10,000 shares of its Preferred Stock as Series A Convertible Preferred Stock. The Series A Preferred Stock is convertible into shares of Common Stock (the “Conversion Shares”) at the election of the holder at any time at an initial conversion price of $1.45 (the “Conversion Price”).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Series A Preferred Stock are entitled to dividends of 8% per annum, compounded monthly, which are payable in cash or shares of Common Stock, or a combination thereof, at the Company’s option in accordance with the terms of the Certificate of Designations. Upon the occurrence and during the continuance of a Triggering Event (as defined in the Certificate of Designations), the Series A Preferred Stock will accrue dividends at the rate of 20% per annum. If the Company elects to pay any dividends in shares of Common Stock, the Conversion Price used to calculate the number of shares issuable will equal to the lower of (i) the then applicable Conversion Price and (ii) 85% of the arithmetic average of the three (3) lowest closing prices of the Company’s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the Stockholder Approval (subject to adjustment for stock splits, stock dividends, stock combinations, recapitalizations or other similar events) or, in any case, such lower amount as permitted, from time to time, by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2024, the Company entered into an Amendment Agreement (the “August 2024 Amendment”) with the Required Holders (as defined in the Certificate of Designations). Pursuant to the August 2024 Amendment, the Required Holders agreed that (A) the unpaid and accrued dividends on the Series A Preferred Stock due July 1, 2024 (the “July Delinquent Dividend Amount”), shall be payable, at the option of the Company, in (i) cash and/or (ii) shares of Common Stock, at a price per share of Common Stock equal to the lower of (x) $1.00 and (y) the Dividend Conversion Price (as defined in the Certificate of Designations), using July 1, 2024, as the applicable date of determination in accordance with the Certificate of Designations; (B) the dividends due on October 1, 2024 (the “October Dividend Amount” and, together with the July Delinquent Dividend Amount, the “Delinquent Dividend Amounts”), shall be payable in shares of Common Stock based on a per share price of Common Stock equal to 80% of the arithmetic average of the three (3) lowest closing sale prices of the Common Stock during the month of September 2024; and (C) such Delinquent Dividend Amounts and any Dividend Balance Shares (as defined in the Certificate of Designations), with respect thereto, if applicable, shall be delivered on October 1, 2024. The Company and the Required Holders further agreed pursuant to the August 2024 Amendment to amend (i) the Certificate of Designations, as described below, by filing a Certificate of Amendment to the Certificate of Designations (the “August 2024 Certificate of Amendment”) and (ii) the Series A Purchase Agreement to amend the definition of “Excluded Securities.” The August 2024 Certificate of Amendment amends the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and (ii) the Company’s right to redeem, all or a portion, of the Series A Preferred Stock outstanding pursuant to an optional redemption, in each case, pursuant to the terms of the Certificate of Designations.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2024, the Company entered into an Amendment Agreement with the Required Holders (as defined in the Certificate of Designations), pursuant to which, the Required Holders agreed to amend the Certificate of Designations of the Company’s Series A Preferred Stock, as described below, by filing a Certificate of Amendment to the Certificate of Designations (the “October 2024 Certificate of Amendment”). The October 2024 Certificate of Amendment amends the Certificate of Designations to, among other things, provide that, except as required by applicable law, the holders of the Series A Preferred Stock will be entitled to vote with holders of the Common Stock on an as converted basis, with the number of votes to which each holder of Series A Preferred Stock is entitled to be calculated assuming a conversion price of $1.414 per share, which was the Minimum Price (as defined in Rule 5635 of the Rule of the Nasdaq Stock Market) applicable immediately before the execution and delivery of the Series A Purchase Agreement, subject to certain beneficial ownership limitations as set forth in the Certificate of Designations. The October 2024 Certificate of Amendment further provides that (i) certain holders of the Series A Preferred Stock will not be subject to certain beneficial ownership limitations as described in the Certificate of Designations, and (ii) stockholder approval will not be required in connection with the payment of dividends in the form of Common Stock to a holder of the Series A Preferred Stock who serves as a director, officer or employee of the Company. The October 2024 Certificate of Amendment was filed with the Secretary of State of the State of Delaware, effective as of October 14, 2024.The holders of the Series A Preferred Stock have no voting rights, other than with respect to certain matters affecting the rights of the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25, 2024, the Company entered into an Amendment and Agreement with the Series A Investors (the “November 2024 Amendment Agreement”), pursuant to which, (i) the Series A Investors agreed to amend the Certificate of Designations, as described below, by filing a Certificate of Amendment to the Certificate of Designations with the Secretary of State (the “November 2024 Certificate of Amendment”), and (ii) the Series A Investors and the Company agreed that all payment amounts that have accrued and are unpaid as of November 25, 2024, pursuant to the Certificate of Designations and the August 2024 Amendment will be satisfied by delivery of shares of Common Stock on or prior to November 25, 2024, with each Series A Investor entitled to receive the number of shares of Common Stock specified below such Series A Investor’s name on its respective signature page thereto. The November 2024 Certificate of Amendment amends the Certificate of Designations to provide that upon the occurrence of a Triggering Event (as defined in the Certificate of Designations), the Series A Preferred Stock will accrue dividends compounded monthly at the rate of 20% per annum. The Certificate of Amendment became effective with the Secretary of State on December 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holders to convert their shares of Series A Preferred Stock into shares of Common Stock if the closing price of the Company’s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provided that certain equity conditions described in the Certificate of Designations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beginning 18 months from the date of the issuance, provided that provided that that the Company has filed all reports required to be filed by it pursuant to the Exchange Act on a timely basis for a continuous period of one year and provided further that certain equity conditions described in the Certificate of Designations are satisfied, the Company has the right to redeem in cash all or some of the shares of the Series A Preferred Stock outstanding at such time at a redemption price equal to the product of (x) 125% multiplied by (y) the sum of (A) the stated value of the Series A Preferred Stock plus (B) all declared and unpaid Dividends on such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Amendment amends the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and (ii) the Company’s right to redeem, all or a portion, of the Series A Preferred Stock outstanding pursuant to an optional redemption, in each case, pursuant to the terms of the Certificate of Designations.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Series A Preferred Stock and we do not intend to list the Series A Preferred Stock on any national securities exchange or nationally recognized trading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Series A Warrants to purchase up to an aggregate of 6,896,553 shares of Common Stock. Each Series A Warrant has an exercise price of $1.45 per share, became exercisable after the date that was six months from the date of issuance and will expire 5 years following the date of issuance. The exercise price is subject to customary adjustments for stock dividends, stock splits, reclassifications and the like, and subject to price-based adjustment, on a “full ratchet” basis, in the event of any issuances of Common Stock, or securities convertible, exercisable or exchangeable for Common Stock, at a price below the then-applicable exercise price (subject to certain exceptions).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issue Conversion Shares and Series A Warrant Shares using shares of Common Stock is subject to certain limitations set forth in the Certificate of Designations. Prior to receiving the Nasdaq Stockholder Approval, such limitations included a limit on the number of shares that may be issued until the time, if any, that the Company’s stockholders have approved the issuance of more than 19.99% of the Company’s outstanding shares of Common Stock in accordance with the rules of the Nasdaq Stock Market (the “Nasdaq Stockholder Approval”). Such Nasdaq Stockholder Approval was received at a special meeting of stockholders held on September 19,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2025, the Company entered into a securities purchase agreement (the “PIPE Purchase Agreement”) with certain accredited investors (collectively, the “PIPE Purchasers”) for the issuance and sale in a private placement (the “Private Placement”) of an aggregate of 3,216,666 shares (the “Common Shares”) of Common Stock and accompanying warrants (“PIPE Warrants”) to purchase up to 3,216,666 shares of Common Stock, with an exercise price of $1.80 per share. The purchase price for one Common Share and accompanying PIPE Warrant was $1.80. The gross proceeds to the Company were $5,790 before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any off-balance sheet financial guarantees or other off-balance sheet commitments to guarantee the payment obligations of any third parties. The Company has not entered into any derivative contracts that are indexed to the Company’s shares and classified as stockholder’s equity or that are not reflected in the Company’s financial statements included in this Quarterly Report on Form 10-Q. Furthermore, the Company does not have any retained or contingent interest in assets transferred to an unconsolidated entity that serves as credit, liquidity or market risk support to such entity. The Company does not have any variable interest in any unconsolidated entity that provides financing, liquidity, market risk or credit support to us or engages in leasing, hedging or product development services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net cash used in operating activities was $3.1 million. The net income of $109 thousand was decreased by non-cash income of $4.0 million related to the change in fair value of warrants and increased by non-cash expense of $1.9 million consisting primarily of share-based compensation expense of $1.7 million and depreciation and amortization of $155 thousand. Other major component changes using operating cash included an increase of $404 thousand in prepaids and a $184 thousand increase in accounts receivable as well as a decrease in both accounts payable of $115 thousand and accrued liabilities of $272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net cash used in operating activities was $3.7 million. The net income of $117 thousand was decreased by non-cash income of $4.2 million related to the change in fair value of warrants and increased by non-cash expense of $1.1 million consisting primarily of share-based compensation expense of $848 thousand. Other major component changes using operating cash included an increase of $584 thousand in inventories and a decrease in accounts receivable of $683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we used $54 thousand of cash for the acquisition of W1 and invested $47 thousand in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we had proceeds from maturities of short-term investments of $2.5 million. During the three months ended March 31, 2024, we used $14 thousand cash for the purchase of property and equipment and invested $66 thousand in patents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we received $5.7 million in net proceeds from a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we received $588 thousand in proceeds from the exercise of previously issued stock options and paid $60 thousand in cash dividends on the Company’s Series A Preferred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that certain exclusive Amended and Restated Intellectual Property License Agreement dated September 30, 2016, by and between the Company and Syzygy Licensing, LLC (“Syzygy”), we are obligated to pay to Syzygy a 4% royalty fee on future product sales up to an aggregate amount of $1.0 million in royalty payments or until September 30, 2026, whichever occurs earlier. We recorded $66 thousand for royalties during the three months ended March 31, 2025. The maximum payout has been reached as of June 30, 2024, and we have included $81 thousand in our accrued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we extended our Tempe, Arizona facility lease for three years through July 2025 and we are committed to aggregate lease payments on the facility lease of $126 thousand in 2024 and $75 thousand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committed to a lease of office space in Coconut Grove, Florida in a multi-year term concluding in 2031 which includes aggregate lease payments remaining totaling $3.6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we were committed to approximately $509 thousand for future component deliveries and contract services that are generally subject to modification or rescheduling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and for the year ended December 31, 2024, we had experienced increased costs in labor and materials due to inflation. We believe throughout 2025 that low unemployment and higher salaries will create higher payroll costs and increased operating expense in the business. We have seen increases in costs from multiple suppliers for materials as well as labor.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0" w:name="a_009"/>
      <w:bookmarkEnd w:id="63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required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1" w:name="a_010"/>
      <w:bookmarkEnd w:id="63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carried out an evaluation, under the supervision and with the participation of our management, including our Executive Chairman and Chief Executive Officer, of the effectiveness of our disclosure controls and procedures (as defined in Exchange Act Rules 13a-15(e) and 15d-15(e) under the Exchange Act) as of the period covered by this report. Based upon that evaluation, our Executive Chairman and Chief Executive Officer concluded that, as of the end of the period covered in this Quarterly Report on Form 10-Q, our disclosure controls and procedures were effective to ensure that information required to be disclosed in reports filed by us under the Exchange Act is recorded, processed, summarized and reported within the required time periods and is accumulated and communicated to our management, including our Executive Chairman and Chief Executive Officer,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during our fiscal quarter ended March 31, 2025,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2" w:name="a_011"/>
      <w:bookmarkEnd w:id="632"/>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3" w:name="a_012"/>
      <w:bookmarkEnd w:id="63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or be subject to claims arising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Note 13 Commitments and Contingencies of the Notes to Consolidated Financial Statements of this Quarterly Report on Form 10-Q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4" w:name="a_013"/>
      <w:bookmarkEnd w:id="63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not aware of any material changes to the risk factors discussed in Part 1, Item 1A, of the Company’s Annual Report on Form 10-K for the year ended December 31, 2024. In addition to the other information set forth in this Quarterly Report on Form 10-Q, you should carefully consider the risk factors discussed in Part 1, Item 1A, of the Company’s Annual Report on Form 10-K for the year ended December 31, 2024, and subsequent reports filed pursuant to the Exchange Act which could materially and adversely affect the Company’s business, financial condition, results of operations, and stock price. The risks described in the Company’s Annual Report on Form 10-K and subsequent reports filed pursuant to the Exchange Act are not the only risks facing the Company. Additional risks and uncertainties not presently known to management, or that management presently believes not to be material, may also result in material and adverse effects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5" w:name="a_014"/>
      <w:bookmarkEnd w:id="63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unregistered sales of the Company’s equity securities during the three months ended March 31, 2025, other than those previously reported in a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6" w:name="a_015"/>
      <w:bookmarkEnd w:id="63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default in the payment of principal, interest, sinking or purchase fund installment, or any other material default, with respect to any indebtedness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7" w:name="a_016"/>
      <w:bookmarkEnd w:id="63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8" w:name="a_017"/>
      <w:bookmarkEnd w:id="63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9" w:name="xdx_90B_ecustom--NoInsiderTradingFlag_db"/>
      <w:bookmarkEnd w:id="639"/>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0" w:name="a_018"/>
      <w:bookmarkEnd w:id="64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9"/>
        <w:gridCol w:w="60"/>
        <w:gridCol w:w="9426"/>
      </w:tblGrid>
      <w:tr>
        <w:trPr/>
        <w:tc>
          <w:tcPr>
            <w:tcW w:w="719"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pPr>
            <w:r>
              <w:rPr/>
              <w:t> </w:t>
            </w:r>
          </w:p>
        </w:tc>
        <w:tc>
          <w:tcPr>
            <w:tcW w:w="9426"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Asset Purchase Agreement, dated as of February 18, 2025, by and between Wrap Technologies, Inc. and W1 Global, LLC (incorporated by reference to Exhibit 2.1 to the Company’s Current Report on Form 8-K filed with the Securities and Exchange Commission on February 24, 2025).</w:t>
              </w:r>
            </w:hyperlink>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of Certificate of Designations of Series A Convertible Preferred Stock (incorporated by reference to Exhibit 3.1 to the Company’s Current Report on Form 8-K filed with the Securities and Exchange Commission on August 23, 2024).</w:t>
              </w:r>
            </w:hyperlink>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Warrant (incorporated by reference to Exhibit 4.1 to the Company’s Current Report on Form 8-K filed with the Securities and Exchange Commission on February 28, 2025).</w:t>
              </w:r>
            </w:hyperlink>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Securities Purchase Agreement, dated February 24, 2025, by and among the Company and the investors signatory thereto. (incorporated by reference to Exhibit 10.1 to the Company’s Current Report on Form 8-K, filed with the SEC on February 28, 2025).</w:t>
              </w:r>
            </w:hyperlink>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Registration Rights Agreement, dated February 24, 2025, by and among the Company and the investors signatory thereto. (incorporated by reference to Exhibit 10.2 to the Company’s Current Report on Form 8-K filed with the Securities and Exchange Commission on February 28, 2025).</w:t>
              </w:r>
            </w:hyperlink>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Amendment No. 4 to the Wrap Technologies, Inc. 2017 Equity Compensation Plan (incorporated by reference to Exhibit 10.2.4 to the Company’s Annual Report on Form 10-K/A filed with the Securities and Exchange Commission on April 25, 2025).</w:t>
              </w:r>
            </w:hyperlink>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pPr>
            <w:hyperlink w:anchor="ex31.htm">
              <w:r>
                <w:rPr>
                  <w:rStyle w:val="InternetLink"/>
                  <w:rFonts w:ascii="Times New Roman;Times;Serif" w:hAnsi="Times New Roman;Times;Serif"/>
                  <w:b w:val="false"/>
                  <w:i w:val="false"/>
                  <w:caps w:val="false"/>
                  <w:smallCaps w:val="false"/>
                  <w:sz w:val="20"/>
                </w:rPr>
                <w:t>Rule 13a-14(a)/15d-14(a) Certification - Principal Executive Officer and Principal Financial Officer.</w:t>
              </w:r>
            </w:hyperlink>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pPr>
            <w:hyperlink w:anchor="ex32.htm">
              <w:r>
                <w:rPr>
                  <w:rStyle w:val="InternetLink"/>
                  <w:rFonts w:ascii="Times New Roman;Times;Serif" w:hAnsi="Times New Roman;Times;Serif"/>
                  <w:b w:val="false"/>
                  <w:i w:val="false"/>
                  <w:caps w:val="false"/>
                  <w:smallCaps w:val="false"/>
                  <w:sz w:val="20"/>
                </w:rPr>
                <w:t>Section 1350 Certification - Principal Executive Officer and Principal Financial Officer.</w:t>
              </w:r>
            </w:hyperlink>
          </w:p>
        </w:tc>
      </w:tr>
      <w:tr>
        <w:trPr/>
        <w:tc>
          <w:tcPr>
            <w:tcW w:w="71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Extensible Business Reporting Language (XBRL) Exhibits*</w:t>
            </w:r>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pPr>
            <w:r>
              <w:rPr/>
              <w:t> </w:t>
            </w:r>
          </w:p>
        </w:tc>
        <w:tc>
          <w:tcPr>
            <w:tcW w:w="94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include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concurrently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of the schedules (and similar attachments) to this exhibit have been omitted in accordance with Item 601(a)(5) of Regulation S-K under the Securities Act because they do not contain information material to an investment or voting decision and that information is not otherwise disclosed in the exhibit or the disclosure document. The registrant hereby agrees to furnish a copy of all omitted schedules (or similar attachments) to the SEC upon its request.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 or compensatory plan or arrangement.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1" w:name="a_019"/>
      <w:bookmarkEnd w:id="641"/>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845" w:type="dxa"/>
        <w:jc w:val="left"/>
        <w:tblInd w:w="0" w:type="dxa"/>
        <w:tblLayout w:type="fixed"/>
        <w:tblCellMar>
          <w:top w:w="0" w:type="dxa"/>
          <w:left w:w="0" w:type="dxa"/>
          <w:bottom w:w="0" w:type="dxa"/>
          <w:right w:w="0" w:type="dxa"/>
        </w:tblCellMar>
      </w:tblPr>
      <w:tblGrid>
        <w:gridCol w:w="1220"/>
        <w:gridCol w:w="320"/>
        <w:gridCol w:w="3305"/>
      </w:tblGrid>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362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Wrap Technologies, Inc. </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3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May 15, 2025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 Cohen</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3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Interim</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642" w:name="ex31.htm"/>
      <w:bookmarkStart w:id="643" w:name="ksex31"/>
      <w:bookmarkEnd w:id="642"/>
      <w:bookmarkEnd w:id="64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 Cohen,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Wrap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8300" w:type="dxa"/>
        <w:jc w:val="left"/>
        <w:tblInd w:w="0" w:type="dxa"/>
        <w:tblLayout w:type="fixed"/>
        <w:tblCellMar>
          <w:top w:w="0" w:type="dxa"/>
          <w:left w:w="0" w:type="dxa"/>
          <w:bottom w:w="0" w:type="dxa"/>
          <w:right w:w="0" w:type="dxa"/>
        </w:tblCellMar>
      </w:tblPr>
      <w:tblGrid>
        <w:gridCol w:w="8240"/>
        <w:gridCol w:w="60"/>
      </w:tblGrid>
      <w:tr>
        <w:trPr/>
        <w:tc>
          <w:tcPr>
            <w:tcW w:w="8240" w:type="dxa"/>
            <w:tcBorders/>
            <w:vAlign w:val="center"/>
          </w:tcPr>
          <w:p>
            <w:pPr>
              <w:pStyle w:val="TableContents"/>
              <w:bidi w:val="0"/>
              <w:spacing w:before="0" w:after="283"/>
              <w:jc w:val="both"/>
              <w:rPr/>
            </w:pPr>
            <w:r>
              <w:rPr>
                <w:rFonts w:ascii="Times New Roman;Times;Serif" w:hAnsi="Times New Roman;Times;Serif"/>
                <w:sz w:val="20"/>
              </w:rPr>
              <w:t>Date:</w:t>
            </w:r>
            <w:r>
              <w:rPr/>
              <w:t xml:space="preserve"> </w:t>
            </w:r>
            <w:r>
              <w:rPr>
                <w:rFonts w:ascii="Times New Roman;Times;Serif" w:hAnsi="Times New Roman;Times;Serif"/>
                <w:sz w:val="20"/>
              </w:rPr>
              <w:t xml:space="preserve">May 15, 2025 </w:t>
            </w:r>
          </w:p>
        </w:tc>
        <w:tc>
          <w:tcPr>
            <w:tcW w:w="60" w:type="dxa"/>
            <w:tcBorders/>
            <w:vAlign w:val="center"/>
          </w:tcPr>
          <w:p>
            <w:pPr>
              <w:pStyle w:val="TableContents"/>
              <w:bidi w:val="0"/>
              <w:spacing w:before="0" w:after="283"/>
              <w:jc w:val="left"/>
              <w:rPr>
                <w:sz w:val="4"/>
                <w:szCs w:val="4"/>
              </w:rPr>
            </w:pPr>
            <w:r>
              <w:rPr>
                <w:sz w:val="4"/>
                <w:szCs w:val="4"/>
              </w:rPr>
            </w:r>
          </w:p>
        </w:tc>
      </w:tr>
      <w:tr>
        <w:trPr/>
        <w:tc>
          <w:tcPr>
            <w:tcW w:w="82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r>
      <w:tr>
        <w:trPr/>
        <w:tc>
          <w:tcPr>
            <w:tcW w:w="82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Scot Cohen</w:t>
            </w:r>
          </w:p>
        </w:tc>
        <w:tc>
          <w:tcPr>
            <w:tcW w:w="60" w:type="dxa"/>
            <w:tcBorders/>
            <w:vAlign w:val="center"/>
          </w:tcPr>
          <w:p>
            <w:pPr>
              <w:pStyle w:val="TableContents"/>
              <w:bidi w:val="0"/>
              <w:spacing w:before="0" w:after="283"/>
              <w:jc w:val="both"/>
              <w:rPr/>
            </w:pPr>
            <w:r>
              <w:rPr/>
              <w:t> </w:t>
            </w:r>
          </w:p>
        </w:tc>
      </w:tr>
      <w:tr>
        <w:trPr/>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Scot Cohen</w:t>
            </w:r>
          </w:p>
        </w:tc>
        <w:tc>
          <w:tcPr>
            <w:tcW w:w="60" w:type="dxa"/>
            <w:tcBorders/>
            <w:vAlign w:val="center"/>
          </w:tcPr>
          <w:p>
            <w:pPr>
              <w:pStyle w:val="TableContents"/>
              <w:bidi w:val="0"/>
              <w:spacing w:before="0" w:after="283"/>
              <w:jc w:val="both"/>
              <w:rPr/>
            </w:pPr>
            <w:r>
              <w:rPr/>
              <w:t> </w:t>
            </w:r>
          </w:p>
        </w:tc>
      </w:tr>
      <w:tr>
        <w:trPr/>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60" w:type="dxa"/>
            <w:tcBorders/>
            <w:vAlign w:val="center"/>
          </w:tcPr>
          <w:p>
            <w:pPr>
              <w:pStyle w:val="TableContents"/>
              <w:bidi w:val="0"/>
              <w:spacing w:before="0" w:after="283"/>
              <w:jc w:val="both"/>
              <w:rPr/>
            </w:pPr>
            <w:r>
              <w:rPr/>
              <w:t> </w:t>
            </w:r>
          </w:p>
        </w:tc>
      </w:tr>
      <w:tr>
        <w:trPr/>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 and Interim Principal Financial Officer and Principal Accounting Officer)</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644" w:name="ex32.htm"/>
      <w:bookmarkStart w:id="645" w:name="ksex32"/>
      <w:bookmarkEnd w:id="644"/>
      <w:bookmarkEnd w:id="64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906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in accordance with 18 U.S.C. 1350, as adopted pursuant to Section 906 of the Sarbanes-Oxley Act of 2002, in his or her capacity as an officer of Wrap Technologies,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that, to his or her knowledge, the Quarterly Report of the Company on Form 10-Q for the period ended March 31, 2025,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pStyle w:val="TextBody"/>
        <w:bidi w:val="0"/>
        <w:spacing w:before="0" w:after="0"/>
        <w:ind w:left="0" w:right="0" w:hanging="0"/>
        <w:jc w:val="both"/>
        <w:rPr>
          <w:caps w:val="false"/>
          <w:smallCaps w:val="false"/>
        </w:rPr>
      </w:pPr>
      <w:r>
        <w:rPr>
          <w:caps w:val="false"/>
          <w:smallCaps w:val="false"/>
        </w:rPr>
        <w:t> </w:t>
      </w:r>
    </w:p>
    <w:tbl>
      <w:tblPr>
        <w:tblW w:w="8300" w:type="dxa"/>
        <w:jc w:val="left"/>
        <w:tblInd w:w="0" w:type="dxa"/>
        <w:tblLayout w:type="fixed"/>
        <w:tblCellMar>
          <w:top w:w="0" w:type="dxa"/>
          <w:left w:w="0" w:type="dxa"/>
          <w:bottom w:w="0" w:type="dxa"/>
          <w:right w:w="0" w:type="dxa"/>
        </w:tblCellMar>
      </w:tblPr>
      <w:tblGrid>
        <w:gridCol w:w="8240"/>
        <w:gridCol w:w="60"/>
      </w:tblGrid>
      <w:tr>
        <w:trPr/>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May 15, 2025</w:t>
            </w:r>
          </w:p>
        </w:tc>
        <w:tc>
          <w:tcPr>
            <w:tcW w:w="60" w:type="dxa"/>
            <w:tcBorders/>
            <w:vAlign w:val="center"/>
          </w:tcPr>
          <w:p>
            <w:pPr>
              <w:pStyle w:val="TableContents"/>
              <w:bidi w:val="0"/>
              <w:spacing w:before="0" w:after="283"/>
              <w:jc w:val="both"/>
              <w:rPr/>
            </w:pPr>
            <w:r>
              <w:rPr/>
              <w:t> </w:t>
            </w:r>
          </w:p>
        </w:tc>
      </w:tr>
      <w:tr>
        <w:trPr/>
        <w:tc>
          <w:tcPr>
            <w:tcW w:w="82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r>
      <w:tr>
        <w:trPr/>
        <w:tc>
          <w:tcPr>
            <w:tcW w:w="8240" w:type="dxa"/>
            <w:tcBorders>
              <w:bottom w:val="single" w:sz="8" w:space="0" w:color="000000"/>
            </w:tcBorders>
            <w:tcMar>
              <w:bottom w:w="28" w:type="dxa"/>
            </w:tcMar>
            <w:vAlign w:val="center"/>
          </w:tcPr>
          <w:p>
            <w:pPr>
              <w:pStyle w:val="TableContents"/>
              <w:bidi w:val="0"/>
              <w:spacing w:before="0" w:after="283"/>
              <w:jc w:val="both"/>
              <w:rPr>
                <w:i/>
              </w:rPr>
            </w:pPr>
            <w:r>
              <w:rPr>
                <w:i/>
              </w:rPr>
              <w:t>/s/ Scot Cohen</w:t>
            </w:r>
          </w:p>
        </w:tc>
        <w:tc>
          <w:tcPr>
            <w:tcW w:w="60" w:type="dxa"/>
            <w:tcBorders/>
            <w:vAlign w:val="center"/>
          </w:tcPr>
          <w:p>
            <w:pPr>
              <w:pStyle w:val="TableContents"/>
              <w:bidi w:val="0"/>
              <w:spacing w:before="0" w:after="283"/>
              <w:jc w:val="both"/>
              <w:rPr/>
            </w:pPr>
            <w:r>
              <w:rPr/>
              <w:t> </w:t>
            </w:r>
          </w:p>
        </w:tc>
      </w:tr>
      <w:tr>
        <w:trPr/>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Scot Cohen</w:t>
            </w:r>
          </w:p>
        </w:tc>
        <w:tc>
          <w:tcPr>
            <w:tcW w:w="60" w:type="dxa"/>
            <w:tcBorders/>
            <w:vAlign w:val="center"/>
          </w:tcPr>
          <w:p>
            <w:pPr>
              <w:pStyle w:val="TableContents"/>
              <w:bidi w:val="0"/>
              <w:spacing w:before="0" w:after="283"/>
              <w:jc w:val="both"/>
              <w:rPr/>
            </w:pPr>
            <w:r>
              <w:rPr/>
              <w:t> </w:t>
            </w:r>
          </w:p>
        </w:tc>
      </w:tr>
      <w:tr>
        <w:trPr/>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60" w:type="dxa"/>
            <w:tcBorders/>
            <w:vAlign w:val="center"/>
          </w:tcPr>
          <w:p>
            <w:pPr>
              <w:pStyle w:val="TableContents"/>
              <w:bidi w:val="0"/>
              <w:spacing w:before="0" w:after="283"/>
              <w:jc w:val="both"/>
              <w:rPr/>
            </w:pPr>
            <w:r>
              <w:rPr/>
              <w:t> </w:t>
            </w:r>
          </w:p>
        </w:tc>
      </w:tr>
      <w:tr>
        <w:trPr/>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 and Interim Principal Financial Officer and Principal Accounting Officer)</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02924/000143774925004882/ex_781460.htm" TargetMode="External"/><Relationship Id="rId4" Type="http://schemas.openxmlformats.org/officeDocument/2006/relationships/hyperlink" Target="https://www.sec.gov/Archives/edgar/data/1702924/000143774924027679/ex_717919.htm" TargetMode="External"/><Relationship Id="rId5" Type="http://schemas.openxmlformats.org/officeDocument/2006/relationships/hyperlink" Target="https://www.sec.gov/Archives/edgar/data/1702924/000143774925005752/ex_784263.htm" TargetMode="External"/><Relationship Id="rId6" Type="http://schemas.openxmlformats.org/officeDocument/2006/relationships/hyperlink" Target="https://www.sec.gov/Archives/edgar/data/1702924/000143774925005752/ex_784264.htm" TargetMode="External"/><Relationship Id="rId7" Type="http://schemas.openxmlformats.org/officeDocument/2006/relationships/hyperlink" Target="https://www.sec.gov/Archives/edgar/data/1702924/000143774925005752/ex_784265.htm" TargetMode="External"/><Relationship Id="rId8" Type="http://schemas.openxmlformats.org/officeDocument/2006/relationships/hyperlink" Target="https://www.sec.gov/Archives/edgar/data/1702924/000164117225006244/ex10-2_4.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21351</Words>
  <Characters>115434</Characters>
  <CharactersWithSpaces>137697</CharactersWithSpaces>
  <Paragraphs>4166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