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SECURITIES AND EXCHANGE COMMISSION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4"/>
        </w:rPr>
        <w:t>Washington, DC 20549</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B_edei--DocumentType_c20260902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CURRENT REPORT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of the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Exchange Act of 1934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3_edei--DocumentPeriodEndDate_c202"/>
      <w:bookmarkEnd w:id="3"/>
      <w:r>
        <w:rPr>
          <w:rFonts w:ascii="Times New Roman;Times;Serif" w:hAnsi="Times New Roman;Times;Serif"/>
          <w:b w:val="false"/>
          <w:i w:val="false"/>
          <w:caps w:val="false"/>
          <w:smallCaps w:val="false"/>
          <w:sz w:val="20"/>
        </w:rPr>
        <w:t>September 2,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8_edei--EntityRegistrantName_c2026"/>
      <w:bookmarkEnd w:id="4"/>
      <w:r>
        <w:rPr>
          <w:rFonts w:ascii="Times New Roman;Times;Serif" w:hAnsi="Times New Roman;Times;Serif"/>
          <w:b/>
          <w:i w:val="false"/>
          <w:caps w:val="false"/>
          <w:smallCaps w:val="false"/>
          <w:sz w:val="36"/>
        </w:rPr>
        <w:t>WRAP TECHNOLOGIES,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(Exact name of Registrant as specified in its Charter) </w:t>
      </w:r>
    </w:p>
    <w:p>
      <w:pPr>
        <w:pStyle w:val="TextBody"/>
        <w:bidi w:val="0"/>
        <w:spacing w:before="0" w:after="0"/>
        <w:ind w:left="0" w:right="0" w:hanging="0"/>
        <w:jc w:val="left"/>
        <w:rPr>
          <w:caps w:val="false"/>
          <w:smallCaps w:val="false"/>
        </w:rPr>
      </w:pPr>
      <w:r>
        <w:rPr>
          <w:caps w:val="false"/>
          <w:smallCaps w:val="false"/>
        </w:rPr>
        <w:t> </w:t>
      </w:r>
    </w:p>
    <w:tbl>
      <w:tblPr>
        <w:tblW w:w="4920" w:type="dxa"/>
        <w:jc w:val="left"/>
        <w:tblInd w:w="0" w:type="dxa"/>
        <w:tblLayout w:type="fixed"/>
        <w:tblCellMar>
          <w:top w:w="0" w:type="dxa"/>
          <w:left w:w="0" w:type="dxa"/>
          <w:bottom w:w="28" w:type="dxa"/>
          <w:right w:w="0" w:type="dxa"/>
        </w:tblCellMar>
      </w:tblPr>
      <w:tblGrid>
        <w:gridCol w:w="2165"/>
        <w:gridCol w:w="60"/>
        <w:gridCol w:w="1100"/>
        <w:gridCol w:w="60"/>
        <w:gridCol w:w="1535"/>
      </w:tblGrid>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5" w:name="xdx_900_edei--EntityIncorporationStateCo"/>
            <w:bookmarkEnd w:id="5"/>
            <w:r>
              <w:rPr>
                <w:rFonts w:ascii="Times New Roman;Times;Serif" w:hAnsi="Times New Roman;Times;Serif"/>
                <w:b w:val="false"/>
                <w:i w:val="false"/>
                <w:caps w:val="false"/>
                <w:smallCaps w:val="false"/>
                <w:sz w:val="20"/>
              </w:rPr>
              <w:t>Delaware</w:t>
            </w:r>
          </w:p>
        </w:tc>
        <w:tc>
          <w:tcPr>
            <w:tcW w:w="60" w:type="dxa"/>
            <w:tcBorders/>
            <w:tcMar>
              <w:bottom w:w="0" w:type="dxa"/>
            </w:tcMar>
            <w:vAlign w:val="center"/>
          </w:tcPr>
          <w:p>
            <w:pPr>
              <w:pStyle w:val="TableContents"/>
              <w:bidi w:val="0"/>
              <w:spacing w:before="0" w:after="283"/>
              <w:jc w:val="left"/>
              <w:rPr/>
            </w:pPr>
            <w:r>
              <w:rPr/>
              <w:t> </w:t>
            </w:r>
          </w:p>
        </w:tc>
        <w:tc>
          <w:tcPr>
            <w:tcW w:w="110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6" w:name="xdx_903_edei--EntityFileNumber_c20260902"/>
            <w:bookmarkEnd w:id="6"/>
            <w:r>
              <w:rPr>
                <w:rFonts w:ascii="Times New Roman;Times;Serif" w:hAnsi="Times New Roman;Times;Serif"/>
                <w:b w:val="false"/>
                <w:i w:val="false"/>
                <w:caps w:val="false"/>
                <w:smallCaps w:val="false"/>
                <w:sz w:val="20"/>
              </w:rPr>
              <w:t>001-38750</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7" w:name="xdx_904_edei--EntityTaxIdentificationNum"/>
            <w:bookmarkEnd w:id="7"/>
            <w:r>
              <w:rPr>
                <w:rFonts w:ascii="Times New Roman;Times;Serif" w:hAnsi="Times New Roman;Times;Serif"/>
                <w:b w:val="false"/>
                <w:i w:val="false"/>
                <w:caps w:val="false"/>
                <w:smallCaps w:val="false"/>
                <w:sz w:val="20"/>
              </w:rPr>
              <w:t>98-0551945</w:t>
            </w:r>
          </w:p>
        </w:tc>
      </w:tr>
      <w:tr>
        <w:trPr/>
        <w:tc>
          <w:tcPr>
            <w:tcW w:w="21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No.)</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bookmarkStart w:id="8" w:name="xdx_90D_edei--EntityAddressAddressLine1_"/>
      <w:bookmarkEnd w:id="8"/>
      <w:r>
        <w:rPr>
          <w:rFonts w:ascii="Times New Roman;Times;Serif" w:hAnsi="Times New Roman;Times;Serif"/>
          <w:b w:val="false"/>
          <w:i w:val="false"/>
          <w:caps w:val="false"/>
          <w:smallCaps w:val="false"/>
          <w:sz w:val="20"/>
          <w:u w:val="single"/>
        </w:rPr>
        <w:t xml:space="preserve">3350 Virginia Street, </w:t>
      </w:r>
      <w:bookmarkStart w:id="9" w:name="xdx_900_edei--EntityAddressCityOrTown_c2"/>
      <w:bookmarkEnd w:id="9"/>
      <w:r>
        <w:rPr>
          <w:rFonts w:ascii="Times New Roman;Times;Serif" w:hAnsi="Times New Roman;Times;Serif"/>
          <w:b w:val="false"/>
          <w:i w:val="false"/>
          <w:caps w:val="false"/>
          <w:smallCaps w:val="false"/>
          <w:sz w:val="20"/>
          <w:u w:val="single"/>
        </w:rPr>
        <w:t xml:space="preserve">Miami, </w:t>
      </w:r>
      <w:bookmarkStart w:id="10" w:name="xdx_909_edei--EntityAddressStateOrProvin"/>
      <w:bookmarkEnd w:id="10"/>
      <w:r>
        <w:rPr>
          <w:rFonts w:ascii="Times New Roman;Times;Serif" w:hAnsi="Times New Roman;Times;Serif"/>
          <w:b w:val="false"/>
          <w:i w:val="false"/>
          <w:caps w:val="false"/>
          <w:smallCaps w:val="false"/>
          <w:sz w:val="20"/>
          <w:u w:val="single"/>
        </w:rPr>
        <w:t xml:space="preserve">Florida </w:t>
      </w:r>
      <w:bookmarkStart w:id="11" w:name="xdx_907_edei--EntityAddressPostalZipCode"/>
      <w:bookmarkEnd w:id="11"/>
      <w:r>
        <w:rPr>
          <w:rFonts w:ascii="Times New Roman;Times;Serif" w:hAnsi="Times New Roman;Times;Serif"/>
          <w:b w:val="false"/>
          <w:i w:val="false"/>
          <w:caps w:val="false"/>
          <w:smallCaps w:val="false"/>
          <w:sz w:val="20"/>
          <w:u w:val="single"/>
        </w:rPr>
        <w:t>33133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bookmarkStart w:id="12" w:name="xdx_904_edei--CityAreaCode_c20260902__20"/>
      <w:bookmarkEnd w:id="12"/>
      <w:r>
        <w:rPr>
          <w:rFonts w:ascii="Times New Roman;Times;Serif" w:hAnsi="Times New Roman;Times;Serif"/>
          <w:b w:val="false"/>
          <w:i w:val="false"/>
          <w:caps w:val="false"/>
          <w:smallCaps w:val="false"/>
          <w:sz w:val="20"/>
          <w:u w:val="single"/>
        </w:rPr>
        <w:t xml:space="preserve">(800) </w:t>
      </w:r>
      <w:bookmarkStart w:id="13" w:name="xdx_90E_edei--LocalPhoneNumber_c20260902"/>
      <w:bookmarkEnd w:id="13"/>
      <w:r>
        <w:rPr>
          <w:rFonts w:ascii="Times New Roman;Times;Serif" w:hAnsi="Times New Roman;Times;Serif"/>
          <w:b w:val="false"/>
          <w:i w:val="false"/>
          <w:caps w:val="false"/>
          <w:smallCaps w:val="false"/>
          <w:sz w:val="20"/>
          <w:u w:val="single"/>
        </w:rPr>
        <w:t>583-2652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address, if changed since last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4" w:name="xdx_90E_edei--WrittenCommunications_c202"/>
            <w:bookmarkEnd w:id="14"/>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5" w:name="xdx_903_edei--SolicitingMaterial_c202609"/>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3_edei--PreCommencementTenderOffer"/>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E_edei--PreCommencementIssuerTende"/>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865" w:type="dxa"/>
        <w:jc w:val="left"/>
        <w:tblInd w:w="0" w:type="dxa"/>
        <w:tblLayout w:type="fixed"/>
        <w:tblCellMar>
          <w:top w:w="0" w:type="dxa"/>
          <w:left w:w="0" w:type="dxa"/>
          <w:bottom w:w="28" w:type="dxa"/>
          <w:right w:w="0" w:type="dxa"/>
        </w:tblCellMar>
      </w:tblPr>
      <w:tblGrid>
        <w:gridCol w:w="3620"/>
        <w:gridCol w:w="60"/>
        <w:gridCol w:w="1535"/>
        <w:gridCol w:w="60"/>
        <w:gridCol w:w="3590"/>
      </w:tblGrid>
      <w:tr>
        <w:trPr/>
        <w:tc>
          <w:tcPr>
            <w:tcW w:w="362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36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4_edei--Security12bTitle_c20260902"/>
            <w:bookmarkEnd w:id="18"/>
            <w:r>
              <w:rPr>
                <w:rFonts w:ascii="Times New Roman;Times;Serif" w:hAnsi="Times New Roman;Times;Serif"/>
                <w:b w:val="false"/>
                <w:i w:val="false"/>
                <w:caps w:val="false"/>
                <w:smallCaps w:val="false"/>
                <w:sz w:val="20"/>
              </w:rPr>
              <w:t>Common Stock, par value $0.0001 per share</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8_edei--TradingSymbol_c20260902__2"/>
            <w:bookmarkEnd w:id="19"/>
            <w:r>
              <w:rPr>
                <w:rFonts w:ascii="Times New Roman;Times;Serif" w:hAnsi="Times New Roman;Times;Serif"/>
                <w:b w:val="false"/>
                <w:i w:val="false"/>
                <w:caps w:val="false"/>
                <w:smallCaps w:val="false"/>
                <w:sz w:val="20"/>
              </w:rPr>
              <w:t>WRAP</w:t>
            </w:r>
          </w:p>
        </w:tc>
        <w:tc>
          <w:tcPr>
            <w:tcW w:w="6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B_edei--SecurityExchangeName_c2026"/>
            <w:bookmarkEnd w:id="20"/>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1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Item 5.02 of this Current Report on Form 8-K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Amended and Restated Employment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Scot Cohen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 2026, the Compensation Committee of the Board of Directors (the “</w:t>
      </w:r>
      <w:r>
        <w:rPr>
          <w:rFonts w:ascii="Times New Roman;Times;Serif" w:hAnsi="Times New Roman;Times;Serif"/>
          <w:b w:val="false"/>
          <w:i/>
          <w:caps w:val="false"/>
          <w:smallCaps w:val="false"/>
          <w:sz w:val="20"/>
        </w:rPr>
        <w:t>Compensation Committee</w:t>
      </w:r>
      <w:r>
        <w:rPr>
          <w:rFonts w:ascii="Times New Roman;Times;Serif" w:hAnsi="Times New Roman;Times;Serif"/>
          <w:b w:val="false"/>
          <w:i w:val="false"/>
          <w:caps w:val="false"/>
          <w:smallCaps w:val="false"/>
          <w:sz w:val="20"/>
        </w:rPr>
        <w:t>”) of Wrap Technologies, Inc. (the “</w:t>
      </w:r>
      <w:r>
        <w:rPr>
          <w:rFonts w:ascii="Times New Roman;Times;Serif" w:hAnsi="Times New Roman;Times;Serif"/>
          <w:b w:val="false"/>
          <w:i/>
          <w:caps w:val="false"/>
          <w:smallCaps w:val="false"/>
          <w:sz w:val="20"/>
        </w:rPr>
        <w:t>Company</w:t>
      </w:r>
      <w:r>
        <w:rPr>
          <w:rFonts w:ascii="Times New Roman;Times;Serif" w:hAnsi="Times New Roman;Times;Serif"/>
          <w:b w:val="false"/>
          <w:i w:val="false"/>
          <w:caps w:val="false"/>
          <w:smallCaps w:val="false"/>
          <w:sz w:val="20"/>
        </w:rPr>
        <w:t>”) approved the Amended and Restated Employment Agreement by and between the Company and Scot Cohen (the “</w:t>
      </w:r>
      <w:r>
        <w:rPr>
          <w:rFonts w:ascii="Times New Roman;Times;Serif" w:hAnsi="Times New Roman;Times;Serif"/>
          <w:b w:val="false"/>
          <w:i/>
          <w:caps w:val="false"/>
          <w:smallCaps w:val="false"/>
          <w:sz w:val="20"/>
        </w:rPr>
        <w:t>A&amp;R Cohen Employment Agreement</w:t>
      </w:r>
      <w:r>
        <w:rPr>
          <w:rFonts w:ascii="Times New Roman;Times;Serif" w:hAnsi="Times New Roman;Times;Serif"/>
          <w:b w:val="false"/>
          <w:i w:val="false"/>
          <w:caps w:val="false"/>
          <w:smallCaps w:val="false"/>
          <w:sz w:val="20"/>
        </w:rPr>
        <w:t>”). The A&amp;R Cohen Employment Agreement amends and restates the Company’s employment agreement with Mr. Cohen dated October 12, 2023, as amended on January 14, 2024. Mr. Cohen serves as the Company’s Executive Chairman and Chief Executive Officer. The A&amp;R Cohen Employment Agreement provides, among other things, for additional grants of performance restricted stock awards described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A&amp;R Cohen Employment Agreement provides for an annualized base salary of $200,000 (the “</w:t>
      </w:r>
      <w:r>
        <w:rPr>
          <w:rFonts w:ascii="Times New Roman;Times;Serif" w:hAnsi="Times New Roman;Times;Serif"/>
          <w:b w:val="false"/>
          <w:i/>
          <w:caps w:val="false"/>
          <w:smallCaps w:val="false"/>
          <w:sz w:val="20"/>
        </w:rPr>
        <w:t>Cohen Base Salary</w:t>
      </w:r>
      <w:r>
        <w:rPr>
          <w:rFonts w:ascii="Times New Roman;Times;Serif" w:hAnsi="Times New Roman;Times;Serif"/>
          <w:b w:val="false"/>
          <w:i w:val="false"/>
          <w:caps w:val="false"/>
          <w:smallCaps w:val="false"/>
          <w:sz w:val="20"/>
        </w:rPr>
        <w:t>”), an initial term of two years (the “</w:t>
      </w:r>
      <w:r>
        <w:rPr>
          <w:rFonts w:ascii="Times New Roman;Times;Serif" w:hAnsi="Times New Roman;Times;Serif"/>
          <w:b w:val="false"/>
          <w:i/>
          <w:caps w:val="false"/>
          <w:smallCaps w:val="false"/>
          <w:sz w:val="20"/>
        </w:rPr>
        <w:t>Cohen Initial Term</w:t>
      </w:r>
      <w:r>
        <w:rPr>
          <w:rFonts w:ascii="Times New Roman;Times;Serif" w:hAnsi="Times New Roman;Times;Serif"/>
          <w:b w:val="false"/>
          <w:i w:val="false"/>
          <w:caps w:val="false"/>
          <w:smallCaps w:val="false"/>
          <w:sz w:val="20"/>
        </w:rPr>
        <w:t>”), and automatic renewal for successive 12-month periods (each, a “</w:t>
      </w:r>
      <w:r>
        <w:rPr>
          <w:rFonts w:ascii="Times New Roman;Times;Serif" w:hAnsi="Times New Roman;Times;Serif"/>
          <w:b w:val="false"/>
          <w:i/>
          <w:caps w:val="false"/>
          <w:smallCaps w:val="false"/>
          <w:sz w:val="20"/>
        </w:rPr>
        <w:t>Cohen Renewal Term</w:t>
      </w:r>
      <w:r>
        <w:rPr>
          <w:rFonts w:ascii="Times New Roman;Times;Serif" w:hAnsi="Times New Roman;Times;Serif"/>
          <w:b w:val="false"/>
          <w:i w:val="false"/>
          <w:caps w:val="false"/>
          <w:smallCaps w:val="false"/>
          <w:sz w:val="20"/>
        </w:rPr>
        <w:t>”) unless either party delivers written notice of non-renewal at least 90 days before the expiration of the then-current Cohen Initial Term or Cohen Renewal Term. The A&amp;R Cohen Employment Agreement provides for eligibility for an annual discretionary bonus (the “</w:t>
      </w:r>
      <w:r>
        <w:rPr>
          <w:rFonts w:ascii="Times New Roman;Times;Serif" w:hAnsi="Times New Roman;Times;Serif"/>
          <w:b w:val="false"/>
          <w:i/>
          <w:caps w:val="false"/>
          <w:smallCaps w:val="false"/>
          <w:sz w:val="20"/>
        </w:rPr>
        <w:t>Cohen Annual Bonus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A&amp;R Cohen Employment Agreement is terminated by the Company without Cause (as defined in such agreement), by the executive for Good Reason (as defined in such agreement), or upon the expiration of the Cohen Initial Term or a Cohen Renewal Term as a result of the Company’s notice of non-renewal, then, subject to Mr. Cohen’s execution and non-revocation of a release and compliance with specified continuing obligations, Mr. Cohen will be entitled to severance payments equal to 12 months of the Cohen Base Salary, any earned but unpaid Cohen Annual Bonus in respect of any completed year, and reimbursement of a portion of the premiums for continuation coverage under the Company’s group health plans pursuant to COBRA for up to 12 months. The A&amp;R Cohen Employment Agreement also contains customary confidentiality, non-competition, non-solicitation and intellectual property assignment covenants, including a 12-month post-termination non-competition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Jared Novick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 2026, the Compensation Committee approved the Amended and Restated Employment Agreement by and between the Company and Jared Novick (the “</w:t>
      </w:r>
      <w:r>
        <w:rPr>
          <w:rFonts w:ascii="Times New Roman;Times;Serif" w:hAnsi="Times New Roman;Times;Serif"/>
          <w:b w:val="false"/>
          <w:i/>
          <w:caps w:val="false"/>
          <w:smallCaps w:val="false"/>
          <w:sz w:val="20"/>
        </w:rPr>
        <w:t>A&amp;R Novick Employment Agreement</w:t>
      </w:r>
      <w:r>
        <w:rPr>
          <w:rFonts w:ascii="Times New Roman;Times;Serif" w:hAnsi="Times New Roman;Times;Serif"/>
          <w:b w:val="false"/>
          <w:i w:val="false"/>
          <w:caps w:val="false"/>
          <w:smallCaps w:val="false"/>
          <w:sz w:val="20"/>
        </w:rPr>
        <w:t>” and, together with the A&amp;R Cohen Employment Agreement, the “</w:t>
      </w:r>
      <w:r>
        <w:rPr>
          <w:rFonts w:ascii="Times New Roman;Times;Serif" w:hAnsi="Times New Roman;Times;Serif"/>
          <w:b w:val="false"/>
          <w:i/>
          <w:caps w:val="false"/>
          <w:smallCaps w:val="false"/>
          <w:sz w:val="20"/>
        </w:rPr>
        <w:t>A&amp;R Employment Agreements</w:t>
      </w:r>
      <w:r>
        <w:rPr>
          <w:rFonts w:ascii="Times New Roman;Times;Serif" w:hAnsi="Times New Roman;Times;Serif"/>
          <w:b w:val="false"/>
          <w:i w:val="false"/>
          <w:caps w:val="false"/>
          <w:smallCaps w:val="false"/>
          <w:sz w:val="20"/>
        </w:rPr>
        <w:t>”). The A&amp;R Novick Employment Agreement amends and restates the Company’s employment agreement with Mr. Novick dated December 26, 2023. Mr. Novick serves as the Company’s President and Chief Operating Officer. The A&amp;R Novick Employment Agreement provides, among other things, for additional grants of performance restricted stock awards described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A&amp;R Novick Employment Agreement provides for an annualized base salary of $200,000 (the “</w:t>
      </w:r>
      <w:r>
        <w:rPr>
          <w:rFonts w:ascii="Times New Roman;Times;Serif" w:hAnsi="Times New Roman;Times;Serif"/>
          <w:b w:val="false"/>
          <w:i/>
          <w:caps w:val="false"/>
          <w:smallCaps w:val="false"/>
          <w:sz w:val="20"/>
        </w:rPr>
        <w:t>Novick Base Salary</w:t>
      </w:r>
      <w:r>
        <w:rPr>
          <w:rFonts w:ascii="Times New Roman;Times;Serif" w:hAnsi="Times New Roman;Times;Serif"/>
          <w:b w:val="false"/>
          <w:i w:val="false"/>
          <w:caps w:val="false"/>
          <w:smallCaps w:val="false"/>
          <w:sz w:val="20"/>
        </w:rPr>
        <w:t>”), an initial term of two years (the “</w:t>
      </w:r>
      <w:r>
        <w:rPr>
          <w:rFonts w:ascii="Times New Roman;Times;Serif" w:hAnsi="Times New Roman;Times;Serif"/>
          <w:b w:val="false"/>
          <w:i/>
          <w:caps w:val="false"/>
          <w:smallCaps w:val="false"/>
          <w:sz w:val="20"/>
        </w:rPr>
        <w:t>Novick Initial Term</w:t>
      </w:r>
      <w:r>
        <w:rPr>
          <w:rFonts w:ascii="Times New Roman;Times;Serif" w:hAnsi="Times New Roman;Times;Serif"/>
          <w:b w:val="false"/>
          <w:i w:val="false"/>
          <w:caps w:val="false"/>
          <w:smallCaps w:val="false"/>
          <w:sz w:val="20"/>
        </w:rPr>
        <w:t>”), and automatic renewal for successive 12-month periods (each, a “</w:t>
      </w:r>
      <w:r>
        <w:rPr>
          <w:rFonts w:ascii="Times New Roman;Times;Serif" w:hAnsi="Times New Roman;Times;Serif"/>
          <w:b w:val="false"/>
          <w:i/>
          <w:caps w:val="false"/>
          <w:smallCaps w:val="false"/>
          <w:sz w:val="20"/>
        </w:rPr>
        <w:t>Novick Renewal Term</w:t>
      </w:r>
      <w:r>
        <w:rPr>
          <w:rFonts w:ascii="Times New Roman;Times;Serif" w:hAnsi="Times New Roman;Times;Serif"/>
          <w:b w:val="false"/>
          <w:i w:val="false"/>
          <w:caps w:val="false"/>
          <w:smallCaps w:val="false"/>
          <w:sz w:val="20"/>
        </w:rPr>
        <w:t>”) unless either party delivers written notice of non-renewal at least 90 days before the expiration of the then-current Novick Initial Term or Novick Renewal Term. The A&amp;R Novick Employment Agreement provides for eligibility for an annual discretionary bonus (the “</w:t>
      </w:r>
      <w:r>
        <w:rPr>
          <w:rFonts w:ascii="Times New Roman;Times;Serif" w:hAnsi="Times New Roman;Times;Serif"/>
          <w:b w:val="false"/>
          <w:i/>
          <w:caps w:val="false"/>
          <w:smallCaps w:val="false"/>
          <w:sz w:val="20"/>
        </w:rPr>
        <w:t>Novick</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Annual Bonus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A&amp;R Novick Employment Agreement is terminated by the Company without Cause (as defined in such agreement), by the executive for Good Reason (as defined in such agreement), or upon the expiration of the Novick Initial Term or a Novick Renewal Term as a result of the Company’s notice of non-renewal, then, subject to Mr. Novick’s execution and non-revocation of a release and compliance with specified continuing obligations, Mr. Novick will be entitled to severance payments equal to 12 months of the Novick Base Salary, any earned but unpaid Novick Annual Bonus in respect of any completed year, and reimbursement of a portion of the premiums for continuation coverage under the Company’s group health plans pursuant to COBRA for up to 12 months. The A&amp;R Novick Employment Agreement also contains customary confidentiality, non-competition, non-solicitation and intellectual property assignment covenants, including a 12-month post-termination non-competition period.</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of the A&amp;R Employment Agreements do not purport to be complete and are qualified in their entirety by the full texts of the A&amp;R Cohen Employment Agreement and the A&amp;R Novick Employment Agreement, as applicable, copies of which are filed as Exhibits 10.1 and 10.2, respectively, to this Current Report on Form 8-K (this “Current Report”) and are incorporated by reference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Performance Restricted Stock Awards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 2026, the Compensation Committee approved a grant to Mr. Cohen of 4,000,000 shares of performance restricted stock (the “</w:t>
      </w:r>
      <w:r>
        <w:rPr>
          <w:rFonts w:ascii="Times New Roman;Times;Serif" w:hAnsi="Times New Roman;Times;Serif"/>
          <w:b w:val="false"/>
          <w:i/>
          <w:caps w:val="false"/>
          <w:smallCaps w:val="false"/>
          <w:sz w:val="20"/>
        </w:rPr>
        <w:t>Cohen Award</w:t>
      </w:r>
      <w:r>
        <w:rPr>
          <w:rFonts w:ascii="Times New Roman;Times;Serif" w:hAnsi="Times New Roman;Times;Serif"/>
          <w:b w:val="false"/>
          <w:i w:val="false"/>
          <w:caps w:val="false"/>
          <w:smallCaps w:val="false"/>
          <w:sz w:val="20"/>
        </w:rPr>
        <w:t>”) under the Wrap Technologies, Inc. 2017 Equity Compensation Plan, as amended (the “</w:t>
      </w:r>
      <w:r>
        <w:rPr>
          <w:rFonts w:ascii="Times New Roman;Times;Serif" w:hAnsi="Times New Roman;Times;Serif"/>
          <w:b w:val="false"/>
          <w:i/>
          <w:caps w:val="false"/>
          <w:smallCaps w:val="false"/>
          <w:sz w:val="20"/>
        </w:rPr>
        <w:t>Equity Plan</w:t>
      </w:r>
      <w:r>
        <w:rPr>
          <w:rFonts w:ascii="Times New Roman;Times;Serif" w:hAnsi="Times New Roman;Times;Serif"/>
          <w:b w:val="false"/>
          <w:i w:val="false"/>
          <w:caps w:val="false"/>
          <w:smallCaps w:val="false"/>
          <w:sz w:val="20"/>
        </w:rPr>
        <w:t>”). Of these shares, 1,600,000 shares are subject to stockholder approval of the Company’s proposal to increase the number of shares authorized for issuance under the Equity Plan by March 15, 2027 (the “</w:t>
      </w:r>
      <w:r>
        <w:rPr>
          <w:rFonts w:ascii="Times New Roman;Times;Serif" w:hAnsi="Times New Roman;Times;Serif"/>
          <w:b w:val="false"/>
          <w:i/>
          <w:caps w:val="false"/>
          <w:smallCaps w:val="false"/>
          <w:sz w:val="20"/>
        </w:rPr>
        <w:t>Stockholder Approval Requirement</w:t>
      </w:r>
      <w:r>
        <w:rPr>
          <w:rFonts w:ascii="Times New Roman;Times;Serif" w:hAnsi="Times New Roman;Times;Serif"/>
          <w:b w:val="false"/>
          <w:i w:val="false"/>
          <w:caps w:val="false"/>
          <w:smallCaps w:val="false"/>
          <w:sz w:val="20"/>
        </w:rPr>
        <w:t>”) and will be null and void if such approval is not obtained by that date. Subject to Mr. Cohen’s continued service with the Company or any of its affiliates as an employee, non-employee director or consultant, the Cohen Award will vest based on the Company’s market capitalization as reported by Bloomberg L.P. (the “</w:t>
      </w:r>
      <w:r>
        <w:rPr>
          <w:rFonts w:ascii="Times New Roman;Times;Serif" w:hAnsi="Times New Roman;Times;Serif"/>
          <w:b w:val="false"/>
          <w:i/>
          <w:caps w:val="false"/>
          <w:smallCaps w:val="false"/>
          <w:sz w:val="20"/>
        </w:rPr>
        <w:t>Market Capitalization</w:t>
      </w:r>
      <w:r>
        <w:rPr>
          <w:rFonts w:ascii="Times New Roman;Times;Serif" w:hAnsi="Times New Roman;Times;Serif"/>
          <w:b w:val="false"/>
          <w:i w:val="false"/>
          <w:caps w:val="false"/>
          <w:smallCaps w:val="false"/>
          <w:sz w:val="20"/>
        </w:rPr>
        <w:t>”) as follows: (i) with respect to 1,000,000 shares, on the date on which the Market Capitalization meets or exceeds $150.0 million for each trading day during 45 consecutive trading days; (ii) with respect to 1,000,000 shares, on the date on which the Market Capitalization meets or exceeds $225.0 million for each trading day during 45 consecutive trading days; (iii) with respect to 1,000,000 shares, on the date on which the Market Capitalization meets or exceeds $337.5 million for each trading day during 45 consecutive trading days; and (iv) with respect to the remaining 1,000,000 shares, on the date on which the Market Capitalization meets or exceeds $506.25 million for each trading day during 45 consecutive trading days.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 2026, the Compensation Committee approved a grant to Mr. Novick of 2,000,000 shares of performance restricted stock (the “</w:t>
      </w:r>
      <w:r>
        <w:rPr>
          <w:rFonts w:ascii="Times New Roman;Times;Serif" w:hAnsi="Times New Roman;Times;Serif"/>
          <w:b w:val="false"/>
          <w:i/>
          <w:caps w:val="false"/>
          <w:smallCaps w:val="false"/>
          <w:sz w:val="20"/>
        </w:rPr>
        <w:t>Novick Award</w:t>
      </w:r>
      <w:r>
        <w:rPr>
          <w:rFonts w:ascii="Times New Roman;Times;Serif" w:hAnsi="Times New Roman;Times;Serif"/>
          <w:b w:val="false"/>
          <w:i w:val="false"/>
          <w:caps w:val="false"/>
          <w:smallCaps w:val="false"/>
          <w:sz w:val="20"/>
        </w:rPr>
        <w:t>”, together with the Cohen Award, the “</w:t>
      </w:r>
      <w:r>
        <w:rPr>
          <w:rFonts w:ascii="Times New Roman;Times;Serif" w:hAnsi="Times New Roman;Times;Serif"/>
          <w:b w:val="false"/>
          <w:i/>
          <w:caps w:val="false"/>
          <w:smallCaps w:val="false"/>
          <w:sz w:val="20"/>
        </w:rPr>
        <w:t>RS Awards</w:t>
      </w:r>
      <w:r>
        <w:rPr>
          <w:rFonts w:ascii="Times New Roman;Times;Serif" w:hAnsi="Times New Roman;Times;Serif"/>
          <w:b w:val="false"/>
          <w:i w:val="false"/>
          <w:caps w:val="false"/>
          <w:smallCaps w:val="false"/>
          <w:sz w:val="20"/>
        </w:rPr>
        <w:t>”) under the Equity Plan. Of these shares, 800,000 shares are subject to the Stockholder Approval Requirement. Subject to Mr. Novick’s continued service with the Company or any of its affiliates as an employee, non-employee director or consultant, the Novick Award will vest based on the Market Capitalization as follows: (i) with respect to 500,000 shares, on the date on which the Market Capitalization meets or exceeds $150.0 million for each trading day during 45 consecutive trading days; (ii) with respect to 500,000 shares, on the date on which the Market Capitalization meets or exceeds $225.0 million for each trading day during 45 consecutive trading days; (iii) with respect to 500,000 shares, on the date on which the Market Capitalization meets or exceeds $337.5 million for each trading day during 45 consecutive trading days; and (iv) with respect to the remaining 500,000 shares, on the date on which the Market Capitalization meets or exceeds $506.25 million for each trading day during 45 consecutive trading days.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RS Awards, if there is a Corporate Transaction (as defined in the Equity Plan) and the Market Capitalization of the Company implied by the applicable purchase price meets or exceeds a vesting threshold, the applicable 45-consecutive-trading-day period will be disregarded and the applicable shares will vest, effective as of the consummation of such Corporate Transaction, to the extent the applicable threshold is met. If, in connection with a Corporate Transaction, an RS Award is not assumed, continued or replaced with a substantially equivalent award, all unvested shares will immediately vest in full, subject to the applicable Stockholder Approval Requirement. In addition, if the applicable executive’s employment is terminated by the Company without Cause (as defined in the applicable employment agreement) or the executive resigns for Good Reason (as defined in the applicable employment agreement), all unvested shares will immediately vest in full, subject to the applicable Stockholder Approval Requirement and the applicable release condition. If the applicable executive’s service with the Company terminates for any other reason, all unvested shares will be forfeited.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Amendments</w:t>
      </w:r>
      <w:r>
        <w:rPr>
          <w:rFonts w:ascii="Times New Roman;Times;Serif" w:hAnsi="Times New Roman;Times;Serif"/>
          <w:b w:val="false"/>
          <w:i w:val="false"/>
          <w:caps w:val="false"/>
          <w:smallCaps w:val="false"/>
          <w:sz w:val="20"/>
        </w:rPr>
        <w:t xml:space="preserve"> to </w:t>
      </w:r>
      <w:r>
        <w:rPr>
          <w:rFonts w:ascii="Times New Roman;Times;Serif" w:hAnsi="Times New Roman;Times;Serif"/>
          <w:b w:val="false"/>
          <w:i/>
          <w:caps w:val="false"/>
          <w:smallCaps w:val="false"/>
          <w:sz w:val="20"/>
        </w:rPr>
        <w:t>Prior Stock Option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 2026, the Compensation Committee amended Section 3(a) of each of the following non-statutory stock option agreements: (i) Mr. Novick’s Non-Statutory Stock Option Agreement dated December 26, 2023; (ii) Mr. Novick’s Non-Statutory Stock Option Agreement dated February 1, 2026; and (iii) Mr. Cohen’s Non-Statutory Stock Option Agreement dated February 1, 2026 (collectively, the “</w:t>
      </w:r>
      <w:r>
        <w:rPr>
          <w:rFonts w:ascii="Times New Roman;Times;Serif" w:hAnsi="Times New Roman;Times;Serif"/>
          <w:b w:val="false"/>
          <w:i/>
          <w:caps w:val="false"/>
          <w:smallCaps w:val="false"/>
          <w:sz w:val="20"/>
        </w:rPr>
        <w:t>Stock Option Agreements</w:t>
      </w:r>
      <w:r>
        <w:rPr>
          <w:rFonts w:ascii="Times New Roman;Times;Serif" w:hAnsi="Times New Roman;Times;Serif"/>
          <w:b w:val="false"/>
          <w:i w:val="false"/>
          <w:caps w:val="false"/>
          <w:smallCaps w:val="false"/>
          <w:sz w:val="20"/>
        </w:rPr>
        <w:t>”). The amendments to the Stock Option Agreements extend the post-termination exercise period following termination of the option holder’s employment or Continuous Service (as defined in the Stock Option Agreements), other than for cause, death or disability, from three (3) months to twenty-four (24) months.</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of the Cohen Award and the Novick Award do not purport to be complete and are qualified in their entirety by the full texts of the RS Awards, as applicable, copies of which are filed as Exhibits 10.3 and 10.4, respectively, to this Current Report and are incorporated by reference herein.</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11"/>
        <w:gridCol w:w="60"/>
        <w:gridCol w:w="9234"/>
      </w:tblGrid>
      <w:tr>
        <w:trPr/>
        <w:tc>
          <w:tcPr>
            <w:tcW w:w="911"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4"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Description</w:t>
            </w:r>
          </w:p>
        </w:tc>
      </w:tr>
      <w:tr>
        <w:trPr/>
        <w:tc>
          <w:tcPr>
            <w:tcW w:w="91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4" w:type="dxa"/>
            <w:tcBorders/>
            <w:tcMar>
              <w:bottom w:w="0" w:type="dxa"/>
            </w:tcMar>
            <w:vAlign w:val="center"/>
          </w:tcPr>
          <w:p>
            <w:pPr>
              <w:pStyle w:val="TableContents"/>
              <w:bidi w:val="0"/>
              <w:spacing w:before="0" w:after="283"/>
              <w:jc w:val="both"/>
              <w:rPr/>
            </w:pPr>
            <w:hyperlink w:anchor="ex10-1.htm">
              <w:r>
                <w:rPr>
                  <w:rStyle w:val="InternetLink"/>
                  <w:rFonts w:ascii="Times New Roman;Times;Serif" w:hAnsi="Times New Roman;Times;Serif"/>
                  <w:b w:val="false"/>
                  <w:i w:val="false"/>
                  <w:caps w:val="false"/>
                  <w:smallCaps w:val="false"/>
                  <w:sz w:val="20"/>
                </w:rPr>
                <w:t>Amended and Restated Employment Agreement by and between Scot Cohen and Wrap Technologies, Inc. dated September 2, 2026</w:t>
              </w:r>
            </w:hyperlink>
          </w:p>
        </w:tc>
      </w:tr>
      <w:tr>
        <w:trPr/>
        <w:tc>
          <w:tcPr>
            <w:tcW w:w="91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4" w:type="dxa"/>
            <w:tcBorders/>
            <w:tcMar>
              <w:bottom w:w="0" w:type="dxa"/>
            </w:tcMar>
            <w:vAlign w:val="center"/>
          </w:tcPr>
          <w:p>
            <w:pPr>
              <w:pStyle w:val="TableContents"/>
              <w:bidi w:val="0"/>
              <w:spacing w:before="0" w:after="283"/>
              <w:jc w:val="both"/>
              <w:rPr/>
            </w:pPr>
            <w:hyperlink w:anchor="ex10-2.htm">
              <w:r>
                <w:rPr>
                  <w:rStyle w:val="InternetLink"/>
                  <w:rFonts w:ascii="Times New Roman;Times;Serif" w:hAnsi="Times New Roman;Times;Serif"/>
                  <w:b w:val="false"/>
                  <w:i w:val="false"/>
                  <w:caps w:val="false"/>
                  <w:smallCaps w:val="false"/>
                  <w:sz w:val="20"/>
                </w:rPr>
                <w:t>Amended and Restated Employment Agreement by and between Jared Novick and Wrap Technologies, Inc. dated September 2, 2026</w:t>
              </w:r>
            </w:hyperlink>
          </w:p>
        </w:tc>
      </w:tr>
      <w:tr>
        <w:trPr/>
        <w:tc>
          <w:tcPr>
            <w:tcW w:w="91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4" w:type="dxa"/>
            <w:tcBorders/>
            <w:tcMar>
              <w:bottom w:w="0" w:type="dxa"/>
            </w:tcMar>
            <w:vAlign w:val="center"/>
          </w:tcPr>
          <w:p>
            <w:pPr>
              <w:pStyle w:val="TableContents"/>
              <w:bidi w:val="0"/>
              <w:spacing w:before="0" w:after="283"/>
              <w:jc w:val="both"/>
              <w:rPr/>
            </w:pPr>
            <w:hyperlink w:anchor="ex10-3.htm">
              <w:r>
                <w:rPr>
                  <w:rStyle w:val="InternetLink"/>
                  <w:rFonts w:ascii="Times New Roman;Times;Serif" w:hAnsi="Times New Roman;Times;Serif"/>
                  <w:b w:val="false"/>
                  <w:i w:val="false"/>
                  <w:caps w:val="false"/>
                  <w:smallCaps w:val="false"/>
                  <w:sz w:val="20"/>
                </w:rPr>
                <w:t>Performance Restricted Stock Award Agreement by and between Scot Cohen and Wrap Technologies, Inc. dated September 2, 2026</w:t>
              </w:r>
            </w:hyperlink>
          </w:p>
        </w:tc>
      </w:tr>
      <w:tr>
        <w:trPr/>
        <w:tc>
          <w:tcPr>
            <w:tcW w:w="91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4" w:type="dxa"/>
            <w:tcBorders/>
            <w:tcMar>
              <w:bottom w:w="0" w:type="dxa"/>
            </w:tcMar>
            <w:vAlign w:val="center"/>
          </w:tcPr>
          <w:p>
            <w:pPr>
              <w:pStyle w:val="TableContents"/>
              <w:bidi w:val="0"/>
              <w:spacing w:before="0" w:after="283"/>
              <w:jc w:val="both"/>
              <w:rPr/>
            </w:pPr>
            <w:hyperlink w:anchor="ex10-4.htm">
              <w:r>
                <w:rPr>
                  <w:rStyle w:val="InternetLink"/>
                  <w:rFonts w:ascii="Times New Roman;Times;Serif" w:hAnsi="Times New Roman;Times;Serif"/>
                  <w:b w:val="false"/>
                  <w:i w:val="false"/>
                  <w:caps w:val="false"/>
                  <w:smallCaps w:val="false"/>
                  <w:sz w:val="20"/>
                </w:rPr>
                <w:t>Performance Restricted Stock Award Agreement by and between Jared Novick and Wrap Technologies, Inc. dated September 2, 2026</w:t>
              </w:r>
            </w:hyperlink>
          </w:p>
        </w:tc>
      </w:tr>
      <w:tr>
        <w:trPr/>
        <w:tc>
          <w:tcPr>
            <w:tcW w:w="91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as Inline XBRL)</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764" w:type="dxa"/>
        <w:jc w:val="left"/>
        <w:tblInd w:w="0" w:type="dxa"/>
        <w:tblLayout w:type="fixed"/>
        <w:tblCellMar>
          <w:top w:w="0" w:type="dxa"/>
          <w:left w:w="0" w:type="dxa"/>
          <w:bottom w:w="0" w:type="dxa"/>
          <w:right w:w="0" w:type="dxa"/>
        </w:tblCellMar>
      </w:tblPr>
      <w:tblGrid>
        <w:gridCol w:w="2030"/>
        <w:gridCol w:w="384"/>
        <w:gridCol w:w="2350"/>
      </w:tblGrid>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273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WRAP TECHNOLOGIES, INC.</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384" w:type="dxa"/>
            <w:tcBorders/>
            <w:vAlign w:val="center"/>
          </w:tcPr>
          <w:p>
            <w:pPr>
              <w:pStyle w:val="TableContents"/>
              <w:bidi w:val="0"/>
              <w:spacing w:before="0" w:after="283"/>
              <w:jc w:val="left"/>
              <w:rPr>
                <w:caps w:val="false"/>
                <w:smallCaps w:val="false"/>
              </w:rPr>
            </w:pPr>
            <w:r>
              <w:rPr>
                <w:caps w:val="false"/>
                <w:smallCaps w:val="false"/>
              </w:rPr>
              <w:t> </w:t>
            </w:r>
          </w:p>
        </w:tc>
        <w:tc>
          <w:tcPr>
            <w:tcW w:w="23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9, 2026</w:t>
            </w:r>
          </w:p>
        </w:tc>
        <w:tc>
          <w:tcPr>
            <w:tcW w:w="3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Scot Cohen</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384" w:type="dxa"/>
            <w:tcBorders/>
            <w:vAlign w:val="center"/>
          </w:tcPr>
          <w:p>
            <w:pPr>
              <w:pStyle w:val="TableContents"/>
              <w:bidi w:val="0"/>
              <w:spacing w:before="0" w:after="283"/>
              <w:jc w:val="left"/>
              <w:rPr>
                <w:caps w:val="false"/>
                <w:smallCaps w:val="false"/>
              </w:rPr>
            </w:pPr>
            <w:r>
              <w:rPr>
                <w:caps w:val="false"/>
                <w:smallCaps w:val="false"/>
              </w:rPr>
              <w:t> </w:t>
            </w:r>
          </w:p>
        </w:tc>
        <w:tc>
          <w:tcPr>
            <w:tcW w:w="2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 Cohen</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384" w:type="dxa"/>
            <w:tcBorders/>
            <w:vAlign w:val="center"/>
          </w:tcPr>
          <w:p>
            <w:pPr>
              <w:pStyle w:val="TableContents"/>
              <w:bidi w:val="0"/>
              <w:spacing w:before="0" w:after="283"/>
              <w:jc w:val="left"/>
              <w:rPr>
                <w:caps w:val="false"/>
                <w:smallCaps w:val="false"/>
              </w:rPr>
            </w:pPr>
            <w:r>
              <w:rPr>
                <w:caps w:val="false"/>
                <w:smallCaps w:val="false"/>
              </w:rPr>
              <w:t> </w:t>
            </w:r>
          </w:p>
        </w:tc>
        <w:tc>
          <w:tcPr>
            <w:tcW w:w="2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bookmarkStart w:id="22" w:name="ex10-1.htm"/>
      <w:bookmarkStart w:id="23" w:name="ksex101"/>
      <w:bookmarkEnd w:id="22"/>
      <w:bookmarkEnd w:id="2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 EMPLOYMENT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Amended and Restated Employment Agreement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made and entered into by and between Wrap Technologies,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Scot Cohen (“</w:t>
      </w:r>
      <w:r>
        <w:rPr>
          <w:rFonts w:ascii="Times New Roman;Times;Serif" w:hAnsi="Times New Roman;Times;Serif"/>
          <w:b/>
          <w:i w:val="false"/>
          <w:caps w:val="false"/>
          <w:smallCaps w:val="false"/>
          <w:sz w:val="20"/>
        </w:rPr>
        <w:t>Executive</w:t>
      </w:r>
      <w:r>
        <w:rPr>
          <w:rFonts w:ascii="Times New Roman;Times;Serif" w:hAnsi="Times New Roman;Times;Serif"/>
          <w:b w:val="false"/>
          <w:i w:val="false"/>
          <w:caps w:val="false"/>
          <w:smallCaps w:val="false"/>
          <w:sz w:val="20"/>
        </w:rPr>
        <w:t>”) on September 2, 2026 (the “</w:t>
      </w:r>
      <w:r>
        <w:rPr>
          <w:rFonts w:ascii="Times New Roman;Times;Serif" w:hAnsi="Times New Roman;Times;Serif"/>
          <w:b/>
          <w:i w:val="false"/>
          <w:caps w:val="false"/>
          <w:smallCaps w:val="false"/>
          <w:sz w:val="20"/>
        </w:rPr>
        <w:t>A&amp;R Effective Date</w:t>
      </w:r>
      <w:r>
        <w:rPr>
          <w:rFonts w:ascii="Times New Roman;Times;Serif" w:hAnsi="Times New Roman;Times;Serif"/>
          <w:b w:val="false"/>
          <w:i w:val="false"/>
          <w:caps w:val="false"/>
          <w:smallCaps w:val="false"/>
          <w:sz w:val="20"/>
        </w:rPr>
        <w:t>”), and amends, restates, and supersedes in its entirety the employment agreement entered into by the Company and Executive dated October 12, 2023, as amended on January 14, 2024 (the “</w:t>
      </w:r>
      <w:r>
        <w:rPr>
          <w:rFonts w:ascii="Times New Roman;Times;Serif" w:hAnsi="Times New Roman;Times;Serif"/>
          <w:b/>
          <w:i w:val="false"/>
          <w:caps w:val="false"/>
          <w:smallCaps w:val="false"/>
          <w:sz w:val="20"/>
        </w:rPr>
        <w:t>Original Agreement</w:t>
      </w:r>
      <w:r>
        <w:rPr>
          <w:rFonts w:ascii="Times New Roman;Times;Serif" w:hAnsi="Times New Roman;Times;Serif"/>
          <w:b w:val="false"/>
          <w:i w:val="false"/>
          <w:caps w:val="false"/>
          <w:smallCaps w:val="false"/>
          <w:sz w:val="20"/>
        </w:rPr>
        <w:t>), effective as of the A&amp;R Effective Date. The date of the Original Agreement, October 12, 2023, shall remain the “</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for purposes of the original employment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Executive and the Company entered into the Original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parties desire to amend and restate the Original Agreement to (i) reflect the revision of Executive’s title pursuant to that certain First Amendment to the Original Agreement, dated January 14, 2024, (ii) add a new Section 3(c) providing for an annual discretionary bonus, and (iii) provide for an additional equity award under Section 3(b)(iv)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except as expressly modified as provided in (i) through (iii) above, the parties intend that all other terms and conditions of Executive’s employment shall remain substantively unchanged from the Original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and agreements set forth herein, and for other good and valuable consideration, the receipt and sufficiency of which are hereby acknowledged, the parties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i w:val="false"/>
          <w:caps w:val="false"/>
          <w:smallCaps w:val="false"/>
          <w:sz w:val="20"/>
        </w:rPr>
        <w:t>Employment</w:t>
      </w:r>
      <w:r>
        <w:rPr>
          <w:rFonts w:ascii="Times New Roman;Times;Serif" w:hAnsi="Times New Roman;Times;Serif"/>
          <w:b w:val="false"/>
          <w:i w:val="false"/>
          <w:caps w:val="false"/>
          <w:smallCaps w:val="false"/>
          <w:sz w:val="20"/>
        </w:rPr>
        <w:t>. During the Employment Period (as defined in Section 4), the Company shall employ Executive, and Executive shall serve, as Executive Chairman and Chief Executive Officer of the Company and in such other position or positions as may be assigned from time to time by the Board of Directors of the Company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Executive shall report directly to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i w:val="false"/>
          <w:caps w:val="false"/>
          <w:smallCaps w:val="false"/>
          <w:sz w:val="20"/>
        </w:rPr>
        <w:t>Duties and Responsibilities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During the Employment Period, Executive shall devote Executive’s best efforts and substantially all of his business time and attention to the business of the Company as may be requested by the Board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Executive hereby represents and warrants that Executive is not the subject of, or a party to, any non-competition, non-solicitation, restrictive covenant or non-disclosure agreement, or any other agreement, obligation, restriction or understanding that would prohibit Executive from executing this Agreement or fully performing each of Executive’s duties and responsibilities hereunder, or would in any manner, directly or indirectly, limit or affect any of the duties and responsibilities that may now or in the future be assigned to Executive hereunder. Executive expressly acknowledges and agrees that Executive is strictly prohibited from using or disclosing any confidential information belonging to any prior employer in the course of performing services for the Company, and Executive promises that Executive shall not do so. Executive shall not disclose confidential information of any prior employer to the Company or any director, officer or employee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i w:val="false"/>
          <w:caps w:val="false"/>
          <w:smallCaps w:val="false"/>
          <w:sz w:val="20"/>
        </w:rPr>
        <w:t>Compensation; Equity Awards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Base Salary. During the Employment Period, the Company shall pay to Executive an annualized base salary of $200,000 (the “</w:t>
      </w:r>
      <w:r>
        <w:rPr>
          <w:rFonts w:ascii="Times New Roman;Times;Serif" w:hAnsi="Times New Roman;Times;Serif"/>
          <w:b/>
          <w:i w:val="false"/>
          <w:caps w:val="false"/>
          <w:smallCaps w:val="false"/>
          <w:sz w:val="20"/>
        </w:rPr>
        <w:t>Base Salary</w:t>
      </w:r>
      <w:r>
        <w:rPr>
          <w:rFonts w:ascii="Times New Roman;Times;Serif" w:hAnsi="Times New Roman;Times;Serif"/>
          <w:b w:val="false"/>
          <w:i w:val="false"/>
          <w:caps w:val="false"/>
          <w:smallCaps w:val="false"/>
          <w:sz w:val="20"/>
        </w:rPr>
        <w:t>”) in consideration for Executive’s services under this Agreement, payable in substantially equal installments in conformity with the Company’s customary payroll practices for similarly situated employees as may exist from time to time, but no less frequently than monthly.</w:t>
      </w:r>
    </w:p>
    <w:p>
      <w:pPr>
        <w:pStyle w:val="TextBody"/>
        <w:bidi w:val="0"/>
        <w:spacing w:before="0" w:after="0"/>
        <w:ind w:left="0" w:right="0" w:firstLine="14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Equity Awards. In connection with Executive’s employment hereunder, and subject to the approval of the Board (or a committee thereof) and the Company’s stockholders (to the extent necessary), Executive shall be granted the following equity-based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As soon as practicable (but in all events within ten (10) business days) following the Effective Date, a nonqualified option to purchase shares of the Company’s common stock, under the Equity Plan and which will have terms and conditions set forth in the Equity Plan, the Company’s form Option Agreement (as defined in the Equity Plan), and this Agreement, with a grant date fair value equal to $675,000 and an exercise price equal to the Fair Market Value (as defined in the Equity Plan) on the grant date (the “</w:t>
      </w:r>
      <w:r>
        <w:rPr>
          <w:rFonts w:ascii="Times New Roman;Times;Serif" w:hAnsi="Times New Roman;Times;Serif"/>
          <w:b/>
          <w:i w:val="false"/>
          <w:caps w:val="false"/>
          <w:smallCaps w:val="false"/>
          <w:sz w:val="20"/>
        </w:rPr>
        <w:t>Option Award</w:t>
      </w:r>
      <w:r>
        <w:rPr>
          <w:rFonts w:ascii="Times New Roman;Times;Serif" w:hAnsi="Times New Roman;Times;Serif"/>
          <w:b w:val="false"/>
          <w:i w:val="false"/>
          <w:caps w:val="false"/>
          <w:smallCaps w:val="false"/>
          <w:sz w:val="20"/>
        </w:rPr>
        <w:t>”). The Option Award will (w) vest in four (4) substantially equal installments at the end of each of the Company’s first through fourth fiscal years beginning on December 31, 2024 and ending on December 31, 2027, subject to Executive’s continued employment with the Company through each vesting date and the Company achieving its budgeted revenue for such fiscal year as approved by the Board, in its sole discretion, for such fiscal year, (x) vest (to the extent then unvested) upon the later of (I) Executive’s satisfaction of the Release Condition following a termination of Executive’s employment without Cause pursuant to Section 7(b) below or by Executive for Good Reason pursuant to Section 7(c) below (a “</w:t>
      </w:r>
      <w:r>
        <w:rPr>
          <w:rFonts w:ascii="Times New Roman;Times;Serif" w:hAnsi="Times New Roman;Times;Serif"/>
          <w:b/>
          <w:i w:val="false"/>
          <w:caps w:val="false"/>
          <w:smallCaps w:val="false"/>
          <w:sz w:val="20"/>
        </w:rPr>
        <w:t>Qualifying Termination</w:t>
      </w:r>
      <w:r>
        <w:rPr>
          <w:rFonts w:ascii="Times New Roman;Times;Serif" w:hAnsi="Times New Roman;Times;Serif"/>
          <w:b w:val="false"/>
          <w:i w:val="false"/>
          <w:caps w:val="false"/>
          <w:smallCaps w:val="false"/>
          <w:sz w:val="20"/>
        </w:rPr>
        <w:t>”); and (II) the consummation of a Corporate Transaction (as defined in the Equity Plan), in each case, during the Change in Control Protection Period (as defined below), (y) to the extent vested, remain exercisable until the earlier of twenty-four (24) months following the termination of Executive’s employment for any reason other than for Cause (as defined below) or the last day of the original term of the Option Award, and (z) otherwise have terms and conditions as determined by the Board (or a committee thereof) consistent with the Equity Plan and the Company’s form Option Agreement. For purposes of this Agreement, “</w:t>
      </w:r>
      <w:r>
        <w:rPr>
          <w:rFonts w:ascii="Times New Roman;Times;Serif" w:hAnsi="Times New Roman;Times;Serif"/>
          <w:b/>
          <w:i w:val="false"/>
          <w:caps w:val="false"/>
          <w:smallCaps w:val="false"/>
          <w:sz w:val="20"/>
        </w:rPr>
        <w:t>Change in Control Protection Period</w:t>
      </w:r>
      <w:r>
        <w:rPr>
          <w:rFonts w:ascii="Times New Roman;Times;Serif" w:hAnsi="Times New Roman;Times;Serif"/>
          <w:b w:val="false"/>
          <w:i w:val="false"/>
          <w:caps w:val="false"/>
          <w:smallCaps w:val="false"/>
          <w:sz w:val="20"/>
        </w:rPr>
        <w:t>” shall mean (1) the period beginning on the effective date of definitive documentation, the consummation of which would result in a Corporate Transaction and concluding on the date that is eighteen (18) months following the consummation of a Corporate Transaction (in all events subject to the consummation of the Corporate Transaction); and (2) solely to the extent the party or parties with which the Corporate Transaction is consummated requests or otherwise causes the Company to effect the Qualifying Termination, the period beginning on the date that is six months prior to the consummation of a Corporate Transaction (and in all events subject to the consummation of the Corporate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As soon as practicable (but in all events within ten (10) business days) following the Effective Date, an award of restricted stock, under the Equity Plan and which will have terms and conditions set forth in the Equity Plan, the Company’s form Restricted Stock Award Agreement, and this Agreement, with a grant date fair value equal to $675,000 (the “</w:t>
      </w:r>
      <w:r>
        <w:rPr>
          <w:rFonts w:ascii="Times New Roman;Times;Serif" w:hAnsi="Times New Roman;Times;Serif"/>
          <w:b/>
          <w:i w:val="false"/>
          <w:caps w:val="false"/>
          <w:smallCaps w:val="false"/>
          <w:sz w:val="20"/>
        </w:rPr>
        <w:t>RSA Award</w:t>
      </w:r>
      <w:r>
        <w:rPr>
          <w:rFonts w:ascii="Times New Roman;Times;Serif" w:hAnsi="Times New Roman;Times;Serif"/>
          <w:b w:val="false"/>
          <w:i w:val="false"/>
          <w:caps w:val="false"/>
          <w:smallCaps w:val="false"/>
          <w:sz w:val="20"/>
        </w:rPr>
        <w:t>”). The RSA Award will vest, subject to Executive’s continued employment with the Company through each vesting date, (x) with respect to 1/3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xml:space="preserve"> of the award on the date on which the Company’s market capitalization (as reported by Bloomberg L.P. (or successor thereto)) (the “</w:t>
      </w:r>
      <w:r>
        <w:rPr>
          <w:rFonts w:ascii="Times New Roman;Times;Serif" w:hAnsi="Times New Roman;Times;Serif"/>
          <w:b/>
          <w:i w:val="false"/>
          <w:caps w:val="false"/>
          <w:smallCaps w:val="false"/>
          <w:sz w:val="20"/>
        </w:rPr>
        <w:t>Market Capitalization</w:t>
      </w:r>
      <w:r>
        <w:rPr>
          <w:rFonts w:ascii="Times New Roman;Times;Serif" w:hAnsi="Times New Roman;Times;Serif"/>
          <w:b w:val="false"/>
          <w:i w:val="false"/>
          <w:caps w:val="false"/>
          <w:smallCaps w:val="false"/>
          <w:sz w:val="20"/>
        </w:rPr>
        <w:t>”) meets or exceeds $100.0 million for each trading day during two (2) consecutive months, (y) with respect to 1/3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xml:space="preserve"> of the award on the date on which the Market Capitalization meets or exceeds $150.0 million for each trading day during two (2) consecutive months, and (z) with respect to the remaining 1/3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xml:space="preserve"> of the award on the date on which the Market Capitalization meets or exceeds $200.0 million for each trading day during two (2) consecutive months. The RSA Award will otherwise have terms and conditions as determined by the Board (or a committee thereof) consistent with the Equity Plan and the Company’s form Restricted Stock Award Agreement. For the avoidance of doubt, if there is a Corporate Transaction and the Market Capitalization implied by the applicable purchase price meets a threshold set forth in this subsection (ii), the two (2) month period shall be disregarded and, with effect as of the consummation of such Corporate Transaction, the RSA Award shall (1) vest to the extent the Market Capitalization implied by the applicable purchase price meets or exceeds a threshold set forth in this Subsection (ii) and (2) be forfeited to the extent the Market Capitalization implied by the applicable purchase price does not meet or exceed a threshold set forth in Subsection (ii).</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As soon as practicable (but in all events within ten (10) business days) following the Effective Date, a nonqualified option to purchase 2.25% of the number of shares of the Company’s common stock that are issued and outstanding (determined on a fully-diluted basis, including, without limitation, any shares issuable upon the conversion or exercise of any outstanding warrants or preferred stock) as of the Effective Date, which will have an exercise price equal to the Fair Market Value (as defined in the Equity Plan) on the grant date, under the Equity Plan and which and will have terms and conditions substantially similar to those set forth in the Equity Plan, the Company’s form Option Agreement, and this Agreement (the “</w:t>
      </w:r>
      <w:r>
        <w:rPr>
          <w:rFonts w:ascii="Times New Roman;Times;Serif" w:hAnsi="Times New Roman;Times;Serif"/>
          <w:b/>
          <w:i w:val="false"/>
          <w:caps w:val="false"/>
          <w:smallCaps w:val="false"/>
          <w:sz w:val="20"/>
        </w:rPr>
        <w:t>Performance Option Award</w:t>
      </w:r>
      <w:r>
        <w:rPr>
          <w:rFonts w:ascii="Times New Roman;Times;Serif" w:hAnsi="Times New Roman;Times;Serif"/>
          <w:b w:val="false"/>
          <w:i w:val="false"/>
          <w:caps w:val="false"/>
          <w:smallCaps w:val="false"/>
          <w:sz w:val="20"/>
        </w:rPr>
        <w:t>”). The Performance Option Award will vest, subject to Executive’s continued employment with the Company through each vesting date, (x) with respect to 1/3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xml:space="preserve"> of the award on the date on which the Market Capitalization meets or exceeds $100.0 million for each trading day during two (2) consecutive months, (y) with respect to 1/3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xml:space="preserve"> of the award on the date on which the Market Capitalization meets or exceeds $150.0 million for each trading day during two (2) consecutive months, and (z) with respect to the remaining 1/3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xml:space="preserve"> of the award on the date on which the Market Capitalization meets or exceeds $200.0 million for each trading day during two (2) consecutive months. The Performance Option Award will otherwise have terms and conditions as determined by the Board (or a committee thereof) consistent with the Equity Plan and the Company’s form Option Agreement. For the avoidance of doubt, if there is a Corporate Transaction and the Market Capitalization of the Company implied by the applicable purchase price meets a threshold set forth in this subsection (iii), the two (2) month period shall be disregarded and, with effect as of the consummation of such Corporate Transaction, the option shall (1) vest to the extent the Market Capitalization of the Company implied by the applicable purchase price meets or exceeds a threshold set forth in this Subsection (iii) and (2) be forfeited to the extent the Market Capitalization of the Company implied by the applicable purchase price does not meet or exceed a threshold set forth in Subsection (iii). The Performance Option Award will also, to the extent vested, remain exercisable until the earlier of twenty-four (24) months following the termination of Executive’s employment for any reason other than for Cause (as defined below) or the last day of the original term of the Performance Option Award.</w:t>
      </w:r>
    </w:p>
    <w:p>
      <w:pPr>
        <w:pStyle w:val="TextBody"/>
        <w:bidi w:val="0"/>
        <w:spacing w:before="0" w:after="0"/>
        <w:ind w:left="72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As soon as practicable (but in all events within ten (10) business days) following the A&amp;R Effective Date, an award of 4,000,000 shares of restricted stock, under the Equity Plan, which will have terms and conditions set forth in the Equity Plan, the Company’s form Restricted Stock Award Agreement, and this Agreement (the “</w:t>
      </w:r>
      <w:r>
        <w:rPr>
          <w:rFonts w:ascii="Times New Roman;Times;Serif" w:hAnsi="Times New Roman;Times;Serif"/>
          <w:b/>
          <w:i w:val="false"/>
          <w:caps w:val="false"/>
          <w:smallCaps w:val="false"/>
          <w:sz w:val="20"/>
        </w:rPr>
        <w:t>Performance RSA Award</w:t>
      </w:r>
      <w:r>
        <w:rPr>
          <w:rFonts w:ascii="Times New Roman;Times;Serif" w:hAnsi="Times New Roman;Times;Serif"/>
          <w:b w:val="false"/>
          <w:i w:val="false"/>
          <w:caps w:val="false"/>
          <w:smallCaps w:val="false"/>
          <w:sz w:val="20"/>
        </w:rPr>
        <w:t>”); provided, however, that the grant of 1,600,000 shares of the Performance RSA Award shall be null and void if the Company’s stockholder proposal to increase the number of shares authorized under the Equity Plan is not approved by March 15, 2027. The Performance RSA Award will vest, subject to Executive’s continued service with the Company or any of its affiliates as an employee, non-employee director, or consultant, as follows: (w) with respect to 1,000,000 shares, on the date on which the Market Capitalization meets or exceeds $150.0 million for each trading day during forty-five (45) consecutive trading days, (x) with respect to 1,000,000 shares, on the date on which the Market Capitalization meets or exceeds $225.0 million for each trading day during forty-five (45) consecutive trading days, (y) with respect to 1,000,000 shares, on the date on which the Market Capitalization meets or exceeds $337.5 million for each trading day during forty-five (45) consecutive trading days, and (z) with respect to the remaining 1,000,000 shares, on the date on which the Market Capitalization meets or exceeds $506.25 million for each trading day during forty-five (45) consecutive trading days. For the avoidance of doubt, a change in Executive’s title, duties, or position (including removal from the position of Chief Executive Officer) shall not constitute a termination of continued service so long as Executive continues to serve the Company in any capacity, provided that Executive remains an eligible stock award recipient under Section 1(a) of the Equity Plan. The Performance RSA Award will otherwise have terms and conditions as determined by the Board (or a committee thereof) consistent with the Equity Plan and the Company’s form Restricted Stock Award Agreement. In the event of a Corporate Transaction, if the Market Capitalization implied by the applicable purchase price meets or exceeds a threshold set forth in this subsection (v), the forty-five (45) consecutive trading day period shall be disregarded, and the Performance RSA Award shall vest, with effect as of the consummation of such Corporate Transaction, only to the extent the Market Capitalization of the Company implied by the applicable purchase price meets or exceeds such threshold. Notwithstanding the foregoing, in the event of (i) a Corporate Transaction in which the Performance RSA Award is not assumed, continued or replaced with a substantially equivalent award in connection with such Corporate Transaction, or (ii) if Executive’s employment is terminated as a result of a Qualifying Termination, all unvested shares of the Performance RSA Award shall immediately vest in full (subject to the stockholder approval requirement detailed above). If Executive’s service with the Company terminates for any other reason, the Performance RSA Award, to the extent unvested, shall be forfeited.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In addition, and without limiting anything contained in the previous sentence and any applicable policy, other than the sale of shares of the Company’s common stock to satisfy any tax obligation that may become due on the vesting or settlement of the RSA Award, for so long as Executive remains a director or executive officer of the Company, any sales of shares of the Company’s common stock issued to Executive upon the settlement of the RSA Award or the exercise of either the Option Award or the Performance Option Award shall be subject to advanced approval by the Board (or a Committee thereof) as determined in its discretion, with such approval not to be unreasonably withheld or delayed.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Bonus. Executive shall be eligible to receive an annual discretionary bonus (the “</w:t>
      </w:r>
      <w:r>
        <w:rPr>
          <w:rFonts w:ascii="Times New Roman;Times;Serif" w:hAnsi="Times New Roman;Times;Serif"/>
          <w:b/>
          <w:i w:val="false"/>
          <w:caps w:val="false"/>
          <w:smallCaps w:val="false"/>
          <w:sz w:val="20"/>
        </w:rPr>
        <w:t>Annual Bonus</w:t>
      </w:r>
      <w:r>
        <w:rPr>
          <w:rFonts w:ascii="Times New Roman;Times;Serif" w:hAnsi="Times New Roman;Times;Serif"/>
          <w:b w:val="false"/>
          <w:i w:val="false"/>
          <w:caps w:val="false"/>
          <w:smallCaps w:val="false"/>
          <w:sz w:val="20"/>
        </w:rPr>
        <w:t>”) for each fiscal year of the Company ending during the term of this Agreement (subject to pro-ration for any partial fiscal year of employment) with the actual amount of any Annual Bonus payable determined by the Board in its sole discretion. The Annual Bonus, if any, shall be paid in a lump sum, as soon as practicable following the end of the Company’s fiscal year to which the Annual Bonus relates and in all events prior to March 15th of such year. Executive must be employed by the Company on the date the Annual Bonus is paid to be eligible to receive the Annual Bonus.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i w:val="false"/>
          <w:caps w:val="false"/>
          <w:smallCaps w:val="false"/>
          <w:sz w:val="20"/>
        </w:rPr>
        <w:t>Term of Employment</w:t>
      </w:r>
      <w:r>
        <w:rPr>
          <w:rFonts w:ascii="Times New Roman;Times;Serif" w:hAnsi="Times New Roman;Times;Serif"/>
          <w:b w:val="false"/>
          <w:i w:val="false"/>
          <w:caps w:val="false"/>
          <w:smallCaps w:val="false"/>
          <w:sz w:val="20"/>
        </w:rPr>
        <w:t>. The initial term of Executive’s employment under this Agreement shall be for the period beginning on the Effective Date and ending on the second anniversary of the Effective Date (the “</w:t>
      </w:r>
      <w:r>
        <w:rPr>
          <w:rFonts w:ascii="Times New Roman;Times;Serif" w:hAnsi="Times New Roman;Times;Serif"/>
          <w:b/>
          <w:i w:val="false"/>
          <w:caps w:val="false"/>
          <w:smallCaps w:val="false"/>
          <w:sz w:val="20"/>
        </w:rPr>
        <w:t>Initial Term</w:t>
      </w:r>
      <w:r>
        <w:rPr>
          <w:rFonts w:ascii="Times New Roman;Times;Serif" w:hAnsi="Times New Roman;Times;Serif"/>
          <w:b w:val="false"/>
          <w:i w:val="false"/>
          <w:caps w:val="false"/>
          <w:smallCaps w:val="false"/>
          <w:sz w:val="20"/>
        </w:rPr>
        <w:t>”). On the second anniversary of the Effective Date (if Executive’s employment hereunder has not been earlier terminated), and on each subsequent anniversary thereafter, the term of Executive’s employment under this Agreement shall automatically renew and extend for a period of twelve (12) months (each such twelve (12)-month period being a “</w:t>
      </w:r>
      <w:r>
        <w:rPr>
          <w:rFonts w:ascii="Times New Roman;Times;Serif" w:hAnsi="Times New Roman;Times;Serif"/>
          <w:b/>
          <w:i w:val="false"/>
          <w:caps w:val="false"/>
          <w:smallCaps w:val="false"/>
          <w:sz w:val="20"/>
        </w:rPr>
        <w:t>Renewal Term</w:t>
      </w:r>
      <w:r>
        <w:rPr>
          <w:rFonts w:ascii="Times New Roman;Times;Serif" w:hAnsi="Times New Roman;Times;Serif"/>
          <w:b w:val="false"/>
          <w:i w:val="false"/>
          <w:caps w:val="false"/>
          <w:smallCaps w:val="false"/>
          <w:sz w:val="20"/>
        </w:rPr>
        <w:t>”) unless written notice of non-renewal is delivered by either party to the other not less than ninety (90) days prior to the expiration of the then-existing Initial Term or Renewal Term, as applicable. Notwithstanding any other provision of this Agreement, Executive’s employment pursuant to this Agreement may be terminated at any time in accordance with Section 7. The period from the Effective Date through the expiration of this Agreement or, if sooner, the termination of Executive’s employment pursuant to this Agreement, regardless of the time or reason for such termination, shall be referred to herein as the “</w:t>
      </w:r>
      <w:r>
        <w:rPr>
          <w:rFonts w:ascii="Times New Roman;Times;Serif" w:hAnsi="Times New Roman;Times;Serif"/>
          <w:b/>
          <w:i w:val="false"/>
          <w:caps w:val="false"/>
          <w:smallCaps w:val="false"/>
          <w:sz w:val="20"/>
        </w:rPr>
        <w:t>Employment Period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i w:val="false"/>
          <w:caps w:val="false"/>
          <w:smallCaps w:val="false"/>
          <w:sz w:val="20"/>
        </w:rPr>
        <w:t>Business Expenses</w:t>
      </w:r>
      <w:r>
        <w:rPr>
          <w:rFonts w:ascii="Times New Roman;Times;Serif" w:hAnsi="Times New Roman;Times;Serif"/>
          <w:b w:val="false"/>
          <w:i w:val="false"/>
          <w:caps w:val="false"/>
          <w:smallCaps w:val="false"/>
          <w:sz w:val="20"/>
        </w:rPr>
        <w:t>. Subject to Section 23, the Company shall reimburse Executive for Executive’s reasonable out-of-pocket business-related expenses actually incurred in the performance of Executive’s duties under this Agreement during the Employment Period so long as Executive timely submits all documentation for such expenses, as required by Company policy in effect from time to time. Any such reimbursement of expenses shall be made by the Company upon or as soon as practicable following receipt of such documentation (but in any event not later than the close of Executive’s taxable year following the taxable year in which the expense is incurred by Executive). In no event shall any reimbursement be made to Executive for any expenses incurred prior to the Effective Date or after the date of Executive’s termination of employment with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i w:val="false"/>
          <w:caps w:val="false"/>
          <w:smallCaps w:val="false"/>
          <w:sz w:val="20"/>
        </w:rPr>
        <w:t>Benefits</w:t>
      </w:r>
      <w:r>
        <w:rPr>
          <w:rFonts w:ascii="Times New Roman;Times;Serif" w:hAnsi="Times New Roman;Times;Serif"/>
          <w:b w:val="false"/>
          <w:i w:val="false"/>
          <w:caps w:val="false"/>
          <w:smallCaps w:val="false"/>
          <w:sz w:val="20"/>
        </w:rPr>
        <w:t>. During the Employment Period, Executive shall be eligible to participate in the same benefit plans and programs in which other executive-level Company employees are eligible to participate, subject to the terms and conditions of the applicable plans and programs in effect from time to time. The Company shall not, however, by reason of this Section 6, be obligated to institute, maintain, or refrain from changing, amending, or discontinuing, any such plan or policy, so long as such changes are similarly applicable to similarly situated Company employees generally.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i w:val="false"/>
          <w:caps w:val="false"/>
          <w:smallCaps w:val="false"/>
          <w:sz w:val="20"/>
        </w:rPr>
        <w:t>Termination of Employment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Company’s Right to Terminate Executive’s Employment for Cause. The Company shall have the right to terminate Executive’s employment hereunder at any time for Cause. For purposes of this Agreement, “</w:t>
      </w:r>
      <w:r>
        <w:rPr>
          <w:rFonts w:ascii="Times New Roman;Times;Serif" w:hAnsi="Times New Roman;Times;Serif"/>
          <w:b/>
          <w:i w:val="false"/>
          <w:caps w:val="false"/>
          <w:smallCaps w:val="false"/>
          <w:sz w:val="20"/>
        </w:rPr>
        <w:t>Cause</w:t>
      </w:r>
      <w:r>
        <w:rPr>
          <w:rFonts w:ascii="Times New Roman;Times;Serif" w:hAnsi="Times New Roman;Times;Serif"/>
          <w:b w:val="false"/>
          <w:i w:val="false"/>
          <w:caps w:val="false"/>
          <w:smallCaps w:val="false"/>
          <w:sz w:val="20"/>
        </w:rPr>
        <w:t>” shall mean: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Executive’s material breach of this Agreement or any other written agreement between Executive and the Company, including Executive’s material breach of any representation, warranty or covenant made under any such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Executive’s material breach of any policy or code of conduct established by the Company and applicable to Executive that has been previously disclosed or made available to Executive;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Executive’s violation of any law applicable to the workplace (including any law regarding anti-harassment, anti-discrimination, or anti-retaliation);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Executive’s breach of fiduciary duty, fraud, theft or embezzlement;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Executive’s willful misconduct or gross negligence which is, or reasonably could be expected to be, materially injurious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the commission by Executive of, or conviction or indictment of Executive for, or plea of </w:t>
      </w:r>
      <w:r>
        <w:rPr>
          <w:rFonts w:ascii="Times New Roman;Times;Serif" w:hAnsi="Times New Roman;Times;Serif"/>
          <w:b w:val="false"/>
          <w:i/>
          <w:caps w:val="false"/>
          <w:smallCaps w:val="false"/>
          <w:sz w:val="20"/>
        </w:rPr>
        <w:t>nolo contendere</w:t>
      </w:r>
      <w:r>
        <w:rPr>
          <w:rFonts w:ascii="Times New Roman;Times;Serif" w:hAnsi="Times New Roman;Times;Serif"/>
          <w:b w:val="false"/>
          <w:i w:val="false"/>
          <w:caps w:val="false"/>
          <w:smallCaps w:val="false"/>
          <w:sz w:val="20"/>
        </w:rPr>
        <w:t xml:space="preserve"> by Executive to, any felony (or state law equivalent) or any crime involving moral turpitude or that could otherwise be injurious to the Company (including by being harmful to the Company’s reputation);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Executive’s willful failure or refusal, other than due to Disability (as defined below), to perform Executive’s obligations pursuant to this Agreement or to follow any lawful directive from the Board;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Executive’s actions or omissions as set forth in Sections 7(a)(i), 7(a)(ii) or 7(a)(vii) are of such a nature that the Board (sitting without Executive, if applicable) determines that they are curable by Executive, such actions or omissions must remain uncured ten (10) days after the Board first provided Executive written notice of the obligation to cure such actions or omissions.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Company’s Right to Terminate for Convenience. The Company shall have the right to terminate Executive’s employment for convenience at any time and for any reason, or no reason at all, upon written notice to Executive.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Executive’s Right to Terminate for Good Reason. Executive shall have the right to terminate Executive’s employment with the Company at any time for Good Reason. For purposes of this Agreement, “</w:t>
      </w:r>
      <w:r>
        <w:rPr>
          <w:rFonts w:ascii="Times New Roman;Times;Serif" w:hAnsi="Times New Roman;Times;Serif"/>
          <w:b/>
          <w:i w:val="false"/>
          <w:caps w:val="false"/>
          <w:smallCaps w:val="false"/>
          <w:sz w:val="20"/>
        </w:rPr>
        <w:t>Good Reason</w:t>
      </w:r>
      <w:r>
        <w:rPr>
          <w:rFonts w:ascii="Times New Roman;Times;Serif" w:hAnsi="Times New Roman;Times;Serif"/>
          <w:b w:val="false"/>
          <w:i w:val="false"/>
          <w:caps w:val="false"/>
          <w:smallCaps w:val="false"/>
          <w:sz w:val="20"/>
        </w:rPr>
        <w:t>” shall mean: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material diminution in Executive’s Base Salary not in connection with an Across-the-Company Reduction;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material diminution in Executive’s authority, duties, and responsibilities as Executive Chairman and Chief Executive Officer;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material breach by the Company of any of its obligations under this Agreement, which shall include the failure of the Board to approve Executive’s equity-based compensation as set forth in Section 3(b) and 3(c)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w:t>
      </w:r>
      <w:r>
        <w:rPr>
          <w:rFonts w:ascii="Times New Roman;Times;Serif" w:hAnsi="Times New Roman;Times;Serif"/>
          <w:b/>
          <w:i w:val="false"/>
          <w:caps w:val="false"/>
          <w:smallCaps w:val="false"/>
          <w:sz w:val="20"/>
        </w:rPr>
        <w:t>Across-the-Company Reduction</w:t>
      </w:r>
      <w:r>
        <w:rPr>
          <w:rFonts w:ascii="Times New Roman;Times;Serif" w:hAnsi="Times New Roman;Times;Serif"/>
          <w:b w:val="false"/>
          <w:i w:val="false"/>
          <w:caps w:val="false"/>
          <w:smallCaps w:val="false"/>
          <w:sz w:val="20"/>
        </w:rPr>
        <w:t>” shall mean a general reduction in salaries of all or substantially all of the senior executives employed by the Company, which reduction (a) affects Executive in substantially the same manner as the other senior executives who are also affected by such general reduction, and (b) does not, in the aggregate, constitute a reduction by more than ten percent (10%) of Executive’s then current Base Salary. Notwithstanding anything to the contrary, an Across-the-Company Reduction shall not constitute a breach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provisions of this Section 7(c) or any other provision of this Agreement to the contrary, any assertion by Executive of a termination for Good Reason shall not be effective unless all of the following conditions are satisfied: (A) the condition described in Section 7(c)(i), (ii) or (iii) giving rise to Executive’s termination of employment must have arisen without Executive’s consent; (B) Executive must provide written notice to the Board of the existence of such condition(s) within forty-five (45) days after the initial occurrence of such condition(s); (C) the condition(s) specified in such notice must remain uncorrected for thirty (30) days following the Board’s receipt of such written notice (the “</w:t>
      </w:r>
      <w:r>
        <w:rPr>
          <w:rFonts w:ascii="Times New Roman;Times;Serif" w:hAnsi="Times New Roman;Times;Serif"/>
          <w:b/>
          <w:i w:val="false"/>
          <w:caps w:val="false"/>
          <w:smallCaps w:val="false"/>
          <w:sz w:val="20"/>
        </w:rPr>
        <w:t>Cure Period</w:t>
      </w:r>
      <w:r>
        <w:rPr>
          <w:rFonts w:ascii="Times New Roman;Times;Serif" w:hAnsi="Times New Roman;Times;Serif"/>
          <w:b w:val="false"/>
          <w:i w:val="false"/>
          <w:caps w:val="false"/>
          <w:smallCaps w:val="false"/>
          <w:sz w:val="20"/>
        </w:rPr>
        <w:t>”); and (D) the date of Executive’s termination of employment must occur on the day immediately following the expiration of the Cure Period. Further notwithstanding the foregoing, no suspension of Executive or a reduction in Executive’s authority, duties and responsibilities in conjunction with any leave required, or other action taken, by the Company as part of any investigation into alleged wrongdoing by such Executive shall give rise to Good Reason.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Death or Disability. Upon the death of Executive, or upon written notice from the Company following Executive’s Disability, Executive’s employment with the Company shall automatically (and without any further action by any person or entity) terminate with no further obligation under this Agreement of either party hereunder, other than the Accrued Rights (as defined below). For purposes of this Agreement, a “</w:t>
      </w:r>
      <w:r>
        <w:rPr>
          <w:rFonts w:ascii="Times New Roman;Times;Serif" w:hAnsi="Times New Roman;Times;Serif"/>
          <w:b/>
          <w:i w:val="false"/>
          <w:caps w:val="false"/>
          <w:smallCaps w:val="false"/>
          <w:sz w:val="20"/>
        </w:rPr>
        <w:t>Disability</w:t>
      </w:r>
      <w:r>
        <w:rPr>
          <w:rFonts w:ascii="Times New Roman;Times;Serif" w:hAnsi="Times New Roman;Times;Serif"/>
          <w:b w:val="false"/>
          <w:i w:val="false"/>
          <w:caps w:val="false"/>
          <w:smallCaps w:val="false"/>
          <w:sz w:val="20"/>
        </w:rPr>
        <w:t>” shall exist if the Board determines that Executive is unable to perform the essential functions of Executive’s position (after accounting for reasonable accommodation, if applicable and required by applicable law), due to physical or mental impairment that continues, or can reasonably be expected to continue, for a period in excess of one hundred-twenty (120) consecutive days or one hundred-eighty (180) days, whether or not consecutive (or for any longer period as may be required by applicable law), in any twelve (12)-month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Executive’s Right to Terminate for Convenience. In addition to Executive’s right to terminate Executive’s employment for Good Reason, Executive shall have the right to terminate Executive’s employment with the Company for convenience at any time and for any other reason, or no reason at all, upon thirty (30) days’ advance written notice to the Company;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Executive has provided notice to the Company of Executive’s termination of employment, the Company may determine, in its sole discretion, that such termination shall be effective on any date prior to the effective date of termination provided in such notice (and, if such earlier date is so required, then it shall not change the basis for Executive’s termination of employment nor be construed or interpreted as a termination of employment pursuant to Section 7(b)).</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Effect of Termination</w:t>
      </w:r>
      <w:r>
        <w:rPr>
          <w:rFonts w:ascii="Times New Roman;Times;Serif" w:hAnsi="Times New Roman;Times;Serif"/>
          <w:b w:val="false"/>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Executive’s employment hereunder is terminated by either party for any reason, Executive shall be entitled to: (A) any earned but unpaid Base Salary earned during the Employment Period and applicable to all pay periods prior to the Termination Date (as defined below); (B) any unreimbursed business expenses properly incurred pursuant to Section 5, provided that Executive makes any reimbursement request within thirty (30) days following the Termination Date; and (C) any employee benefits to which Executive may be entitled under the Company’s employee benefit plans or programs in which Executive participates as of the Termination Date, subject to the terms and conditions of the applicable plans and programs in effect from time to time (collectively, the “</w:t>
      </w:r>
      <w:r>
        <w:rPr>
          <w:rFonts w:ascii="Times New Roman;Times;Serif" w:hAnsi="Times New Roman;Times;Serif"/>
          <w:b/>
          <w:i w:val="false"/>
          <w:caps w:val="false"/>
          <w:smallCaps w:val="false"/>
          <w:sz w:val="20"/>
        </w:rPr>
        <w:t>Accrued Rights</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Executive’s employment hereunder is terminated by the Company without Cause pursuant to Section 7(b), or by Executive for Good Reason pursuant to Section 7(c), or upon the end of the Initial Term or a Renewal Term, as applicable, as the result of the Company’s issuance of a notice of non-renewal pursuant to Section 4 above, then so long as (and only if) Executive: (A) executes on or before the Release Expiration Date (as defined below), and does not revoke within any time provided by the Company to do so, a release of all claims in a form reasonably acceptable to the Company (the “</w:t>
      </w:r>
      <w:r>
        <w:rPr>
          <w:rFonts w:ascii="Times New Roman;Times;Serif" w:hAnsi="Times New Roman;Times;Serif"/>
          <w:b/>
          <w:i w:val="false"/>
          <w:caps w:val="false"/>
          <w:smallCaps w:val="false"/>
          <w:sz w:val="20"/>
        </w:rPr>
        <w:t>Release</w:t>
      </w:r>
      <w:r>
        <w:rPr>
          <w:rFonts w:ascii="Times New Roman;Times;Serif" w:hAnsi="Times New Roman;Times;Serif"/>
          <w:b w:val="false"/>
          <w:i w:val="false"/>
          <w:caps w:val="false"/>
          <w:smallCaps w:val="false"/>
          <w:sz w:val="20"/>
        </w:rPr>
        <w:t>”), which Release shall release the Company and its affiliates, and the foregoing entities’ respective stockholders, members, partners, officers, managers, directors, predecessors, successors, fiduciaries, employees, representatives, agents and benefit plans (and fiduciaries of such plans) from any and all claims, including any and all causes of action arising out of Executive’s employment, engagement, or affiliation with the Company or the termination of such employment, engagement or affiliation, but excluding (1) all claims to severance payments Executive may have under this Section 7, (2) any vested and non-forfeitable rights that Executive may have at the time of termination in any tax qualified employee plan, any retirement plan that is subject to the Employee Retirement Income Security Act of 1974, as amended, or any equity-based incentive plan (subject to Section 25 hereof), and (3) any rights Executive may have at the time of termination to (a) be indemnified (and advanced legal fees and costs) pursuant to the terms of the Company’s organizational documents or any other agreement between Executive and the Company, or (b) coverage under any applicable directors and officers’ or similar liability insurance; and (B) abides by the terms of each of Sections 9, 10 and 11, then the Company shall: (x) make severance payments to Executive in a total amount equal to twelve (12) months’ worth of Executive’s Base Salary (without regard to any reduction that gave rise to Good Reason) for the year in which such termination occurs (such total severance payments being referred to as the “</w:t>
      </w:r>
      <w:r>
        <w:rPr>
          <w:rFonts w:ascii="Times New Roman;Times;Serif" w:hAnsi="Times New Roman;Times;Serif"/>
          <w:b/>
          <w:i w:val="false"/>
          <w:caps w:val="false"/>
          <w:smallCaps w:val="false"/>
          <w:sz w:val="20"/>
        </w:rPr>
        <w:t>Severance Payment</w:t>
      </w:r>
      <w:r>
        <w:rPr>
          <w:rFonts w:ascii="Times New Roman;Times;Serif" w:hAnsi="Times New Roman;Times;Serif"/>
          <w:b w:val="false"/>
          <w:i w:val="false"/>
          <w:caps w:val="false"/>
          <w:smallCaps w:val="false"/>
          <w:sz w:val="20"/>
        </w:rPr>
        <w:t>”); (y) pay to Executive any earned (as determined by the Board) but unpaid Annual Bonus in respect of any completed Bonus Year that has ended prior to the Termination Date, which shall be paid at the same time annual bonuses are paid to senior executives of the Company, but in all events no later than March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of the year following the year in which the Termination Date occurs (the “</w:t>
      </w:r>
      <w:r>
        <w:rPr>
          <w:rFonts w:ascii="Times New Roman;Times;Serif" w:hAnsi="Times New Roman;Times;Serif"/>
          <w:b/>
          <w:i w:val="false"/>
          <w:caps w:val="false"/>
          <w:smallCaps w:val="false"/>
          <w:sz w:val="20"/>
        </w:rPr>
        <w:t>Termination Bonus Payment</w:t>
      </w:r>
      <w:r>
        <w:rPr>
          <w:rFonts w:ascii="Times New Roman;Times;Serif" w:hAnsi="Times New Roman;Times;Serif"/>
          <w:b w:val="false"/>
          <w:i w:val="false"/>
          <w:caps w:val="false"/>
          <w:smallCaps w:val="false"/>
          <w:sz w:val="20"/>
        </w:rPr>
        <w:t>”), and (z) make available the COBRA Benefit (as defined below) (collectively, the Severance Payment, Termination Bonus Payment, and COBRA Benefit are referred to herein as the “</w:t>
      </w:r>
      <w:r>
        <w:rPr>
          <w:rFonts w:ascii="Times New Roman;Times;Serif" w:hAnsi="Times New Roman;Times;Serif"/>
          <w:b/>
          <w:i w:val="false"/>
          <w:caps w:val="false"/>
          <w:smallCaps w:val="false"/>
          <w:sz w:val="20"/>
        </w:rPr>
        <w:t>Termination Benefits</w:t>
      </w:r>
      <w:r>
        <w:rPr>
          <w:rFonts w:ascii="Times New Roman;Times;Serif" w:hAnsi="Times New Roman;Times;Serif"/>
          <w:b w:val="false"/>
          <w:i w:val="false"/>
          <w:caps w:val="false"/>
          <w:smallCaps w:val="false"/>
          <w:sz w:val="20"/>
        </w:rPr>
        <w:t>”). The Severance Payment will be divided into substantially equal installments paid over the 12-month period following the date on which Executive’s employment terminates (the “</w:t>
      </w:r>
      <w:r>
        <w:rPr>
          <w:rFonts w:ascii="Times New Roman;Times;Serif" w:hAnsi="Times New Roman;Times;Serif"/>
          <w:b/>
          <w:i w:val="false"/>
          <w:caps w:val="false"/>
          <w:smallCaps w:val="false"/>
          <w:sz w:val="20"/>
        </w:rPr>
        <w:t>Termination Date</w:t>
      </w:r>
      <w:r>
        <w:rPr>
          <w:rFonts w:ascii="Times New Roman;Times;Serif" w:hAnsi="Times New Roman;Times;Serif"/>
          <w:b w:val="false"/>
          <w:i w:val="false"/>
          <w:caps w:val="false"/>
          <w:smallCaps w:val="false"/>
          <w:sz w:val="20"/>
        </w:rPr>
        <w:t>”). On the Company’s first regularly scheduled pay date that is on or after the date that is sixty (60) days after the Termination Date (the “</w:t>
      </w:r>
      <w:r>
        <w:rPr>
          <w:rFonts w:ascii="Times New Roman;Times;Serif" w:hAnsi="Times New Roman;Times;Serif"/>
          <w:b/>
          <w:i w:val="false"/>
          <w:caps w:val="false"/>
          <w:smallCaps w:val="false"/>
          <w:sz w:val="20"/>
        </w:rPr>
        <w:t>First Payment Date</w:t>
      </w:r>
      <w:r>
        <w:rPr>
          <w:rFonts w:ascii="Times New Roman;Times;Serif" w:hAnsi="Times New Roman;Times;Serif"/>
          <w:b w:val="false"/>
          <w:i w:val="false"/>
          <w:caps w:val="false"/>
          <w:smallCaps w:val="false"/>
          <w:sz w:val="20"/>
        </w:rPr>
        <w:t>”), the Company shall pay to Executive, without interest, a number of such installments equal to the number of such installments that would have been paid during the period beginning on the Termination Date and ending on the First Payment Date had the installments been paid on the Company’s regularly scheduled pay dates on or following the Termination Date, and each of the remaining installments shall be paid on the Company’s regularly scheduled pay dates during the remainder of such 12-month period. Notwithstanding the foregoing, in the event Executive is terminated within two (2) years following the consummation of a Corporate Transaction (as defined in the Equity Plan), the Severance Payment shall be payable in a lump sum on the 60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following the Termination Date, subject to satisfaction of the Release requirement described above.</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Executive’s termination gives rise to his being eligible for, and if Executive satisfies the conditions to receive, the Severance Payment, then for the portion, if any, of the twelve (12)-month period following the Termination Date (the “</w:t>
      </w:r>
      <w:r>
        <w:rPr>
          <w:rFonts w:ascii="Times New Roman;Times;Serif" w:hAnsi="Times New Roman;Times;Serif"/>
          <w:b/>
          <w:i w:val="false"/>
          <w:caps w:val="false"/>
          <w:smallCaps w:val="false"/>
          <w:sz w:val="20"/>
        </w:rPr>
        <w:t>Reimbursement Period</w:t>
      </w:r>
      <w:r>
        <w:rPr>
          <w:rFonts w:ascii="Times New Roman;Times;Serif" w:hAnsi="Times New Roman;Times;Serif"/>
          <w:b w:val="false"/>
          <w:i w:val="false"/>
          <w:caps w:val="false"/>
          <w:smallCaps w:val="false"/>
          <w:sz w:val="20"/>
        </w:rPr>
        <w:t>”) that Executive elects to continue coverage for Executive and Executive’s spouse and eligible dependents, if any, under the Company’s group health plans pursuant to Consolidated Omnibus Budget Reconciliation Act of 1985 (“</w:t>
      </w:r>
      <w:r>
        <w:rPr>
          <w:rFonts w:ascii="Times New Roman;Times;Serif" w:hAnsi="Times New Roman;Times;Serif"/>
          <w:b/>
          <w:i w:val="false"/>
          <w:caps w:val="false"/>
          <w:smallCaps w:val="false"/>
          <w:sz w:val="20"/>
        </w:rPr>
        <w:t>COBRA</w:t>
      </w:r>
      <w:r>
        <w:rPr>
          <w:rFonts w:ascii="Times New Roman;Times;Serif" w:hAnsi="Times New Roman;Times;Serif"/>
          <w:b w:val="false"/>
          <w:i w:val="false"/>
          <w:caps w:val="false"/>
          <w:smallCaps w:val="false"/>
          <w:sz w:val="20"/>
        </w:rPr>
        <w:t>”), subject to Executive’s timely submission of applicable documentation as described herein, the Company shall promptly reimburse Executive on a monthly basis for the difference between the amount Executive pays to effect and continue such coverage and the employee contribution amount that similarly situated employees of the Company pay for the same or similar coverage under such group health plans (the “</w:t>
      </w:r>
      <w:r>
        <w:rPr>
          <w:rFonts w:ascii="Times New Roman;Times;Serif" w:hAnsi="Times New Roman;Times;Serif"/>
          <w:b/>
          <w:i w:val="false"/>
          <w:caps w:val="false"/>
          <w:smallCaps w:val="false"/>
          <w:sz w:val="20"/>
        </w:rPr>
        <w:t>COBRA Benefit</w:t>
      </w:r>
      <w:r>
        <w:rPr>
          <w:rFonts w:ascii="Times New Roman;Times;Serif" w:hAnsi="Times New Roman;Times;Serif"/>
          <w:b w:val="false"/>
          <w:i w:val="false"/>
          <w:caps w:val="false"/>
          <w:smallCaps w:val="false"/>
          <w:sz w:val="20"/>
        </w:rPr>
        <w:t xml:space="preserve">”). Each payment of the COBRA Benefit shall be paid to Executive on the Company’s first regularly scheduled pay date in the calendar month immediately following the calendar month in which Executive submits to the Company documentation of the applicable premium payment having been paid by Executive, which documentation shall be submitted by Executive to the Company within thirty (30) days following the date on which the applicable premium payment is paid. Executive shall be eligible to receive such reimbursement payments until the earliest of: (i) the last day of the Reimbursement Period; (ii) the date Executive is no longer eligible to receive COBRA continuation coverage; and (iii) the date on which Executive becomes eligible to receive coverage under a group health plan sponsored by another employer (and any such eligibility shall be promptly reported to the Company by Executive);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election of COBRA continuation coverage and the payment of any premiums due with respect to such COBRA continuation coverage shall remain Executive’s sole responsibility, and the Company shall not assume any obligation for payment of any such premiums relating to such COBRA continuation coverage. The Company may cease making such payments to the extent required to avoid any adverse consequences to Executive or the Company under either Section 105(h) of the Internal Revenue Code of 1986 (the “</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or the Patient Protection and Affordable Care Act of 2010, and, to the extent such payments would not cause any such adverse consequences, the Company shall in lieu thereof provide to Executive (or Executive’s designated beneficiary or legal representative, if applicable) a monthly payment in an amount equal to the portion of the monthly COBRA premium that the Company would otherwise be required to pay under this Section for Executive’s COBRA coverage, which payment will continue until the end of the subsidized COBRA continuation period otherwise prescribed in this Section. The existence and duration of Executive’s rights and/or the COBRA rights of any of Executive’s eligible dependents will be determined in accordance with Section 4980B of the Code.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the Release is not executed and returned to the Company on or before the Release Expiration Date, and the required revocation period has not fully expired without revocation of the Release by Executive (the “</w:t>
      </w:r>
      <w:r>
        <w:rPr>
          <w:rFonts w:ascii="Times New Roman;Times;Serif" w:hAnsi="Times New Roman;Times;Serif"/>
          <w:b/>
          <w:i w:val="false"/>
          <w:caps w:val="false"/>
          <w:smallCaps w:val="false"/>
          <w:sz w:val="20"/>
        </w:rPr>
        <w:t>Release Condition</w:t>
      </w:r>
      <w:r>
        <w:rPr>
          <w:rFonts w:ascii="Times New Roman;Times;Serif" w:hAnsi="Times New Roman;Times;Serif"/>
          <w:b w:val="false"/>
          <w:i w:val="false"/>
          <w:caps w:val="false"/>
          <w:smallCaps w:val="false"/>
          <w:sz w:val="20"/>
        </w:rPr>
        <w:t>”), then Executive shall not be entitled to any portion of the Termination Benefits. As used herein, the “</w:t>
      </w:r>
      <w:r>
        <w:rPr>
          <w:rFonts w:ascii="Times New Roman;Times;Serif" w:hAnsi="Times New Roman;Times;Serif"/>
          <w:b/>
          <w:i w:val="false"/>
          <w:caps w:val="false"/>
          <w:smallCaps w:val="false"/>
          <w:sz w:val="20"/>
        </w:rPr>
        <w:t>Release Expiration Date</w:t>
      </w:r>
      <w:r>
        <w:rPr>
          <w:rFonts w:ascii="Times New Roman;Times;Serif" w:hAnsi="Times New Roman;Times;Serif"/>
          <w:b w:val="false"/>
          <w:i w:val="false"/>
          <w:caps w:val="false"/>
          <w:smallCaps w:val="false"/>
          <w:sz w:val="20"/>
        </w:rPr>
        <w:t>” is that date that is twenty-one (21) days following the date upon which the Company delivers the Release to Executive (which shall occur no later than seven (7) days after the Termination Date) or, in the event that such termination of employment is “in connection with an exit incentive or other employment termination program” (as such phrase is defined in the Age Discrimination in Employment Act of 1967), the date that is forty-five (45) days following such delivery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For the avoidance of doubt, the Severance Payment, Termination Bonus Payment and COBRA Benefit (and any portion thereof) shall not be payable if Executive’s employment terminates: (i) upon the expiration of the Initial Term or a Renewal Term, as applicable, as the result of Executive’s issuance of a notice of non-renewal, (ii) due to Executive’s death or Disability as set forth in Section 7(d), (iii) due to Executive’s resignation without Good Reason pursuant to Section 7(e), or (iv) due to Executive’s termination for Cause pursuant to Section 7(a).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Notwithstanding any provision of this Agreement to the contrary, in the event that the Company determines that Executive is eligible to receive the Severance Payment, Termination Bonus Payment or COBRA Benefit pursuant to Section 7(f) but, after such determination, the Company subsequently acquires evidence or determines that: (i) Executive has failed to abide by the terms of Sections 9, 10 or 11; or (ii) a Cause condition existed prior to the Termination Date that, had the Company been fully aware of such condition, would have given the Company the right to terminate Executive’s employment pursuant to Section 7(a), then the Company shall have the right to cease the payment of any future installments of the Severance Payment, Termination Bonus Payment and COBRA Benefit and Executive shall promptly return to the Company all installments of the Severance Payment, Termination Payment and COBRA Benefit received by Executive prior to the date that the Company determines that the conditions of this Section 7(g) have been satisfied.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i w:val="false"/>
          <w:caps w:val="false"/>
          <w:smallCaps w:val="false"/>
          <w:sz w:val="20"/>
        </w:rPr>
        <w:t>Disclosures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Executive hereby represents and warrants that, as of the Effective Date, there exist (i) no actual or potential Conflicts of Interest (as defined below) and (ii) no current or pending lawsuits, claims, charges, or arbitrations filed against or involving Executive or any trust or vehicle owned or controlled by Executive.</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Promptly (and in any event, within three (3) Business Days) upon becoming aware of (i) any actual or potential Conflict of Interest or (ii) any lawsuit, claim or arbitration filed against or involving Executive or any trust or vehicle owned or controlled by Executive, in each case, Executive shall disclose such actual or potential Conflict of Interest or such lawsuit, claim or arbitration to the Board. A “</w:t>
      </w:r>
      <w:r>
        <w:rPr>
          <w:rFonts w:ascii="Times New Roman;Times;Serif" w:hAnsi="Times New Roman;Times;Serif"/>
          <w:b/>
          <w:i w:val="false"/>
          <w:caps w:val="false"/>
          <w:smallCaps w:val="false"/>
          <w:sz w:val="20"/>
        </w:rPr>
        <w:t>Conflict of Interest</w:t>
      </w:r>
      <w:r>
        <w:rPr>
          <w:rFonts w:ascii="Times New Roman;Times;Serif" w:hAnsi="Times New Roman;Times;Serif"/>
          <w:b w:val="false"/>
          <w:i w:val="false"/>
          <w:caps w:val="false"/>
          <w:smallCaps w:val="false"/>
          <w:sz w:val="20"/>
        </w:rPr>
        <w:t>” shall exist when Executive engages in, or plans to engage in, any activities, associations, or interests that conflict with, or create an appearance of a conflict with, Executive’s duties, responsibilities, authorities, or obligations to the Company. A “</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shall mean any day except a Saturday, Sunday or other day on which commercial banks in New York, New York or Phoenix, Arizona are authorized or required by law to be 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i w:val="false"/>
          <w:caps w:val="false"/>
          <w:smallCaps w:val="false"/>
          <w:sz w:val="20"/>
        </w:rPr>
        <w:t>Confidentiality</w:t>
      </w:r>
      <w:r>
        <w:rPr>
          <w:rFonts w:ascii="Times New Roman;Times;Serif" w:hAnsi="Times New Roman;Times;Serif"/>
          <w:b w:val="false"/>
          <w:i w:val="false"/>
          <w:caps w:val="false"/>
          <w:smallCaps w:val="false"/>
          <w:sz w:val="20"/>
        </w:rPr>
        <w:t>. In the course of Executive’s employment with the Company and the performance of Executive’s duties on behalf of the Company hereunder, Executive will be provided with, and will have access to, Confidential Information (as defined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Both during the Employment Period and thereafter, except as expressly permitted by this Agreement or by directive of the Board, Executive shall not disclose any Confidential Information to any person or entity and shall not use any Confidential Information except for the benefit of the Company. Executive shall follow all Company policies and protocols regarding the security of all documents and other materials containing Confidential Information (regardless of the medium on which Confidential Information is stored). Except to the extent required for the performance of Executive’s duties on behalf of the Company, Executive shall not remove from facilities of the Company any equipment, drawings, notes, reports, manuals, invention records, computer software, customer information, or other data or materials that relate in any way to the Confidential Information, whether paper or electronic and whether produced by Executive or obtained by the Company. The covenants of this Section 9(a) shall apply to all Confidential Information, whether now known or later to become known to Executive during the period that Executive is employed by or affiliated with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any provision of Section 9(a) to the contrary, Executive may make the following disclosures and uses of Confidential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disclosures to other employees of the Company who have a need to know the information in connection with the businesses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disclosures to customers and suppliers when, in the reasonable and good faith belief of Executive, such disclosure is in connection with Executive’s performance of Executive’s duties under this Agreement and is in the best interests of the Company;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disclosures and uses that are approved in writing by the Board;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disclosures to a person or entity that has (x) been retained by the Company to provide services to the Company and (y) agreed in writing to abide by the terms of a confidentiality agreement in a form acceptable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Upon the expiration of the Employment Period, and at any other time upon request of the Company, Executive shall promptly surrender and deliver to the Company all documents (including electronically stored information) and all copies thereof and all other materials of any nature containing or pertaining to all Confidential Information and any other Company property (including any Company-issued computer, mobile device or other equipment) in Executive’s possession, custody or control and Executive shall not retain any such documents or other materials or property of the Company. Within five (5) days of any such request, Executive shall certify to the Company in writing that all such documents, materials and property have been returned to the Company.</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Confidential Information</w:t>
      </w:r>
      <w:r>
        <w:rPr>
          <w:rFonts w:ascii="Times New Roman;Times;Serif" w:hAnsi="Times New Roman;Times;Serif"/>
          <w:b w:val="false"/>
          <w:i w:val="false"/>
          <w:caps w:val="false"/>
          <w:smallCaps w:val="false"/>
          <w:sz w:val="20"/>
        </w:rPr>
        <w:t xml:space="preserve">” means all confidential, competitively valuable, non-public or proprietary information that is conceived, made, developed or acquired by or disclosed to Executive (whether conveyed orally or in writing), individually or in conjunction with others, during the period that Executive is employed by the Company (whether during business hours or otherwise and whether on the Company’s premises or otherwise) including: (i) technical information of the Company, its affiliates, its customers or other third parties, including computer programs, software, databases, data, ideas, know-how, formulae, compositions, processes, discoveries, machines, inventions (whether patentable or not), designs, developmental or experimental work, techniques, improvements, work in process, research or test results, original works of authorship, training programs and procedures, diagrams, charts, business and product development plans, and similar items; (ii) information relating to the Company’s businesses or properties, products or services (including all such information relating to corporate opportunities, operations, future plans, methods of doing business, business plans, strategies for developing business and market share, research, financial and sales data, pricing terms, evaluations, opinions, interpretations, acquisition prospects, the identity of customers or acquisition targets or their requirements, the identity of key contacts within customers’ organizations or within the organization of acquisition prospects, or marketing and merchandising techniques, prospective names and marks); and (iii) other valuable, confidential information and trade secrets of the Company, its affiliates, its customers or other third parties. Moreover, all documents, videotapes, written presentations, brochures, drawings, memoranda, notes, records, files, correspondence, manuals, models, specifications, computer programs, e-mail, voice mail, electronic databases, maps, drawings, architectural renditions, models and all other writings or materials of any type including or embodying any of such information, ideas, concepts, improvements, discoveries, inventions and other similar forms of expression are and shall be the sole and exclusive property of the Company and be subject to the same restrictions on disclosure applicable to all Confidential Information pursuant to this Agreement. For purposes of this Agreement, Confidential Information shall not include any information that (x) is or becomes generally available to the public or to other entities within the Company’s industry other than as a result of a disclosure or wrongful act of Executive or any of Executive’s agents; (y) was available to Executive on a non-confidential basis before its disclosure by the Company; or (z) becomes available to Executive on a non-confidential basis from a source other than the Company;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such source is not bound by a confidentiality agreement with, or other obligation with respect to confidentiality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Notwithstanding the foregoing, nothing in this Agreement shall prohibit or restrict Executive from using his general industry knowledge or from lawfully: (i) initiating communications directly with, cooperating with, providing information to, causing information to be provided to, or otherwise assisting in an investigation by, any governmental authority regarding a possible violation of any law; (ii) responding to any inquiry or legal process directed to Executive from any such governmental authority; (iii) testifying, participating or otherwise assisting in any action or proceeding by any such governmental authority relating to a possible violation of law; or (iv) making any other disclosures that are protected under the whistleblower provisions of any applicable law. Additionally, pursuant to the federal Defend Trade Secrets Act of 2016, an individual shall not be held criminally or civilly liable under any federal or state trade secret law for the disclosure of a trade secret that: (A) is made (1) in confidence to a federal, state or local government official, either directly or indirectly, or to an attorney and (2) solely for the purpose of reporting or investigating a suspected violation of law; (B) is made to the individual’s attorney in relation to a lawsuit for retaliation against the individual for reporting a suspected violation of law; or (C) is made in a complaint or other document filed in a lawsuit or proceeding, if such filing is made under seal. Nothing in this Agreement requires Executive to obtain prior authorization before engaging in any conduct described in this paragraph, or to notify the Company that Executive has engaged in any such conduct.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i w:val="false"/>
          <w:caps w:val="false"/>
          <w:smallCaps w:val="false"/>
          <w:sz w:val="20"/>
        </w:rPr>
        <w:t>Non-Competition; Non-Solicitation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provide Executive access to Confidential Information for use only during the Employment Period, and Executive acknowledges and agrees that the Company will be entrusting Executive, in Executive’s unique and special capacity, with developing the goodwill of the Company, and as an express incentive for the Company to enter into this Agreement and employ Executive hereunder, Executive has voluntarily agreed to the covenants set forth in this Section 10. Executive agrees and acknowledges that the limitations and restrictions set forth herein, including geographical and temporal restrictions on certain competitive activities, are reasonable in all respects, do not interfere with public interests, will not cause Executive undue hardship, and are material and substantial parts of this Agreement intended and necessary to prevent unfair competition and to protect the Company’s Confidential Information, goodwill, customer relationships, and legitimate business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During the Prohibited Period, Executive shall not, without the prior written approval of the Board, directly or indirectly, for Executive or on behalf of or in conjunction with any other person or entity of any 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engage in or participate within the Market Area in competition with the Company in any aspect of the Business, which prohibition shall prevent Executive from directly or indirectly: (A) owning, managing, operating, or being an officer or director of, any business that competes with the Company in the Market Area, or (B) joining, becoming an employee or consultant of, or otherwise being affiliated with, any person or entity engaged in, or planning to engage in, the Business in the Market Area in competition, or anticipated competition, with the Company in any capacity (with respect to this clause (B)) in which Executive’s duties or responsibilities: (x) are the same as or similar to the duties or responsibilities that Executive had on behalf of the Company, (y) involve direct or indirect oversight of, or responsibility for, duties or responsibilities that are the same or similar to the duties or responsibilities that Executive had on behalf of the Company, or (z) otherwise involve Executive having responsibilities with respect to the Business;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appropriate any Business Opportunity of, or relating to, the Company located in the Market Area;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solicit, canvass, approach, encourage, entice or induce any customer or supplier of the Company with whom or which Executive had contact on behalf of the Company or about whom or which Executive obtained Confidential Information in the final twenty-four (24) months of his employment with the Company to cease or lessen such customer’s or supplier’s business with the Company;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solicit, canvass, approach, encourage, entice or induce any employee or contractor of the Company to terminate his, her or its employment or engagement with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For the avoidance of doubt, Section 10(b)(i)(B) above shall not prevent Executive, following the Termination Date, from being employed or engaged by a diversified entity that engages in the Business, so long as: (x) such entity’s revenues associated with that part of its business that relate to the Business are less than ten (10%) of such entity’s revenues; and (y) Executive’s direct and indirect responsibilities do not relate to the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Because of the difficulty of measuring economic losses to the Company as a result of a breach or threatened breach of the covenants set forth in Section 9 and in this Section 10, and because of the immediate and irreparable damage that may be caused to the Company for which they would have no other adequate remedy, the Company shall be entitled to seek to enforce the foregoing covenants, in the event of a breach or threatened breach, by injunctions and restraining orders from any court of competent jurisdiction, without the necessity of showing any actual damages or that money damages would not afford an adequate remedy, and without the necessity of posting any bond or other security. The aforementioned equitable relief shall not be the Company’s exclusive remedy for a breach but instead shall be in addition to all other rights and remedies available to the Company at law and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covenants in this Section 10, and each provision and portion hereof, are severable and separate, and the unenforceability of any specific covenant (or portion thereof) shall not affect the provisions of any other covenant (or portion thereof). Moreover, in the event any arbitrator or court of competent jurisdiction shall determine that the scope, time or territorial restrictions set forth are unreasonable, then it is the intention of the parties that such restrictions be enforced to the fullest extent which such arbitrator or court deems reasonable, and this Agreement shall thereby be reformed.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following terms shall have the following meanings: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Business</w:t>
      </w:r>
      <w:r>
        <w:rPr>
          <w:rFonts w:ascii="Times New Roman;Times;Serif" w:hAnsi="Times New Roman;Times;Serif"/>
          <w:b w:val="false"/>
          <w:i w:val="false"/>
          <w:caps w:val="false"/>
          <w:smallCaps w:val="false"/>
          <w:sz w:val="20"/>
        </w:rPr>
        <w:t>” shall mean the business and operations that are the same or similar to those performed by the Company for which Executive provides services or about which Executive obtains Confidential Information during the Employment Period, including, but not limited to, the business of developing, marketing, distributing, delivering, providing, or selling: (x) public safety technology and services, including, but not limited to, virtual reality training platforms; (y) modern policing solutions for law enforcement and security personnel; and (z) remote restraint tools that focus on de-escalating law enforcement encounters.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i w:val="false"/>
          <w:caps w:val="false"/>
          <w:smallCaps w:val="false"/>
          <w:sz w:val="20"/>
        </w:rPr>
        <w:t>Business Opportunity</w:t>
      </w:r>
      <w:r>
        <w:rPr>
          <w:rFonts w:ascii="Times New Roman;Times;Serif" w:hAnsi="Times New Roman;Times;Serif"/>
          <w:b w:val="false"/>
          <w:i w:val="false"/>
          <w:caps w:val="false"/>
          <w:smallCaps w:val="false"/>
          <w:sz w:val="20"/>
        </w:rPr>
        <w:t>” shall mean any commercial, investment or other business opportunity relating to the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i w:val="false"/>
          <w:caps w:val="false"/>
          <w:smallCaps w:val="false"/>
          <w:sz w:val="20"/>
        </w:rPr>
        <w:t>Market Area</w:t>
      </w:r>
      <w:r>
        <w:rPr>
          <w:rFonts w:ascii="Times New Roman;Times;Serif" w:hAnsi="Times New Roman;Times;Serif"/>
          <w:b w:val="false"/>
          <w:i w:val="false"/>
          <w:caps w:val="false"/>
          <w:smallCaps w:val="false"/>
          <w:sz w:val="20"/>
        </w:rPr>
        <w:t>” shall mean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i w:val="false"/>
          <w:caps w:val="false"/>
          <w:smallCaps w:val="false"/>
          <w:sz w:val="20"/>
        </w:rPr>
        <w:t>Prohibited Period</w:t>
      </w:r>
      <w:r>
        <w:rPr>
          <w:rFonts w:ascii="Times New Roman;Times;Serif" w:hAnsi="Times New Roman;Times;Serif"/>
          <w:b w:val="false"/>
          <w:i w:val="false"/>
          <w:caps w:val="false"/>
          <w:smallCaps w:val="false"/>
          <w:sz w:val="20"/>
        </w:rPr>
        <w:t>” shall mean the period during which Executive is employed by the Company and continuing for a period of twelve (12) months following the date that Executive is no longer employed by the Company.</w:t>
      </w:r>
    </w:p>
    <w:p>
      <w:pPr>
        <w:pStyle w:val="TextBody"/>
        <w:bidi w:val="0"/>
        <w:spacing w:before="0" w:after="0"/>
        <w:ind w:left="72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i w:val="false"/>
          <w:caps w:val="false"/>
          <w:smallCaps w:val="false"/>
          <w:sz w:val="20"/>
        </w:rPr>
        <w:t>Ownership of Intellectual Property</w:t>
      </w:r>
      <w:r>
        <w:rPr>
          <w:rFonts w:ascii="Times New Roman;Times;Serif" w:hAnsi="Times New Roman;Times;Serif"/>
          <w:b/>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Executive agrees that the Company shall own, and Executive hereby assigns, all right, title and interest (including patent rights, copyrights, trade secret rights, mask work rights, trademark rights, and all other intellectual and industrial property rights of any sort throughout the world) relating to any and all inventions (whether or not patentable), discoveries, developments, improvements, innovations, works of authorship, mask works, designs, know-how, ideas, formulae, processes, techniques, data and information authored, created, contributed to, made or conceived or reduced to practice, in whole or in part, by Executive during the period in which Executive is or has been employed by or affiliated with the Company, whether or not registerable under U.S. law or the laws of other jurisdictions, that either (a) relate, at the time of conception, reduction to practice, creation, derivation or development, to the Company’s businesses or actual or anticipated research or development, or (b) were developed on any amount of the Company’s time or with the use of the Company’s equipment, supplies, facilities or Confidential Information (all of the foregoing collectively referred to herein as “</w:t>
      </w:r>
      <w:r>
        <w:rPr>
          <w:rFonts w:ascii="Times New Roman;Times;Serif" w:hAnsi="Times New Roman;Times;Serif"/>
          <w:b/>
          <w:i w:val="false"/>
          <w:caps w:val="false"/>
          <w:smallCaps w:val="false"/>
          <w:sz w:val="20"/>
        </w:rPr>
        <w:t>Company Intellectual Property</w:t>
      </w:r>
      <w:r>
        <w:rPr>
          <w:rFonts w:ascii="Times New Roman;Times;Serif" w:hAnsi="Times New Roman;Times;Serif"/>
          <w:b w:val="false"/>
          <w:i w:val="false"/>
          <w:caps w:val="false"/>
          <w:smallCaps w:val="false"/>
          <w:sz w:val="20"/>
        </w:rPr>
        <w:t>”), and Executive shall promptly disclose all Company Intellectual Property to the Company in writing. To support Executive’s disclosure obligation herein, Executive shall keep and maintain adequate and current written records of all Company Intellectual Property made by Executive (solely or jointly with others) during the period in which Executive is or has been employed by or affiliated with the Company in such form as may be specified from time to time by the Company. These records shall be available to, and remain the sole property of, the Company at all times.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of Executive’s works of authorship and associated copyrights created during the period in which Executive is employed by or affiliated with the Company and in the scope of Executive’s employment or engagement shall be deemed to be “works made for hire” within the meaning of the Copyright Act of 1976. To the extent any right, title and interest in and to Company Intellectual Property cannot be assigned by Executive to the Company, Executive shall grant, and does hereby grant, to the Company an exclusive, perpetual, royalty-free, transferable, irrevocable, worldwide license (with rights to sublicense through multiple tiers of sublicensees) to make, have made, use, sell, offer for sale, import, export, reproduce, practice and otherwise commercialize such rights, title and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Executive recognizes that this Agreement will not be deemed to require assignment of any invention or intellectual property that Executive developed entirely on Executive’s own time without using the equipment, supplies, facilities, trade secrets, or Confidential Information of the Company. In addition, this Agreement does not apply to any invention that qualifies fully for protection from assignment to the Company under any specifically applicable state law or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the extent allowed by law, this Section applies to all rights that may be known as or referred to as “moral rights,” “artist’s rights,” “droit moral,” or the like, including without limitation those rights set forth in 17 U.S.C. §106A (collectively, “</w:t>
      </w:r>
      <w:r>
        <w:rPr>
          <w:rFonts w:ascii="Times New Roman;Times;Serif" w:hAnsi="Times New Roman;Times;Serif"/>
          <w:b/>
          <w:i w:val="false"/>
          <w:caps w:val="false"/>
          <w:smallCaps w:val="false"/>
          <w:sz w:val="20"/>
        </w:rPr>
        <w:t>Moral Rights</w:t>
      </w:r>
      <w:r>
        <w:rPr>
          <w:rFonts w:ascii="Times New Roman;Times;Serif" w:hAnsi="Times New Roman;Times;Serif"/>
          <w:b w:val="false"/>
          <w:i w:val="false"/>
          <w:caps w:val="false"/>
          <w:smallCaps w:val="false"/>
          <w:sz w:val="20"/>
        </w:rPr>
        <w:t>”). To the extent Executive retains any Moral Rights under applicable law, Executive hereby ratifies and consents to any action that may be taken with respect to such Moral Rights by or authorized by the Company, and Executive hereby waives and agrees not to assert any Moral Rights with respect to such Moral Rights. Executive shall confirm any such ratifications, consents, waivers, and agreements from time to time as requested by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inventions (whether or not patentable), original works of authorship, designs, know-how, mask works, ideas, trademarks or names, information, developments, improvements, and trade secrets of which Executive is the sole or joint author, creator, contributor, or inventor that were made or developed by Executive prior to Executive’s employment with or affiliation with the Company, or in which Executive asserts any intellectual property right, and which are applicable to or relate in any way to the business, products, services, or demonstrably anticipated research and development or business of the Company (“</w:t>
      </w:r>
      <w:r>
        <w:rPr>
          <w:rFonts w:ascii="Times New Roman;Times;Serif" w:hAnsi="Times New Roman;Times;Serif"/>
          <w:b/>
          <w:i w:val="false"/>
          <w:caps w:val="false"/>
          <w:smallCaps w:val="false"/>
          <w:sz w:val="20"/>
        </w:rPr>
        <w:t>Prior Inventions</w:t>
      </w:r>
      <w:r>
        <w:rPr>
          <w:rFonts w:ascii="Times New Roman;Times;Serif" w:hAnsi="Times New Roman;Times;Serif"/>
          <w:b w:val="false"/>
          <w:i w:val="false"/>
          <w:caps w:val="false"/>
          <w:smallCaps w:val="false"/>
          <w:sz w:val="20"/>
        </w:rPr>
        <w:t xml:space="preserve">”) are listed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and Executive represents that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is a complete list of all such Prior Inventions. If no such list is attached, Executive hereby represents and warrants that there are no Prior Inventions, and Executive shall make no claim of any rights to any Prior Inventions. If, in the course of Executive’s employment with or affiliation with the Company, Executive uses in connection with or otherwise incorporates into the product, process, or device of the Company a Prior Invention, the Company is hereby granted and will have a nonexclusive, royalty-free, irrevocable, perpetual, worldwide license to make, have made, modify, use, import, export, offer for sale, sell and otherwise commercialize such Prior Invention as part of or in connection with (i) such product, process, or device of the Company and (ii) the conduct of the business of the Company.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Executive shall perform, during and after the period in which Executive is or has been employed by or affiliated with the Company, all acts deemed necessary or desirable by the Company to permit and assist the Company, at the Company’s expense, in obtaining and enforcing the full benefits, enjoyment, rights and title throughout the world in the Company Intellectual Property and Confidential Information assigned, to be assigned, or licensed to the Company under this Agreement. Such acts may include execution of documents and assistance or cooperation (i) in the filing, prosecution, registration, and memorialization of assignment of any applicable patents, copyrights, mask work, or other applications, (ii) in the enforcement of any applicable patents, copyrights, mask work, moral rights, trade secrets, or other proprietary rights, and (iii) in other legal proceedings related to the Company Intellectual Property or Confidential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In the event that the Company is unable for any reason to secure Executive’s signature to any document required to file, prosecute, register, or memorialize the assignment of any patent, copyright, mask work or other applications or to enforce any patent, copyright, mask work, moral right, trade secret or other proprietary right under any Confidential Information or Company Intellectual Property (including derivative works, improvements, renewals, extensions, continuations, divisionals, continuations in part, continuing patent applications, reissues, and reexaminations of such Company Intellectual Property), Executive hereby irrevocably designates and appoints the Company and each of the Company’s duly authorized officers and agents as Executive’s agents and attorneys-in-fact to act for and on Executive’s behalf and instead of Executive (i) to execute, file, prosecute, register and memorialize the assignment of any such application, (ii) to execute and file any documentation required for such enforcement, and (iii) to do all other lawfully permitted acts to further the filing, prosecution, registration, memorialization of assignment, issuance, and enforcement of patents, copyrights, mask works, moral rights, trade secrets or other rights under the Confidential Information or Company Intellectual Property, all with the same legal force and effect as if executed by Executive.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In the event that Executive enters into any contracts or agreements relating to any Confidential Information or Company Intellectual Property, Executive shall assign such contracts or agreements to the Company promptly, and in any event, prior to Executive’s termination. If the Company is unable for any reason to secure Executive’s signature to any document required to assign said contracts or agreements, or if Executive does not assign said contracts or agreements to the Company prior to Executive’s termination, Executive hereby irrevocably designates and appoints the Company and each of the Company’s duly authorized officers and agents as Executive’s agents and attorneys-in-fact to act for and on Executive’s behalf and instead of Executive to execute said assignments and to do all other lawfully permitted acts to further the execution of said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i w:val="false"/>
          <w:caps w:val="false"/>
          <w:smallCaps w:val="false"/>
          <w:sz w:val="20"/>
        </w:rPr>
        <w:t>Arbitration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Section 12(b), any dispute, controversy or claim between Executive and the Company arising out of or relating to this Agreement or Executive’s employment or engagement with the Company (“</w:t>
      </w:r>
      <w:r>
        <w:rPr>
          <w:rFonts w:ascii="Times New Roman;Times;Serif" w:hAnsi="Times New Roman;Times;Serif"/>
          <w:b/>
          <w:i w:val="false"/>
          <w:caps w:val="false"/>
          <w:smallCaps w:val="false"/>
          <w:sz w:val="20"/>
        </w:rPr>
        <w:t>Disputes</w:t>
      </w:r>
      <w:r>
        <w:rPr>
          <w:rFonts w:ascii="Times New Roman;Times;Serif" w:hAnsi="Times New Roman;Times;Serif"/>
          <w:b w:val="false"/>
          <w:i w:val="false"/>
          <w:caps w:val="false"/>
          <w:smallCaps w:val="false"/>
          <w:sz w:val="20"/>
        </w:rPr>
        <w:t>”) will be finally settled by arbitration in Wilmington, Delaware in accordance with the then-existing American Arbitration Association (“</w:t>
      </w:r>
      <w:r>
        <w:rPr>
          <w:rFonts w:ascii="Times New Roman;Times;Serif" w:hAnsi="Times New Roman;Times;Serif"/>
          <w:b/>
          <w:i w:val="false"/>
          <w:caps w:val="false"/>
          <w:smallCaps w:val="false"/>
          <w:sz w:val="20"/>
        </w:rPr>
        <w:t>AAA</w:t>
      </w:r>
      <w:r>
        <w:rPr>
          <w:rFonts w:ascii="Times New Roman;Times;Serif" w:hAnsi="Times New Roman;Times;Serif"/>
          <w:b w:val="false"/>
          <w:i w:val="false"/>
          <w:caps w:val="false"/>
          <w:smallCaps w:val="false"/>
          <w:sz w:val="20"/>
        </w:rPr>
        <w:t>”) Rules. The arbitration award shall be final and binding on both parties. Any arbitration conducted under this Section 12 shall be private and shall be heard by a single arbitrator (the “</w:t>
      </w:r>
      <w:r>
        <w:rPr>
          <w:rFonts w:ascii="Times New Roman;Times;Serif" w:hAnsi="Times New Roman;Times;Serif"/>
          <w:b/>
          <w:i w:val="false"/>
          <w:caps w:val="false"/>
          <w:smallCaps w:val="false"/>
          <w:sz w:val="20"/>
        </w:rPr>
        <w:t>Arbitrator</w:t>
      </w:r>
      <w:r>
        <w:rPr>
          <w:rFonts w:ascii="Times New Roman;Times;Serif" w:hAnsi="Times New Roman;Times;Serif"/>
          <w:b w:val="false"/>
          <w:i w:val="false"/>
          <w:caps w:val="false"/>
          <w:smallCaps w:val="false"/>
          <w:sz w:val="20"/>
        </w:rPr>
        <w:t>”) selected in accordance with the then-applicable rules of the AAA. The Arbitrator shall expeditiously hear and decide all matters concerning the Dispute. Except as expressly provided to the contrary in this Agreement, the Arbitrator shall have the power to (i) gather such materials, information, testimony and evidence as the Arbitrator deems relevant to the Dispute before him or her (and each party will provide such materials, information, testimony and evidence requested by the Arbitrator), and (ii) grant injunctive relief and enforce specific performance. All Disputes shall be arbitrated on an individual basis, and each party hereto hereby foregoes and waives any right to arbitrate any Dispute as a class action or collective action or on a consolidated basis or in a representative capacity on behalf of other persons or entities who are claimed to be similarly situated, or to participate as a class member in such a proceeding. The arbitration shall be private and kept confidential by the parties and participants. The decision of the Arbitrator shall be reasoned, rendered in writing, be final and binding upon the disputing parties and the parties agree that judgment upon the award may be entered by any court of competent jurisdiction. The party whom the Arbitrator determines is the prevailing party in such arbitration (which shall be the party receiving substantially the relief sought) shall receive, in addition to any other award pursuant to such arbitration or associated judgment, reimbursement from the other party of all reasonable legal fees and costs associated with such arbitration and associated judgment.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Section 12(a), either party may make a timely application for, and obtain, judicial emergency or temporary injunctive relief to enforce any of the provisions of Sections 9 through 11;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remainder of any such Dispute (beyond the application for emergency or temporary injunctive relief) shall be subject to arbitration under this Section 12. By entering into this Agreement and entering into the arbitration provisions of this Section 12, THE PARTIES EXPRESSLY ACKNOWLEDGE AND AGREE THAT THEY ARE KNOWINGLY, VOLUNTARILY AND INTENTIONALLY WAIVING THEIR RIGHTS TO A JURY TRIAL.</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Nothing in this Section 12 shall prohibit a party to this Agreement from (i) instituting litigation to enforce any arbitration award, or (ii) joining the other party to this Agreement in a litigation initiated by a person or entity that is not a party to this Agreement. Further, nothing in this Section 12 precludes Executive from filing a charge or complaint with a federal, state or other governmental administrative agency.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Further notwithstanding the foregoing, to the extent that any dispute between Executive and the Company arises out of or relates to any of the equity award or other equity agreements referenced in Section 3(b) or 3(c) above, such dispute shall be subject to the dispute resolution process set forth in the applicable award or other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i w:val="false"/>
          <w:caps w:val="false"/>
          <w:smallCaps w:val="false"/>
          <w:sz w:val="20"/>
        </w:rPr>
        <w:t>Defense of Claims</w:t>
      </w:r>
      <w:r>
        <w:rPr>
          <w:rFonts w:ascii="Times New Roman;Times;Serif" w:hAnsi="Times New Roman;Times;Serif"/>
          <w:b w:val="false"/>
          <w:i w:val="false"/>
          <w:caps w:val="false"/>
          <w:smallCaps w:val="false"/>
          <w:sz w:val="20"/>
        </w:rPr>
        <w:t>. During the Employment Period and thereafter, upon request from the Company, Executive shall cooperate with the Company in the defense of any claims or actions that may be made by or against the Company that relate to Executive’s actual or prior areas of responsibility. In requesting any such cooperation following the end of the Employment Period, the Company shall take into account Executive’s professional and personal commitments. With respect to any such cooperation that follows the Employment Period, the Company shall provide reimbursement for those reasonable costs actually incurred by Executive in order to provide such cooperation, so long as such costs are approved by the Company in writing prior to being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i w:val="false"/>
          <w:caps w:val="false"/>
          <w:smallCaps w:val="false"/>
          <w:sz w:val="20"/>
        </w:rPr>
        <w:t>Withholdings; Deductions</w:t>
      </w:r>
      <w:r>
        <w:rPr>
          <w:rFonts w:ascii="Times New Roman;Times;Serif" w:hAnsi="Times New Roman;Times;Serif"/>
          <w:b w:val="false"/>
          <w:i w:val="false"/>
          <w:caps w:val="false"/>
          <w:smallCaps w:val="false"/>
          <w:sz w:val="20"/>
        </w:rPr>
        <w:t>. The Company may withhold and deduct from any benefits and payments made or to be made pursuant to this Agreement (a) all federal, state, local and other taxes as may be required pursuant to any law or governmental regulation or ruling and (b) any deductions consented to in writing by Executive.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i w:val="false"/>
          <w:caps w:val="false"/>
          <w:smallCaps w:val="false"/>
          <w:sz w:val="20"/>
        </w:rPr>
        <w:t>Title and Headings; Construction</w:t>
      </w:r>
      <w:r>
        <w:rPr>
          <w:rFonts w:ascii="Times New Roman;Times;Serif" w:hAnsi="Times New Roman;Times;Serif"/>
          <w:b w:val="false"/>
          <w:i w:val="false"/>
          <w:caps w:val="false"/>
          <w:smallCaps w:val="false"/>
          <w:sz w:val="20"/>
        </w:rPr>
        <w:t>. Titles and headings to Sections hereof are for the purpose of reference only and shall in no way limit, define or otherwise affect the provisions hereof. Any and all Exhibits referred to in this Agreement are, by such reference, incorporated herein and made a part hereof for all purposes. Unless the context requires otherwise, all references to laws, regulations, contracts, documents, agreements and instruments refer to such laws, regulations, contracts, documents, agreements and instruments as they may be amended, restated or otherwise modified from time to time, and references to particular provisions of laws or regulations include a reference to the corresponding provisions of any succeeding law or regulation. All references to “dollars” or “$” in this Agreement refer to United States dollars. The words “herein”, “hereof”, “hereunder” and other compounds of the word “here” shall refer to the entire Agreement, including all Exhibits attached hereto, and not to any particular provision hereof. Unless the context requires otherwise, the word “or” is not exclusive. Wherever the context so requires, the masculine gender includes the feminine or neuter, and the singular number includes the plural and conversely. All references to “including” shall be construed as meaning “including without limitation.” Neither this Agreement nor any uncertainty or ambiguity herein shall be construed or resolved against any party hereto, whether under any rule of construction or otherwise. On the contrary, this Agreement has been reviewed by each of the parties hereto and shall be construed and interpreted according to the ordinary meaning of the words used so as to fairly accomplish the purposes and intentions of the parties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i w:val="false"/>
          <w:caps w:val="false"/>
          <w:smallCaps w:val="false"/>
          <w:sz w:val="20"/>
        </w:rPr>
        <w:t>Applicable Law; Submission to Jurisdiction</w:t>
      </w:r>
      <w:r>
        <w:rPr>
          <w:rFonts w:ascii="Times New Roman;Times;Serif" w:hAnsi="Times New Roman;Times;Serif"/>
          <w:b w:val="false"/>
          <w:i w:val="false"/>
          <w:caps w:val="false"/>
          <w:smallCaps w:val="false"/>
          <w:sz w:val="20"/>
        </w:rPr>
        <w:t>. This Agreement shall in all respects be construed according to the laws of the State of Delaware without regard to its conflict of laws principles that would result in the application of the laws of another jurisdiction. With respect to any claim or dispute related to or arising under this Agreement, the parties hereby consent to the arbitration provisions of Section 12 and recognize and agree that should any resort to a court be necessary and permitted under this Agreement, then they consent to the exclusive jurisdiction, forum and venue of the state and federal courts (as applicable) located in New Castle County, Delaware.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i w:val="false"/>
          <w:caps w:val="false"/>
          <w:smallCaps w:val="false"/>
          <w:sz w:val="20"/>
        </w:rPr>
        <w:t>Entire Agreement and Amendment</w:t>
      </w:r>
      <w:r>
        <w:rPr>
          <w:rFonts w:ascii="Times New Roman;Times;Serif" w:hAnsi="Times New Roman;Times;Serif"/>
          <w:b w:val="false"/>
          <w:i w:val="false"/>
          <w:caps w:val="false"/>
          <w:smallCaps w:val="false"/>
          <w:sz w:val="20"/>
        </w:rPr>
        <w:t>. This Agreement contains the entire agreement of the parties with respect to the matters covered herein and supersede all prior and contemporaneous agreements and understandings (including any offer letter or similar agreement), oral or written, between the parties hereto concerning the subject matter hereof. Notwithstanding the foregoing, this Agreement complements and is in addition to (and does not replace or supersede) any obligation that Executive has to the Company with respect to confidentiality, non-disclosure, non-competition or non-solicitation, including all obligations arising from Executive’s status or service as a member of the Board, regardless of whether such obligations arise by contract, statute, common law, or otherwise. This Agreement may be amended only by a written instrument executed by both parties hereto.</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i w:val="false"/>
          <w:caps w:val="false"/>
          <w:smallCaps w:val="false"/>
          <w:sz w:val="20"/>
        </w:rPr>
        <w:t>Waiver of Breach</w:t>
      </w:r>
      <w:r>
        <w:rPr>
          <w:rFonts w:ascii="Times New Roman;Times;Serif" w:hAnsi="Times New Roman;Times;Serif"/>
          <w:b w:val="false"/>
          <w:i w:val="false"/>
          <w:caps w:val="false"/>
          <w:smallCaps w:val="false"/>
          <w:sz w:val="20"/>
        </w:rPr>
        <w:t>. Any waiver of this Agreement must be executed by the party to be bound by such waiver. No waiver by either party hereto of a breach of any provision of this Agreement by the other party, or of compliance with any condition or provision of this Agreement to be performed by such other party, will operate or be construed as a waiver of any subsequent breach by such other party or any similar or dissimilar provision or condition at the same or any subsequent time. The failure of either party hereto to take any action by reason of any breach will not deprive such party of the right to take action at any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 </w:t>
      </w:r>
      <w:r>
        <w:rPr>
          <w:rFonts w:ascii="Times New Roman;Times;Serif" w:hAnsi="Times New Roman;Times;Serif"/>
          <w:b/>
          <w:i w:val="false"/>
          <w:caps w:val="false"/>
          <w:smallCaps w:val="false"/>
          <w:sz w:val="20"/>
        </w:rPr>
        <w:t>Assignment</w:t>
      </w:r>
      <w:r>
        <w:rPr>
          <w:rFonts w:ascii="Times New Roman;Times;Serif" w:hAnsi="Times New Roman;Times;Serif"/>
          <w:b w:val="false"/>
          <w:i w:val="false"/>
          <w:caps w:val="false"/>
          <w:smallCaps w:val="false"/>
          <w:sz w:val="20"/>
        </w:rPr>
        <w:t>. This Agreement is personal to Executive, and neither this Agreement nor any rights or obligations hereunder shall be assignable or otherwise transferred by Executive other than to Executive’s estate in the event of his death. The Company may assign this Agreement without Executive’s consent, and to any successor to or acquirer of (whether by merger, purchase or otherwise) all or substantially all of the equity, assets or businesses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 </w:t>
      </w:r>
      <w:r>
        <w:rPr>
          <w:rFonts w:ascii="Times New Roman;Times;Serif" w:hAnsi="Times New Roman;Times;Serif"/>
          <w:b/>
          <w:i w:val="false"/>
          <w:caps w:val="false"/>
          <w:smallCaps w:val="false"/>
          <w:sz w:val="20"/>
        </w:rPr>
        <w:t>Notices</w:t>
      </w:r>
      <w:r>
        <w:rPr>
          <w:rFonts w:ascii="Times New Roman;Times;Serif" w:hAnsi="Times New Roman;Times;Serif"/>
          <w:b w:val="false"/>
          <w:i w:val="false"/>
          <w:caps w:val="false"/>
          <w:smallCaps w:val="false"/>
          <w:sz w:val="20"/>
        </w:rPr>
        <w:t>. Notices provided for in this Agreement shall be in writing and shall be deemed to have been duly received (a) when delivered in person, (b) on the first Business Day after such notice is sent by express overnight courier service, or (c) on the second Business Day following deposit with an internationally-recognized second-day courier service with proof of receipt maintained, in each case, to the following address,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to the Company, addressed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Wrap Technologies, Inc.</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1817 West 4th Street</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Tempe, AZ 85281</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to Executive, to the address on record with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i w:val="false"/>
          <w:caps w:val="false"/>
          <w:smallCaps w:val="false"/>
          <w:sz w:val="20"/>
        </w:rPr>
        <w:t>Counterparts</w:t>
      </w:r>
      <w:r>
        <w:rPr>
          <w:rFonts w:ascii="Times New Roman;Times;Serif" w:hAnsi="Times New Roman;Times;Serif"/>
          <w:b w:val="false"/>
          <w:i w:val="false"/>
          <w:caps w:val="false"/>
          <w:smallCaps w:val="false"/>
          <w:sz w:val="20"/>
        </w:rPr>
        <w:t>. This Agreement may be executed in any number of counterparts, including by electronic mail or facsimile, each of which when so executed and delivered shall be an original, but all such counterparts shall together constitute one and the same instrument. Each counterpart may consist of a copy hereof containing multiple signature pages, each signed by one party, but together signed by both parties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i w:val="false"/>
          <w:caps w:val="false"/>
          <w:smallCaps w:val="false"/>
          <w:sz w:val="20"/>
        </w:rPr>
        <w:t>Deemed Resignations</w:t>
      </w:r>
      <w:r>
        <w:rPr>
          <w:rFonts w:ascii="Times New Roman;Times;Serif" w:hAnsi="Times New Roman;Times;Serif"/>
          <w:b w:val="false"/>
          <w:i w:val="false"/>
          <w:caps w:val="false"/>
          <w:smallCaps w:val="false"/>
          <w:sz w:val="20"/>
        </w:rPr>
        <w:t>. Except as otherwise determined by the Board or as otherwise agreed to in writing by Executive and the Company prior to the termination of Executive’s employment with the Company, any termination of Executive’s employment shall constitute, as applicable, an automatic resignation of Executive: (a) as an officer of the Company; and (b) from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i w:val="false"/>
          <w:caps w:val="false"/>
          <w:smallCaps w:val="false"/>
          <w:sz w:val="20"/>
        </w:rPr>
        <w:t>Section 409A.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any provision of this Agreement to the contrary, all provisions of this Agreement are intended to comply with Section 409A of the Code, and the applicable Treasury regulations and administrative guidance issued thereunder (collectively, “</w:t>
      </w:r>
      <w:r>
        <w:rPr>
          <w:rFonts w:ascii="Times New Roman;Times;Serif" w:hAnsi="Times New Roman;Times;Serif"/>
          <w:b/>
          <w:i w:val="false"/>
          <w:caps w:val="false"/>
          <w:smallCaps w:val="false"/>
          <w:sz w:val="20"/>
        </w:rPr>
        <w:t>Section 409A</w:t>
      </w:r>
      <w:r>
        <w:rPr>
          <w:rFonts w:ascii="Times New Roman;Times;Serif" w:hAnsi="Times New Roman;Times;Serif"/>
          <w:b w:val="false"/>
          <w:i w:val="false"/>
          <w:caps w:val="false"/>
          <w:smallCaps w:val="false"/>
          <w:sz w:val="20"/>
        </w:rPr>
        <w:t>”) or an exemption therefrom and shall be construed and administered in accordance with such intent. Any payments under this Agreement that may be excluded from Section 409A either as separation pay due to an involuntary separation from service or as a short-term deferral shall be excluded from Section 409A to the maximum extent possible. For purposes of Section 409A, each installment payment provided under this Agreement shall be treated as a separate payment. Any payments to be made under this Agreement upon a termination of Executive’s employment shall only be made if such termination of employment constitutes a “separation from service” under Section 409A.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To the extent that any right to reimbursement of expenses or payment of any benefit in-kind under this Agreement constitutes nonqualified deferred compensation (within the meaning of Section 409A), (i) any such expense reimbursement shall be made by the Company no later than the last day of Executive’s taxable year following the taxable year in which such expense was incurred by Executive, (ii) the right to reimbursement or in-kind benefits shall not be subject to liquidation or exchange for another benefit, and (iii) the amount of expenses eligible for reimbursement or in-kind benefits provided during any taxable year shall not affect the expenses eligible for reimbursement or in-kind benefits to be provided in any other taxable year;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the foregoing clause shall not be violated with regard to expenses reimbursed under any arrangement covered by Section 105(b) of the Code solely because such expenses are subject to a limit related to the period in which the arrangement is in effect.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 provision in this Agreement to the contrary, if any payment or benefit provided for herein would be subject to additional taxes and interest under Section 409A if Executive’s receipt of such payment or benefit is not delayed until the earlier of the date of Executive’s death or the date that is six (6) months after the Termination Date (such date, the “</w:t>
      </w:r>
      <w:r>
        <w:rPr>
          <w:rFonts w:ascii="Times New Roman;Times;Serif" w:hAnsi="Times New Roman;Times;Serif"/>
          <w:b/>
          <w:i w:val="false"/>
          <w:caps w:val="false"/>
          <w:smallCaps w:val="false"/>
          <w:sz w:val="20"/>
        </w:rPr>
        <w:t>Section 409A Payment Date</w:t>
      </w:r>
      <w:r>
        <w:rPr>
          <w:rFonts w:ascii="Times New Roman;Times;Serif" w:hAnsi="Times New Roman;Times;Serif"/>
          <w:b w:val="false"/>
          <w:i w:val="false"/>
          <w:caps w:val="false"/>
          <w:smallCaps w:val="false"/>
          <w:sz w:val="20"/>
        </w:rPr>
        <w:t>”), then such payment or benefit shall not be provided to Executive (or Executive’s estate, if applicable) until the Section 409A Payment Date. Notwithstanding the foregoing, the Company makes no representations that the payments and benefits provided under this Agreement are exempt from, or compliant with, Section 409A and in no event shall the Company be liable for all or any portion of any taxes, penalties, interest or other expenses that may be incurred by Executive on account of non-compliance with Section 409A.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i w:val="false"/>
          <w:caps w:val="false"/>
          <w:smallCaps w:val="false"/>
          <w:sz w:val="20"/>
        </w:rPr>
        <w:t>Certain Excise Taxes</w:t>
      </w:r>
      <w:r>
        <w:rPr>
          <w:rFonts w:ascii="Times New Roman;Times;Serif" w:hAnsi="Times New Roman;Times;Serif"/>
          <w:b w:val="false"/>
          <w:i w:val="false"/>
          <w:caps w:val="false"/>
          <w:smallCaps w:val="false"/>
          <w:sz w:val="20"/>
        </w:rPr>
        <w:t>. Notwithstanding anything to the contrary in this Agreement, if Executive is a “disqualified individual” (as defined in Section 280G(c) of the Code), and the payments and benefits provided for in this Agreement, together with any other payments and benefits which Executive has the right to receive from the Company or any of its affiliates, would constitute a “parachute payment” (as defined in Section 280G(b)(2) of the Code), then the payments and benefits provided for in this Agreement shall be either (a) reduced (but not below zero) so that the present value of such total amounts and benefits received by Executive from the Company or any of its affiliates shall be one dollar ($1.00) less than three times Executive’s “base amount” (as defined in Section 280G(b)(3) of the Code) and so that no portion of such amounts and benefits received by Executive shall be subject to the excise tax imposed by Section 4999 of the Code or (b) paid in full, whichever produces the better net after-tax position to Executive (taking into account any applicable excise tax under Section 4999 of the Code and any other applicable taxes). The reduction of payments and benefits hereunder, if applicable, shall be made by reducing, first, payments or benefits to be paid in cash hereunder in the order in which such payment or benefit would be paid or provided (beginning with such payment or benefit that would be made last in time and continuing, to the extent necessary, through to such payment or benefit that would be made first in time) and, then, reducing any benefit to be provided in-kind hereunder in a similar order. The determination as to whether any such reduction in the amount of the payments and benefits provided hereunder is necessary (or whether Executive would be subject to such excise tax) shall be made at the expense of the Company by a firm of independent accountants, a law firm, or other valuation specialist selected by the Board in good faith prior to the consummation of the applicable change in control transaction, and the applicable independent accountants, law firm, or other valuation specialist shall consider the value, if any, of Executive’s restrictive covenants (including the non-competition restrictions set forth herein) as part of its analysis as may be appropriate under Section 280G of the Code. If a reduced payment or benefit is made or provided and through error or otherwise that payment or benefit, when aggregated with other payments and benefits from the Company or any of its affiliates used in determining if a “parachute payment” exists, exceeds one dollar ($1.00) less than three times Executive’s base amount, then Executive shall immediately repay such excess to the Company upon notification that an overpayment has been made. Nothing in this Section 24 shall require the Company to provide a gross-up payment to Executive with respect to Executive’s excise tax liabilities under Section 4999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 </w:t>
      </w:r>
      <w:r>
        <w:rPr>
          <w:rFonts w:ascii="Times New Roman;Times;Serif" w:hAnsi="Times New Roman;Times;Serif"/>
          <w:b/>
          <w:i w:val="false"/>
          <w:caps w:val="false"/>
          <w:smallCaps w:val="false"/>
          <w:sz w:val="20"/>
        </w:rPr>
        <w:t xml:space="preserve">Clawback. </w:t>
      </w:r>
      <w:r>
        <w:rPr>
          <w:rFonts w:ascii="Times New Roman;Times;Serif" w:hAnsi="Times New Roman;Times;Serif"/>
          <w:b w:val="false"/>
          <w:i w:val="false"/>
          <w:caps w:val="false"/>
          <w:smallCaps w:val="false"/>
          <w:sz w:val="20"/>
        </w:rPr>
        <w:t>To the extent required by company policy, applicable law, government regulation or any applicable securities exchange listing standards, amounts paid or payable under this Agreement or the Equity Plan shall be subject to the provisions of any applicable clawback policies or procedures adopted by the Company and applicable to executives of the Company generally, including pursuant to applicable law, government regulation or applicable securities exchange listing requirements, which clawback policies or procedures may provide for forfeiture and/or recoupment of amounts paid or payable under this Agreement or the Equity Plan in the event of material misstatements, financial restatements, other bad acts (or inaction), or other events or occurrences consistent with any proposed government regulation or proposed securities exchange listing requirement. The Company reserves the right, without the consent of Executive, to adopt any such clawback policies and procedures that are consistent with the preceding sentence, including such policies and procedures applicable to this Agreement and the Equity Plan with retroactive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 </w:t>
      </w:r>
      <w:r>
        <w:rPr>
          <w:rFonts w:ascii="Times New Roman;Times;Serif" w:hAnsi="Times New Roman;Times;Serif"/>
          <w:b/>
          <w:i w:val="false"/>
          <w:caps w:val="false"/>
          <w:smallCaps w:val="false"/>
          <w:sz w:val="20"/>
        </w:rPr>
        <w:t>Effect of Termination</w:t>
      </w:r>
      <w:r>
        <w:rPr>
          <w:rFonts w:ascii="Times New Roman;Times;Serif" w:hAnsi="Times New Roman;Times;Serif"/>
          <w:b w:val="false"/>
          <w:i w:val="false"/>
          <w:caps w:val="false"/>
          <w:smallCaps w:val="false"/>
          <w:sz w:val="20"/>
        </w:rPr>
        <w:t>. The provisions of Sections 7, 9-14 and 22 and those provisions necessary to interpret and enforce them, shall survive any termination of this Agreement and any termination of the employment relationship between Executive and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27. </w:t>
      </w:r>
      <w:r>
        <w:rPr>
          <w:rFonts w:ascii="Times New Roman;Times;Serif" w:hAnsi="Times New Roman;Times;Serif"/>
          <w:b/>
          <w:i w:val="false"/>
          <w:caps w:val="false"/>
          <w:smallCaps w:val="false"/>
          <w:sz w:val="20"/>
        </w:rPr>
        <w:t>Third-Party Beneficiaries</w:t>
      </w:r>
      <w:r>
        <w:rPr>
          <w:rFonts w:ascii="Times New Roman;Times;Serif" w:hAnsi="Times New Roman;Times;Serif"/>
          <w:b w:val="false"/>
          <w:i w:val="false"/>
          <w:caps w:val="false"/>
          <w:smallCaps w:val="false"/>
          <w:sz w:val="20"/>
        </w:rPr>
        <w:t>. Each subsidiary that is not a signatory to this Agreement shall be a third-party beneficiary of Executive’s obligations under Sections 8, 9, 10, 11, 12 and 22 and shall be entitled to enforce such obligations as if a party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28. </w:t>
      </w:r>
      <w:r>
        <w:rPr>
          <w:rFonts w:ascii="Times New Roman;Times;Serif" w:hAnsi="Times New Roman;Times;Serif"/>
          <w:b/>
          <w:i w:val="false"/>
          <w:caps w:val="false"/>
          <w:smallCaps w:val="false"/>
          <w:sz w:val="20"/>
        </w:rPr>
        <w:t>Severability</w:t>
      </w:r>
      <w:r>
        <w:rPr>
          <w:rFonts w:ascii="Times New Roman;Times;Serif" w:hAnsi="Times New Roman;Times;Serif"/>
          <w:b w:val="false"/>
          <w:i w:val="false"/>
          <w:caps w:val="false"/>
          <w:smallCaps w:val="false"/>
          <w:sz w:val="20"/>
        </w:rPr>
        <w:t>. If an arbitrator or court of competent jurisdiction determines that any provision of this Agreement (or portion thereof) is invalid or unenforceable, then the invalidity or unenforceability of that provision (or portion thereof) shall not affect the validity or enforceability of any other provision of this Agreement, and all other provisions shall remain in full force and effect.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the Page Left Intentionally Blank;</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and the Company each have caused this Agreement to be executed and effective as of the A&amp;R Effective Date.</w:t>
      </w:r>
    </w:p>
    <w:p>
      <w:pPr>
        <w:pStyle w:val="TextBody"/>
        <w:bidi w:val="0"/>
        <w:spacing w:before="0" w:after="0"/>
        <w:ind w:left="0" w:right="0" w:hanging="0"/>
        <w:jc w:val="left"/>
        <w:rPr>
          <w:caps w:val="false"/>
          <w:smallCaps w:val="false"/>
        </w:rPr>
      </w:pPr>
      <w:r>
        <w:rPr>
          <w:caps w:val="false"/>
          <w:smallCaps w:val="false"/>
        </w:rPr>
        <w:t> </w:t>
      </w:r>
    </w:p>
    <w:tbl>
      <w:tblPr>
        <w:tblW w:w="1295" w:type="dxa"/>
        <w:jc w:val="left"/>
        <w:tblInd w:w="0" w:type="dxa"/>
        <w:tblLayout w:type="fixed"/>
        <w:tblCellMar>
          <w:top w:w="0" w:type="dxa"/>
          <w:left w:w="0" w:type="dxa"/>
          <w:bottom w:w="0" w:type="dxa"/>
          <w:right w:w="0" w:type="dxa"/>
        </w:tblCellMar>
      </w:tblPr>
      <w:tblGrid>
        <w:gridCol w:w="75"/>
        <w:gridCol w:w="12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Scot Cohen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 Cohen</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and the Company each have caused this Agreement to be executed and effective as of the A&amp;R Effective Date.</w:t>
      </w:r>
    </w:p>
    <w:p>
      <w:pPr>
        <w:pStyle w:val="TextBody"/>
        <w:bidi w:val="0"/>
        <w:spacing w:before="0" w:after="0"/>
        <w:ind w:left="0" w:right="0" w:hanging="0"/>
        <w:jc w:val="left"/>
        <w:rPr>
          <w:caps w:val="false"/>
          <w:smallCaps w:val="false"/>
        </w:rPr>
      </w:pPr>
      <w:r>
        <w:rPr>
          <w:caps w:val="false"/>
          <w:smallCaps w:val="false"/>
        </w:rPr>
        <w:t> </w:t>
      </w:r>
    </w:p>
    <w:tbl>
      <w:tblPr>
        <w:tblW w:w="2809" w:type="dxa"/>
        <w:jc w:val="left"/>
        <w:tblInd w:w="0" w:type="dxa"/>
        <w:tblLayout w:type="fixed"/>
        <w:tblCellMar>
          <w:top w:w="0" w:type="dxa"/>
          <w:left w:w="0" w:type="dxa"/>
          <w:bottom w:w="0" w:type="dxa"/>
          <w:right w:w="0" w:type="dxa"/>
        </w:tblCellMar>
      </w:tblPr>
      <w:tblGrid>
        <w:gridCol w:w="75"/>
        <w:gridCol w:w="701"/>
        <w:gridCol w:w="203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3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WRAP TECHNOLOGIES,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01" w:type="dxa"/>
            <w:tcBorders/>
            <w:vAlign w:val="center"/>
          </w:tcPr>
          <w:p>
            <w:pPr>
              <w:pStyle w:val="TableContents"/>
              <w:bidi w:val="0"/>
              <w:spacing w:before="0" w:after="283"/>
              <w:jc w:val="left"/>
              <w:rPr>
                <w:caps w:val="false"/>
                <w:smallCaps w:val="false"/>
              </w:rPr>
            </w:pPr>
            <w:r>
              <w:rPr>
                <w:caps w:val="false"/>
                <w:smallCaps w:val="false"/>
              </w:rPr>
              <w:t> </w:t>
            </w:r>
          </w:p>
        </w:tc>
        <w:tc>
          <w:tcPr>
            <w:tcW w:w="203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03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Bruce Bernstein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03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Bruce Bernstein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03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PRIOR INVENTIONS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following is a complete list of all Prior Inventions relevant to the subject matter of Executive’s employment by the Company that have been made or conceived or first reduced to practice by Executive alone or jointly with others prior to Executive’s employment with or affiliation with the Company:</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appropriate space(s):</w:t>
      </w:r>
    </w:p>
    <w:p>
      <w:pPr>
        <w:pStyle w:val="TextBody"/>
        <w:bidi w:val="0"/>
        <w:spacing w:before="0" w:after="0"/>
        <w:ind w:left="0" w:right="0" w:hanging="0"/>
        <w:jc w:val="both"/>
        <w:rPr>
          <w:caps w:val="false"/>
          <w:smallCaps w:val="false"/>
        </w:rPr>
      </w:pPr>
      <w:r>
        <w:rPr>
          <w:caps w:val="false"/>
          <w:smallCaps w:val="false"/>
        </w:rPr>
        <w:t> </w:t>
      </w:r>
    </w:p>
    <w:tbl>
      <w:tblPr>
        <w:tblW w:w="790" w:type="dxa"/>
        <w:jc w:val="left"/>
        <w:tblInd w:w="0" w:type="dxa"/>
        <w:tblLayout w:type="fixed"/>
        <w:tblCellMar>
          <w:top w:w="0" w:type="dxa"/>
          <w:left w:w="0" w:type="dxa"/>
          <w:bottom w:w="0" w:type="dxa"/>
          <w:right w:w="0" w:type="dxa"/>
        </w:tblCellMar>
      </w:tblPr>
      <w:tblGrid>
        <w:gridCol w:w="60"/>
        <w:gridCol w:w="230"/>
        <w:gridCol w:w="500"/>
      </w:tblGrid>
      <w:tr>
        <w:trPr/>
        <w:tc>
          <w:tcPr>
            <w:tcW w:w="60" w:type="dxa"/>
            <w:tcBorders/>
            <w:vAlign w:val="center"/>
          </w:tcPr>
          <w:p>
            <w:pPr>
              <w:pStyle w:val="TableContents"/>
              <w:bidi w:val="0"/>
              <w:spacing w:before="0" w:after="283"/>
              <w:ind w:left="0" w:right="0" w:hanging="200"/>
              <w:jc w:val="left"/>
              <w:rPr/>
            </w:pPr>
            <w:r>
              <w:rPr/>
              <w:t> </w:t>
            </w:r>
          </w:p>
        </w:tc>
        <w:tc>
          <w:tcPr>
            <w:tcW w:w="230" w:type="dxa"/>
            <w:tcBorders/>
            <w:vAlign w:val="center"/>
          </w:tcPr>
          <w:p>
            <w:pPr>
              <w:pStyle w:val="TableContents"/>
              <w:bidi w:val="0"/>
              <w:spacing w:before="0" w:after="283"/>
              <w:ind w:left="0" w:right="0" w:hanging="200"/>
              <w:jc w:val="both"/>
              <w:rPr/>
            </w:pPr>
            <w:r>
              <w:rPr/>
              <w:t>☐</w:t>
            </w:r>
          </w:p>
        </w:tc>
        <w:tc>
          <w:tcPr>
            <w:tcW w:w="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None.</w:t>
            </w:r>
          </w:p>
        </w:tc>
      </w:tr>
    </w:tbl>
    <w:p>
      <w:pPr>
        <w:pStyle w:val="TextBody"/>
        <w:bidi w:val="0"/>
        <w:spacing w:before="0" w:after="0"/>
        <w:jc w:val="both"/>
        <w:rPr>
          <w:caps w:val="false"/>
          <w:smallCaps w:val="false"/>
        </w:rPr>
      </w:pPr>
      <w:r>
        <w:rPr>
          <w:caps w:val="false"/>
          <w:smallCaps w:val="false"/>
        </w:rPr>
        <w:t> </w:t>
      </w:r>
    </w:p>
    <w:tbl>
      <w:tblPr>
        <w:tblW w:w="1360" w:type="dxa"/>
        <w:jc w:val="left"/>
        <w:tblInd w:w="0" w:type="dxa"/>
        <w:tblLayout w:type="fixed"/>
        <w:tblCellMar>
          <w:top w:w="0" w:type="dxa"/>
          <w:left w:w="0" w:type="dxa"/>
          <w:bottom w:w="0" w:type="dxa"/>
          <w:right w:w="0" w:type="dxa"/>
        </w:tblCellMar>
      </w:tblPr>
      <w:tblGrid>
        <w:gridCol w:w="60"/>
        <w:gridCol w:w="230"/>
        <w:gridCol w:w="1070"/>
      </w:tblGrid>
      <w:tr>
        <w:trPr/>
        <w:tc>
          <w:tcPr>
            <w:tcW w:w="60" w:type="dxa"/>
            <w:tcBorders/>
            <w:vAlign w:val="center"/>
          </w:tcPr>
          <w:p>
            <w:pPr>
              <w:pStyle w:val="TableContents"/>
              <w:bidi w:val="0"/>
              <w:spacing w:before="0" w:after="283"/>
              <w:ind w:left="0" w:right="0" w:hanging="200"/>
              <w:jc w:val="left"/>
              <w:rPr/>
            </w:pPr>
            <w:r>
              <w:rPr/>
              <w:t> </w:t>
            </w:r>
          </w:p>
        </w:tc>
        <w:tc>
          <w:tcPr>
            <w:tcW w:w="230" w:type="dxa"/>
            <w:tcBorders/>
            <w:vAlign w:val="center"/>
          </w:tcPr>
          <w:p>
            <w:pPr>
              <w:pStyle w:val="TableContents"/>
              <w:bidi w:val="0"/>
              <w:spacing w:before="0" w:after="283"/>
              <w:ind w:left="0" w:right="0" w:hanging="200"/>
              <w:jc w:val="both"/>
              <w:rPr/>
            </w:pPr>
            <w:r>
              <w:rPr/>
              <w:t>☐</w:t>
            </w:r>
          </w:p>
        </w:tc>
        <w:tc>
          <w:tcPr>
            <w:tcW w:w="10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See below:</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______________________________________________________________</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______________________________________________________________</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______________________________________________________________</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
        <w:gridCol w:w="230"/>
        <w:gridCol w:w="9931"/>
      </w:tblGrid>
      <w:tr>
        <w:trPr/>
        <w:tc>
          <w:tcPr>
            <w:tcW w:w="44" w:type="dxa"/>
            <w:tcBorders/>
            <w:vAlign w:val="center"/>
          </w:tcPr>
          <w:p>
            <w:pPr>
              <w:pStyle w:val="TableContents"/>
              <w:bidi w:val="0"/>
              <w:spacing w:before="0" w:after="283"/>
              <w:ind w:left="0" w:right="0" w:hanging="200"/>
              <w:jc w:val="left"/>
              <w:rPr/>
            </w:pPr>
            <w:r>
              <w:rPr/>
              <w:t> </w:t>
            </w:r>
          </w:p>
        </w:tc>
        <w:tc>
          <w:tcPr>
            <w:tcW w:w="230" w:type="dxa"/>
            <w:tcBorders/>
            <w:vAlign w:val="center"/>
          </w:tcPr>
          <w:p>
            <w:pPr>
              <w:pStyle w:val="TableContents"/>
              <w:bidi w:val="0"/>
              <w:spacing w:before="0" w:after="283"/>
              <w:ind w:left="0" w:right="0" w:hanging="0"/>
              <w:jc w:val="both"/>
              <w:rPr/>
            </w:pPr>
            <w:r>
              <w:rPr/>
              <w:t>☐</w:t>
            </w:r>
          </w:p>
        </w:tc>
        <w:tc>
          <w:tcPr>
            <w:tcW w:w="993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Due to confidentiality agreements with a prior employer, Executive cannot disclose certain Prior Inventions that would otherwise be included on the above-described list.</w:t>
            </w:r>
          </w:p>
        </w:tc>
      </w:tr>
      <w:tr>
        <w:trPr/>
        <w:tc>
          <w:tcPr>
            <w:tcW w:w="44" w:type="dxa"/>
            <w:tcBorders/>
            <w:vAlign w:val="center"/>
          </w:tcPr>
          <w:p>
            <w:pPr>
              <w:pStyle w:val="TableContents"/>
              <w:bidi w:val="0"/>
              <w:spacing w:before="0" w:after="283"/>
              <w:ind w:left="0" w:right="0" w:hanging="200"/>
              <w:jc w:val="left"/>
              <w:rPr/>
            </w:pPr>
            <w:r>
              <w:rPr/>
              <w:t> </w:t>
            </w:r>
          </w:p>
        </w:tc>
        <w:tc>
          <w:tcPr>
            <w:tcW w:w="230" w:type="dxa"/>
            <w:tcBorders/>
            <w:vAlign w:val="center"/>
          </w:tcPr>
          <w:p>
            <w:pPr>
              <w:pStyle w:val="TableContents"/>
              <w:bidi w:val="0"/>
              <w:spacing w:before="0" w:after="283"/>
              <w:ind w:left="0" w:right="0" w:hanging="0"/>
              <w:jc w:val="both"/>
              <w:rPr/>
            </w:pPr>
            <w:r>
              <w:rPr/>
              <w:t> </w:t>
            </w:r>
          </w:p>
        </w:tc>
        <w:tc>
          <w:tcPr>
            <w:tcW w:w="9931" w:type="dxa"/>
            <w:tcBorders/>
            <w:vAlign w:val="center"/>
          </w:tcPr>
          <w:p>
            <w:pPr>
              <w:pStyle w:val="TableContents"/>
              <w:bidi w:val="0"/>
              <w:spacing w:before="0" w:after="283"/>
              <w:jc w:val="both"/>
              <w:rPr/>
            </w:pPr>
            <w:r>
              <w:rPr/>
              <w:t> </w:t>
            </w:r>
          </w:p>
        </w:tc>
      </w:tr>
      <w:tr>
        <w:trPr/>
        <w:tc>
          <w:tcPr>
            <w:tcW w:w="44" w:type="dxa"/>
            <w:tcBorders/>
            <w:vAlign w:val="center"/>
          </w:tcPr>
          <w:p>
            <w:pPr>
              <w:pStyle w:val="TableContents"/>
              <w:bidi w:val="0"/>
              <w:spacing w:before="0" w:after="283"/>
              <w:ind w:left="0" w:right="0" w:hanging="200"/>
              <w:jc w:val="left"/>
              <w:rPr/>
            </w:pPr>
            <w:r>
              <w:rPr/>
              <w:t> </w:t>
            </w:r>
          </w:p>
        </w:tc>
        <w:tc>
          <w:tcPr>
            <w:tcW w:w="230" w:type="dxa"/>
            <w:tcBorders/>
            <w:vAlign w:val="center"/>
          </w:tcPr>
          <w:p>
            <w:pPr>
              <w:pStyle w:val="TableContents"/>
              <w:bidi w:val="0"/>
              <w:spacing w:before="0" w:after="283"/>
              <w:ind w:left="0" w:right="0" w:hanging="0"/>
              <w:jc w:val="both"/>
              <w:rPr/>
            </w:pPr>
            <w:r>
              <w:rPr/>
              <w:t>☐</w:t>
            </w:r>
          </w:p>
        </w:tc>
        <w:tc>
          <w:tcPr>
            <w:tcW w:w="993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Additional sheets attached.</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Executive proposes to bring to Executive’s employment the following devices, materials, and documents of a former employer or other person to whom Executive has an obligation of confidentiality that is not generally available to the public, which materials and documents may be used in Executive’s employment pursuant to the express written authorization of Executive’s former employer or such other person (a copy of which is attached to this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appropriate space(s):</w:t>
      </w:r>
    </w:p>
    <w:p>
      <w:pPr>
        <w:pStyle w:val="TextBody"/>
        <w:bidi w:val="0"/>
        <w:spacing w:before="0" w:after="0"/>
        <w:jc w:val="center"/>
        <w:rPr>
          <w:caps w:val="false"/>
          <w:smallCaps w:val="false"/>
        </w:rPr>
      </w:pPr>
      <w:r>
        <w:rPr>
          <w:caps w:val="false"/>
          <w:smallCaps w:val="false"/>
        </w:rPr>
        <w:t> </w:t>
      </w:r>
    </w:p>
    <w:tbl>
      <w:tblPr>
        <w:tblW w:w="1360" w:type="dxa"/>
        <w:jc w:val="left"/>
        <w:tblInd w:w="0" w:type="dxa"/>
        <w:tblLayout w:type="fixed"/>
        <w:tblCellMar>
          <w:top w:w="0" w:type="dxa"/>
          <w:left w:w="0" w:type="dxa"/>
          <w:bottom w:w="0" w:type="dxa"/>
          <w:right w:w="0" w:type="dxa"/>
        </w:tblCellMar>
      </w:tblPr>
      <w:tblGrid>
        <w:gridCol w:w="60"/>
        <w:gridCol w:w="230"/>
        <w:gridCol w:w="1070"/>
      </w:tblGrid>
      <w:tr>
        <w:trPr/>
        <w:tc>
          <w:tcPr>
            <w:tcW w:w="60" w:type="dxa"/>
            <w:tcBorders/>
            <w:vAlign w:val="center"/>
          </w:tcPr>
          <w:p>
            <w:pPr>
              <w:pStyle w:val="TableContents"/>
              <w:bidi w:val="0"/>
              <w:spacing w:before="0" w:after="283"/>
              <w:ind w:left="0" w:right="0" w:hanging="200"/>
              <w:jc w:val="left"/>
              <w:rPr/>
            </w:pPr>
            <w:r>
              <w:rPr/>
              <w:t> </w:t>
            </w:r>
          </w:p>
        </w:tc>
        <w:tc>
          <w:tcPr>
            <w:tcW w:w="230" w:type="dxa"/>
            <w:tcBorders/>
            <w:vAlign w:val="center"/>
          </w:tcPr>
          <w:p>
            <w:pPr>
              <w:pStyle w:val="TableContents"/>
              <w:bidi w:val="0"/>
              <w:spacing w:before="0" w:after="283"/>
              <w:ind w:left="0" w:right="0" w:hanging="0"/>
              <w:jc w:val="both"/>
              <w:rPr/>
            </w:pPr>
            <w:r>
              <w:rPr/>
              <w:t>☐</w:t>
            </w:r>
          </w:p>
        </w:tc>
        <w:tc>
          <w:tcPr>
            <w:tcW w:w="10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None.</w:t>
            </w:r>
          </w:p>
        </w:tc>
      </w:tr>
      <w:tr>
        <w:trPr/>
        <w:tc>
          <w:tcPr>
            <w:tcW w:w="60" w:type="dxa"/>
            <w:tcBorders/>
            <w:vAlign w:val="center"/>
          </w:tcPr>
          <w:p>
            <w:pPr>
              <w:pStyle w:val="TableContents"/>
              <w:bidi w:val="0"/>
              <w:spacing w:before="0" w:after="283"/>
              <w:ind w:left="0" w:right="0" w:hanging="200"/>
              <w:jc w:val="left"/>
              <w:rPr/>
            </w:pPr>
            <w:r>
              <w:rPr/>
              <w:t> </w:t>
            </w:r>
          </w:p>
        </w:tc>
        <w:tc>
          <w:tcPr>
            <w:tcW w:w="230" w:type="dxa"/>
            <w:tcBorders/>
            <w:vAlign w:val="center"/>
          </w:tcPr>
          <w:p>
            <w:pPr>
              <w:pStyle w:val="TableContents"/>
              <w:bidi w:val="0"/>
              <w:spacing w:before="0" w:after="283"/>
              <w:ind w:left="0" w:right="0" w:hanging="0"/>
              <w:jc w:val="both"/>
              <w:rPr/>
            </w:pPr>
            <w:r>
              <w:rPr/>
              <w:t> </w:t>
            </w:r>
          </w:p>
        </w:tc>
        <w:tc>
          <w:tcPr>
            <w:tcW w:w="1070"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ind w:left="0" w:right="0" w:hanging="200"/>
              <w:jc w:val="left"/>
              <w:rPr/>
            </w:pPr>
            <w:r>
              <w:rPr/>
              <w:t> </w:t>
            </w:r>
          </w:p>
        </w:tc>
        <w:tc>
          <w:tcPr>
            <w:tcW w:w="230" w:type="dxa"/>
            <w:tcBorders/>
            <w:vAlign w:val="center"/>
          </w:tcPr>
          <w:p>
            <w:pPr>
              <w:pStyle w:val="TableContents"/>
              <w:bidi w:val="0"/>
              <w:spacing w:before="0" w:after="283"/>
              <w:ind w:left="0" w:right="0" w:hanging="0"/>
              <w:jc w:val="both"/>
              <w:rPr/>
            </w:pPr>
            <w:r>
              <w:rPr/>
              <w:t>☐</w:t>
            </w:r>
          </w:p>
        </w:tc>
        <w:tc>
          <w:tcPr>
            <w:tcW w:w="10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See below.</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______________________________________________________________</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______________________________________________________________</w:t>
      </w:r>
    </w:p>
    <w:p>
      <w:pPr>
        <w:pStyle w:val="TextBody"/>
        <w:bidi w:val="0"/>
        <w:spacing w:before="0" w:after="0"/>
        <w:jc w:val="center"/>
        <w:rPr>
          <w:caps w:val="false"/>
          <w:smallCaps w:val="false"/>
        </w:rPr>
      </w:pPr>
      <w:r>
        <w:rPr>
          <w:caps w:val="false"/>
          <w:smallCaps w:val="false"/>
        </w:rPr>
        <w:t> </w:t>
      </w:r>
    </w:p>
    <w:tbl>
      <w:tblPr>
        <w:tblW w:w="2845" w:type="dxa"/>
        <w:jc w:val="left"/>
        <w:tblInd w:w="0" w:type="dxa"/>
        <w:tblLayout w:type="fixed"/>
        <w:tblCellMar>
          <w:top w:w="0" w:type="dxa"/>
          <w:left w:w="0" w:type="dxa"/>
          <w:bottom w:w="0" w:type="dxa"/>
          <w:right w:w="0" w:type="dxa"/>
        </w:tblCellMar>
      </w:tblPr>
      <w:tblGrid>
        <w:gridCol w:w="60"/>
        <w:gridCol w:w="230"/>
        <w:gridCol w:w="2555"/>
      </w:tblGrid>
      <w:tr>
        <w:trPr/>
        <w:tc>
          <w:tcPr>
            <w:tcW w:w="60" w:type="dxa"/>
            <w:tcBorders/>
            <w:vAlign w:val="center"/>
          </w:tcPr>
          <w:p>
            <w:pPr>
              <w:pStyle w:val="TableContents"/>
              <w:bidi w:val="0"/>
              <w:spacing w:before="0" w:after="283"/>
              <w:ind w:left="0" w:right="0" w:hanging="200"/>
              <w:jc w:val="left"/>
              <w:rPr/>
            </w:pPr>
            <w:r>
              <w:rPr/>
              <w:t> </w:t>
            </w:r>
          </w:p>
        </w:tc>
        <w:tc>
          <w:tcPr>
            <w:tcW w:w="230" w:type="dxa"/>
            <w:tcBorders/>
            <w:vAlign w:val="center"/>
          </w:tcPr>
          <w:p>
            <w:pPr>
              <w:pStyle w:val="TableContents"/>
              <w:bidi w:val="0"/>
              <w:spacing w:before="0" w:after="283"/>
              <w:ind w:left="0" w:right="0" w:hanging="0"/>
              <w:jc w:val="both"/>
              <w:rPr/>
            </w:pPr>
            <w:r>
              <w:rPr/>
              <w:t>☐</w:t>
            </w:r>
          </w:p>
        </w:tc>
        <w:tc>
          <w:tcPr>
            <w:tcW w:w="25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Additional sheets attached.</w:t>
            </w:r>
          </w:p>
        </w:tc>
      </w:tr>
    </w:tbl>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caps w:val="false"/>
          <w:smallCaps w:val="false"/>
        </w:rPr>
      </w:pPr>
      <w:bookmarkStart w:id="24" w:name="ex10-2.htm"/>
      <w:bookmarkStart w:id="25" w:name="ksex102"/>
      <w:bookmarkEnd w:id="24"/>
      <w:bookmarkEnd w:id="25"/>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 EMPLOYMENT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Amended and Restated Employment Agreement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made and entered into by and between Wrap Technologies,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Jared Novick (“</w:t>
      </w:r>
      <w:r>
        <w:rPr>
          <w:rFonts w:ascii="Times New Roman;Times;Serif" w:hAnsi="Times New Roman;Times;Serif"/>
          <w:b/>
          <w:i w:val="false"/>
          <w:caps w:val="false"/>
          <w:smallCaps w:val="false"/>
          <w:sz w:val="20"/>
        </w:rPr>
        <w:t>Executive</w:t>
      </w:r>
      <w:r>
        <w:rPr>
          <w:rFonts w:ascii="Times New Roman;Times;Serif" w:hAnsi="Times New Roman;Times;Serif"/>
          <w:b w:val="false"/>
          <w:i w:val="false"/>
          <w:caps w:val="false"/>
          <w:smallCaps w:val="false"/>
          <w:sz w:val="20"/>
        </w:rPr>
        <w:t>”) on September 2, 2026 (the “</w:t>
      </w:r>
      <w:r>
        <w:rPr>
          <w:rFonts w:ascii="Times New Roman;Times;Serif" w:hAnsi="Times New Roman;Times;Serif"/>
          <w:b/>
          <w:i w:val="false"/>
          <w:caps w:val="false"/>
          <w:smallCaps w:val="false"/>
          <w:sz w:val="20"/>
        </w:rPr>
        <w:t>A&amp;R Effective Date</w:t>
      </w:r>
      <w:r>
        <w:rPr>
          <w:rFonts w:ascii="Times New Roman;Times;Serif" w:hAnsi="Times New Roman;Times;Serif"/>
          <w:b w:val="false"/>
          <w:i w:val="false"/>
          <w:caps w:val="false"/>
          <w:smallCaps w:val="false"/>
          <w:sz w:val="20"/>
        </w:rPr>
        <w:t>”), and amends, restates, and supersedes in its entirety the employment agreement entered into by the Company and Executive dated December 26, 2023 (the “</w:t>
      </w:r>
      <w:r>
        <w:rPr>
          <w:rFonts w:ascii="Times New Roman;Times;Serif" w:hAnsi="Times New Roman;Times;Serif"/>
          <w:b/>
          <w:i w:val="false"/>
          <w:caps w:val="false"/>
          <w:smallCaps w:val="false"/>
          <w:sz w:val="20"/>
        </w:rPr>
        <w:t>Original Agreement</w:t>
      </w:r>
      <w:r>
        <w:rPr>
          <w:rFonts w:ascii="Times New Roman;Times;Serif" w:hAnsi="Times New Roman;Times;Serif"/>
          <w:b w:val="false"/>
          <w:i w:val="false"/>
          <w:caps w:val="false"/>
          <w:smallCaps w:val="false"/>
          <w:sz w:val="20"/>
        </w:rPr>
        <w:t>”), effective as of the A&amp;R Effective Date. The date of the Original Agreement, December 26, 2023, shall remain the “</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for purposes of the original employment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Executive and the Company entered into the Original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parties desire to amend and restate the Original Agreement to provide for an additional equity award under Section 3(c)(ii)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except as expressly modified as provided above, the parties intend that all other terms and conditions of Executive’s employment shall remain substantively unchanged from the Original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and agreements set forth herein, and for other good and valuable consideration, the receipt and sufficiency of which are hereby acknowledged, the parties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i w:val="false"/>
          <w:caps w:val="false"/>
          <w:smallCaps w:val="false"/>
          <w:sz w:val="20"/>
        </w:rPr>
        <w:t>Employment</w:t>
      </w:r>
      <w:r>
        <w:rPr>
          <w:rFonts w:ascii="Times New Roman;Times;Serif" w:hAnsi="Times New Roman;Times;Serif"/>
          <w:b w:val="false"/>
          <w:i w:val="false"/>
          <w:caps w:val="false"/>
          <w:smallCaps w:val="false"/>
          <w:sz w:val="20"/>
        </w:rPr>
        <w:t>. During the Employment Period (as defined in Section 4), the Company shall employ Executive, and Executive shall serve, as President and Chief Operating Officer of the Company and in such other position or positions as may be assigned from time to time by the Board of Directors of the Company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Executive shall report directly to the Company’s Executive Chairman and Chief Executive Officer.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i w:val="false"/>
          <w:caps w:val="false"/>
          <w:smallCaps w:val="false"/>
          <w:sz w:val="20"/>
        </w:rPr>
        <w:t>Duties and Responsibilities</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During the Employment Period, Executive shall devote Executive’s best efforts and substantially all of his business time and attention to the business of the Company as may be requested by the Board and the Executive Chairman and Chief Executive Officer from time to time, provided that Executive may continue to serve as a director on the board of BlueVoyant LLC and Florida state boards and, subject to the review and approval of the Board, may serve on other boards that are not affiliated with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Executive hereby represents and warrants that Executive is not the subject of, or a party to, any non-competition, non-solicitation, restrictive covenant or non-disclosure agreement, or any other agreement, obligation, restriction or understanding that would prohibit Executive from executing this Agreement or fully performing each of Executive’s duties and responsibilities hereunder, or would in any manner, directly or indirectly, limit or affect any of the duties and responsibilities that may now or in the future be assigned to Executive hereunder. Executive expressly acknowledges and agrees that Executive is strictly prohibited from using or disclosing any confidential information belonging to any prior employer in the course of performing services for the Company, and Executive promises that Executive shall not do so. Executive shall not disclose confidential information of any prior employer to the Company or any director, officer or employee of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i w:val="false"/>
          <w:caps w:val="false"/>
          <w:smallCaps w:val="false"/>
          <w:sz w:val="20"/>
        </w:rPr>
        <w:t>Compensation; Equity Awards</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Base Salary. During the Employment Period, the Company shall pay to Executive an annualized base salary of $200,000 (the “</w:t>
      </w:r>
      <w:r>
        <w:rPr>
          <w:rFonts w:ascii="Times New Roman;Times;Serif" w:hAnsi="Times New Roman;Times;Serif"/>
          <w:b/>
          <w:i w:val="false"/>
          <w:caps w:val="false"/>
          <w:smallCaps w:val="false"/>
          <w:sz w:val="20"/>
        </w:rPr>
        <w:t>Base Salary</w:t>
      </w:r>
      <w:r>
        <w:rPr>
          <w:rFonts w:ascii="Times New Roman;Times;Serif" w:hAnsi="Times New Roman;Times;Serif"/>
          <w:b w:val="false"/>
          <w:i w:val="false"/>
          <w:caps w:val="false"/>
          <w:smallCaps w:val="false"/>
          <w:sz w:val="20"/>
        </w:rPr>
        <w:t>”) in consideration for Executive’s services under this Agreement, payable in substantially equal installments in conformity with the Company’s customary payroll practices for similarly situated employees as may exist from time to time, but no less frequently than monthly.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Bonuses. Executive shall be eligible to receive an annual discretionary bonus (the “</w:t>
      </w:r>
      <w:r>
        <w:rPr>
          <w:rFonts w:ascii="Times New Roman;Times;Serif" w:hAnsi="Times New Roman;Times;Serif"/>
          <w:b/>
          <w:i w:val="false"/>
          <w:caps w:val="false"/>
          <w:smallCaps w:val="false"/>
          <w:sz w:val="20"/>
        </w:rPr>
        <w:t>Annual Bonus</w:t>
      </w:r>
      <w:r>
        <w:rPr>
          <w:rFonts w:ascii="Times New Roman;Times;Serif" w:hAnsi="Times New Roman;Times;Serif"/>
          <w:b w:val="false"/>
          <w:i w:val="false"/>
          <w:caps w:val="false"/>
          <w:smallCaps w:val="false"/>
          <w:sz w:val="20"/>
        </w:rPr>
        <w:t>”) for each fiscal year of the Company ending during the term of this Agreement (subject to pro-ration for any partial fiscal year of employment) with the actual amount of any Annual Bonus payable determined by the Board in its sole discretion. The Annual Bonus, if any, shall be paid in a lump sum, as soon as practicable following the end of the Company’s fiscal year to which the Annual Bonus relates and in all events prior to March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of such year. Executive must be employed by the Company on the date the Annual Bonus is paid to be eligible to receive the Bonus. Notwithstanding the foregoing, during the first year of Executive’s employment, the Company agrees to pay him a cash sign-on bonus of $75,000 (the “</w:t>
      </w:r>
      <w:r>
        <w:rPr>
          <w:rFonts w:ascii="Times New Roman;Times;Serif" w:hAnsi="Times New Roman;Times;Serif"/>
          <w:b/>
          <w:i w:val="false"/>
          <w:caps w:val="false"/>
          <w:smallCaps w:val="false"/>
          <w:sz w:val="20"/>
        </w:rPr>
        <w:t>Sign-on Bonus</w:t>
      </w:r>
      <w:r>
        <w:rPr>
          <w:rFonts w:ascii="Times New Roman;Times;Serif" w:hAnsi="Times New Roman;Times;Serif"/>
          <w:b w:val="false"/>
          <w:i w:val="false"/>
          <w:caps w:val="false"/>
          <w:smallCaps w:val="false"/>
          <w:sz w:val="20"/>
        </w:rPr>
        <w:t>”), payable in two equal installments (i) 50% on the first payroll date following the Effective Date (the “</w:t>
      </w:r>
      <w:r>
        <w:rPr>
          <w:rFonts w:ascii="Times New Roman;Times;Serif" w:hAnsi="Times New Roman;Times;Serif"/>
          <w:b/>
          <w:i w:val="false"/>
          <w:caps w:val="false"/>
          <w:smallCaps w:val="false"/>
          <w:sz w:val="20"/>
        </w:rPr>
        <w:t>First Bonus Payment Date</w:t>
      </w:r>
      <w:r>
        <w:rPr>
          <w:rFonts w:ascii="Times New Roman;Times;Serif" w:hAnsi="Times New Roman;Times;Serif"/>
          <w:b w:val="false"/>
          <w:i w:val="false"/>
          <w:caps w:val="false"/>
          <w:smallCaps w:val="false"/>
          <w:sz w:val="20"/>
        </w:rPr>
        <w:t>”) and (ii) 50% on the first payroll date following the sixth month anniversary of the Effective Date (the “</w:t>
      </w:r>
      <w:r>
        <w:rPr>
          <w:rFonts w:ascii="Times New Roman;Times;Serif" w:hAnsi="Times New Roman;Times;Serif"/>
          <w:b/>
          <w:i w:val="false"/>
          <w:caps w:val="false"/>
          <w:smallCaps w:val="false"/>
          <w:sz w:val="20"/>
        </w:rPr>
        <w:t>Second Bonus Payment Date</w:t>
      </w:r>
      <w:r>
        <w:rPr>
          <w:rFonts w:ascii="Times New Roman;Times;Serif" w:hAnsi="Times New Roman;Times;Serif"/>
          <w:b w:val="false"/>
          <w:i w:val="false"/>
          <w:caps w:val="false"/>
          <w:smallCaps w:val="false"/>
          <w:sz w:val="20"/>
        </w:rPr>
        <w:t>”), provided that Executive is employed by the Company on each such bonus payment date, and if Executive voluntarily terminates his employment after the First Bonus Payment Date and prior to the Second Bonus Payment Date, Executive agrees to pay the Company the portion of the Sign-on Bonus paid on the First Bonus Payment Date.</w:t>
        <w:tab/>
      </w:r>
    </w:p>
    <w:p>
      <w:pPr>
        <w:pStyle w:val="TextBody"/>
        <w:bidi w:val="0"/>
        <w:spacing w:before="0" w:after="0"/>
        <w:ind w:left="0" w:right="0" w:firstLine="14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150" w:type="dxa"/>
        <w:jc w:val="left"/>
        <w:tblInd w:w="0" w:type="dxa"/>
        <w:tblLayout w:type="fixed"/>
        <w:tblCellMar>
          <w:top w:w="0" w:type="dxa"/>
          <w:left w:w="0" w:type="dxa"/>
          <w:bottom w:w="0" w:type="dxa"/>
          <w:right w:w="0" w:type="dxa"/>
        </w:tblCellMar>
      </w:tblPr>
      <w:tblGrid>
        <w:gridCol w:w="75"/>
        <w:gridCol w:w="75"/>
      </w:tblGrid>
      <w:tr>
        <w:trPr/>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Equity Awards. In connection with Executive’s employment hereunder, and subject to the approval of the Board (or a committee thereof) and the Company’s stockholders (to the extent necessary), Executive shall be granted the following equity-based awards: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As soon as practicable (but in all events within ten (10) business days) following the Effective Date, Executive shall be granted a nonqualified option with respect to 250,000 options to purchase shares of the Company’s common stock, under the Company’s 2017 Equity Compensation Plan, as amended (the “</w:t>
      </w:r>
      <w:r>
        <w:rPr>
          <w:rFonts w:ascii="Times New Roman;Times;Serif" w:hAnsi="Times New Roman;Times;Serif"/>
          <w:b/>
          <w:i w:val="false"/>
          <w:caps w:val="false"/>
          <w:smallCaps w:val="false"/>
          <w:sz w:val="20"/>
        </w:rPr>
        <w:t>Equity Plan</w:t>
      </w:r>
      <w:r>
        <w:rPr>
          <w:rFonts w:ascii="Times New Roman;Times;Serif" w:hAnsi="Times New Roman;Times;Serif"/>
          <w:b w:val="false"/>
          <w:i w:val="false"/>
          <w:caps w:val="false"/>
          <w:smallCaps w:val="false"/>
          <w:sz w:val="20"/>
        </w:rPr>
        <w:t>”) and which will have terms and conditions set forth in the Equity Plan, the Company’s form Option Agreement (as defined in the Equity Plan), and this Agreement (the “</w:t>
      </w:r>
      <w:r>
        <w:rPr>
          <w:rFonts w:ascii="Times New Roman;Times;Serif" w:hAnsi="Times New Roman;Times;Serif"/>
          <w:b/>
          <w:i w:val="false"/>
          <w:caps w:val="false"/>
          <w:smallCaps w:val="false"/>
          <w:sz w:val="20"/>
        </w:rPr>
        <w:t>Option Award</w:t>
      </w:r>
      <w:r>
        <w:rPr>
          <w:rFonts w:ascii="Times New Roman;Times;Serif" w:hAnsi="Times New Roman;Times;Serif"/>
          <w:b w:val="false"/>
          <w:i w:val="false"/>
          <w:caps w:val="false"/>
          <w:smallCaps w:val="false"/>
          <w:sz w:val="20"/>
        </w:rPr>
        <w:t>”). The Option Award will vest in three (3) substantially equal installments at the end of each of the Company’s first through third fiscal years beginning on December 31, 2024 and ending on December 31, 2026.</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As soon as practicable (but in all events within ten (10) business days) following the A&amp;R Effective Date, an award of 2,000,000 shares of restricted stock, under the Equity Plan, which will have terms and conditions set forth in the Equity Plan, the Company’s form Restricted Stock Award Agreement, and this Agreement (the “</w:t>
      </w:r>
      <w:r>
        <w:rPr>
          <w:rFonts w:ascii="Times New Roman;Times;Serif" w:hAnsi="Times New Roman;Times;Serif"/>
          <w:b/>
          <w:i w:val="false"/>
          <w:caps w:val="false"/>
          <w:smallCaps w:val="false"/>
          <w:sz w:val="20"/>
        </w:rPr>
        <w:t>Performance RSA Award</w:t>
      </w:r>
      <w:r>
        <w:rPr>
          <w:rFonts w:ascii="Times New Roman;Times;Serif" w:hAnsi="Times New Roman;Times;Serif"/>
          <w:b w:val="false"/>
          <w:i w:val="false"/>
          <w:caps w:val="false"/>
          <w:smallCaps w:val="false"/>
          <w:sz w:val="20"/>
        </w:rPr>
        <w:t>”); provided, however, that the grant of 800,000 shares of the Performance RSA Award shall be null and void if the Company’s stockholder proposal to increase the number of shares authorized under the Equity Plan is not approved by March 15, 2027. The Performance RSA Award will vest, subject to Executive’s continued service with the Company or any of its affiliates as an employee, non-employee director, or consultant, as follows: (w) with respect to 500,000 shares, on the date on which the Company’s market capitalization (as reported by Bloomberg L.P. (or successor thereto)) (the “</w:t>
      </w:r>
      <w:r>
        <w:rPr>
          <w:rFonts w:ascii="Times New Roman;Times;Serif" w:hAnsi="Times New Roman;Times;Serif"/>
          <w:b/>
          <w:i w:val="false"/>
          <w:caps w:val="false"/>
          <w:smallCaps w:val="false"/>
          <w:sz w:val="20"/>
        </w:rPr>
        <w:t>Market Capitalization</w:t>
      </w:r>
      <w:r>
        <w:rPr>
          <w:rFonts w:ascii="Times New Roman;Times;Serif" w:hAnsi="Times New Roman;Times;Serif"/>
          <w:b w:val="false"/>
          <w:i w:val="false"/>
          <w:caps w:val="false"/>
          <w:smallCaps w:val="false"/>
          <w:sz w:val="20"/>
        </w:rPr>
        <w:t>”) meets or exceeds $150.0 million for each trading day during forty-five (45) consecutive trading days, (x) with respect to 500,000 shares, on the date on which the Market Capitalization meets or exceeds $225.0 million for each trading day during forty-five (45) consecutive trading days, (y) with respect to 500,000 shares, on the date on which the Market Capitalization meets or exceeds $337.5 million for each trading day during forty-five (45) consecutive trading days, and (z) with respect to the remaining 500,000 shares, on the date on which the Market Capitalization meets or exceeds $506.25 million for each trading day during forty-five (45) consecutive trading days. Upon satisfaction of any Market Capitalization threshold set forth in this Section 3(c)(ii), each lower Market Capitalization threshold shall be deemed to have been satisfied, and all shares subject to vesting upon the attainment of such lower thresholds shall vest simultaneously to the extent not previously vested. For the avoidance of doubt, a change in Executive’s title, duties, or position (including removal from the position of President and Chief Operating Officer) shall not constitute a termination of continued service so long as Executive continues to serve the Company in any capacity, provided that Executive remains an eligible stock award recipient under Section 1(a) of the Equity Plan. The Performance RSA Award will otherwise have terms and conditions as determined by the Board (or a committee thereof) consistent with the Equity Plan and the Company’s form Restricted Stock Award Agreement. In the event of a Corporate Transaction (as defined in the Equity Plan), if the Market Capitalization implied by the applicable purchase price meets or exceeds a threshold set forth in this subsection (ii), the forty-five (45) consecutive trading day period shall be disregarded, and the Performance RSA Award shall vest, with effect as of the consummation of such Corporate Transaction, only to the extent the Market Capitalization of the Company implied by the applicable purchase price meets or exceeds such threshold. Notwithstanding the foregoing, in the event of (i) a Corporate Transaction in which the Performance RSA Award is not assumed, continued or replaced with a substantially equivalent award in connection with such Corporate Transaction, or (ii) subject to Executive’s satisfaction of the Release Condition (as defined below), if Executive is terminated by the Company without Cause (as defined below) or by Executive for Good Reason (as defined below) at any time, all unvested shares of the Performance RSA Award shall immediately vest in full (subject to the stockholder approval requirement detailed above). If Executive’s service with the Company terminates for any other reason, the Performance RSA Award, to the extent unvested, shall be forfeited.</w:t>
      </w:r>
    </w:p>
    <w:p>
      <w:pPr>
        <w:pStyle w:val="TextBody"/>
        <w:bidi w:val="0"/>
        <w:spacing w:before="0" w:after="0"/>
        <w:ind w:left="144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150" w:type="dxa"/>
        <w:jc w:val="left"/>
        <w:tblInd w:w="0" w:type="dxa"/>
        <w:tblLayout w:type="fixed"/>
        <w:tblCellMar>
          <w:top w:w="0" w:type="dxa"/>
          <w:left w:w="0" w:type="dxa"/>
          <w:bottom w:w="0" w:type="dxa"/>
          <w:right w:w="0" w:type="dxa"/>
        </w:tblCellMar>
      </w:tblPr>
      <w:tblGrid>
        <w:gridCol w:w="75"/>
        <w:gridCol w:w="75"/>
      </w:tblGrid>
      <w:tr>
        <w:trPr/>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i w:val="false"/>
          <w:caps w:val="false"/>
          <w:smallCaps w:val="false"/>
          <w:sz w:val="20"/>
        </w:rPr>
        <w:t>Term of Employment</w:t>
      </w:r>
      <w:r>
        <w:rPr>
          <w:rFonts w:ascii="Times New Roman;Times;Serif" w:hAnsi="Times New Roman;Times;Serif"/>
          <w:b w:val="false"/>
          <w:i w:val="false"/>
          <w:caps w:val="false"/>
          <w:smallCaps w:val="false"/>
          <w:sz w:val="20"/>
        </w:rPr>
        <w:t>. The initial term of Executive’s employment under this Agreement shall be for the period beginning on the Effective Date and ending on the second anniversary of December 26, 2023 (the “</w:t>
      </w:r>
      <w:r>
        <w:rPr>
          <w:rFonts w:ascii="Times New Roman;Times;Serif" w:hAnsi="Times New Roman;Times;Serif"/>
          <w:b/>
          <w:i w:val="false"/>
          <w:caps w:val="false"/>
          <w:smallCaps w:val="false"/>
          <w:sz w:val="20"/>
        </w:rPr>
        <w:t>Initial Term</w:t>
      </w:r>
      <w:r>
        <w:rPr>
          <w:rFonts w:ascii="Times New Roman;Times;Serif" w:hAnsi="Times New Roman;Times;Serif"/>
          <w:b w:val="false"/>
          <w:i w:val="false"/>
          <w:caps w:val="false"/>
          <w:smallCaps w:val="false"/>
          <w:sz w:val="20"/>
        </w:rPr>
        <w:t>”). On the second anniversary of the Effective Date (if Executive’s employment hereunder has not been earlier terminated), and on each subsequent anniversary thereafter, the term of Executive’s employment under this Agreement shall automatically renew and extend for a period of twelve (12) months (each such twelve (12)-month period being a “</w:t>
      </w:r>
      <w:r>
        <w:rPr>
          <w:rFonts w:ascii="Times New Roman;Times;Serif" w:hAnsi="Times New Roman;Times;Serif"/>
          <w:b/>
          <w:i w:val="false"/>
          <w:caps w:val="false"/>
          <w:smallCaps w:val="false"/>
          <w:sz w:val="20"/>
        </w:rPr>
        <w:t>Renewal Term</w:t>
      </w:r>
      <w:r>
        <w:rPr>
          <w:rFonts w:ascii="Times New Roman;Times;Serif" w:hAnsi="Times New Roman;Times;Serif"/>
          <w:b w:val="false"/>
          <w:i w:val="false"/>
          <w:caps w:val="false"/>
          <w:smallCaps w:val="false"/>
          <w:sz w:val="20"/>
        </w:rPr>
        <w:t>”) unless written notice of non-renewal is delivered by either party to the other not less than ninety (90) days prior to the expiration of the then-existing Initial Term or Renewal Term, as applicable. Notwithstanding any other provision of this Agreement, Executive’s employment pursuant to this Agreement may be terminated at any time in accordance with Section 7. The period from the Effective Date through the expiration of this Agreement or, if sooner, the termination of Executive’s employment pursuant to this Agreement, regardless of the time or reason for such termination, shall be referred to herein as the “</w:t>
      </w:r>
      <w:r>
        <w:rPr>
          <w:rFonts w:ascii="Times New Roman;Times;Serif" w:hAnsi="Times New Roman;Times;Serif"/>
          <w:b/>
          <w:i w:val="false"/>
          <w:caps w:val="false"/>
          <w:smallCaps w:val="false"/>
          <w:sz w:val="20"/>
        </w:rPr>
        <w:t>Employment Period</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i w:val="false"/>
          <w:caps w:val="false"/>
          <w:smallCaps w:val="false"/>
          <w:sz w:val="20"/>
        </w:rPr>
        <w:t>Business Expenses</w:t>
      </w:r>
      <w:r>
        <w:rPr>
          <w:rFonts w:ascii="Times New Roman;Times;Serif" w:hAnsi="Times New Roman;Times;Serif"/>
          <w:b w:val="false"/>
          <w:i w:val="false"/>
          <w:caps w:val="false"/>
          <w:smallCaps w:val="false"/>
          <w:sz w:val="20"/>
        </w:rPr>
        <w:t>. Subject to Section 23, the Company shall reimburse Executive for Executive’s reasonable out-of-pocket business-related expenses actually incurred in the performance of Executive’s duties under this Agreement during the Employment Period so long as Executive timely submits all documentation for such expenses, as required by Company policy in effect from time to time. Any such reimbursement of expenses shall be made by the Company upon or as soon as practicable following receipt of such documentation (but in any event not later than the close of Executive’s taxable year following the taxable year in which the expense is incurred by Executive). In no event shall any reimbursement be made to Executive for any expenses incurred prior to the Effective Date or after the date of Executive’s termination of employment with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i w:val="false"/>
          <w:caps w:val="false"/>
          <w:smallCaps w:val="false"/>
          <w:sz w:val="20"/>
        </w:rPr>
        <w:t>Benefits</w:t>
      </w:r>
      <w:r>
        <w:rPr>
          <w:rFonts w:ascii="Times New Roman;Times;Serif" w:hAnsi="Times New Roman;Times;Serif"/>
          <w:b w:val="false"/>
          <w:i w:val="false"/>
          <w:caps w:val="false"/>
          <w:smallCaps w:val="false"/>
          <w:sz w:val="20"/>
        </w:rPr>
        <w:t>. During the Employment Period, Executive shall be eligible to participate in the same benefit plans and programs in which other executive-level Company employees are eligible to participate, subject to the terms and conditions of the applicable plans and programs in effect from time to time. The Company shall not, however, by reason of this Section 6, be obligated to institute, maintain, or refrain from changing, amending, or discontinuing, any such plan or policy, so long as such changes are similarly applicable to similarly situated Company employees generally.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i w:val="false"/>
          <w:caps w:val="false"/>
          <w:smallCaps w:val="false"/>
          <w:sz w:val="20"/>
        </w:rPr>
        <w:t>Termination of Employment</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Company’s Right to Terminate Executive’s Employment for Cause. The Company shall have the right to terminate Executive’s employment hereunder at any time for Cause. For purposes of this Agreement, “</w:t>
      </w:r>
      <w:r>
        <w:rPr>
          <w:rFonts w:ascii="Times New Roman;Times;Serif" w:hAnsi="Times New Roman;Times;Serif"/>
          <w:b/>
          <w:i w:val="false"/>
          <w:caps w:val="false"/>
          <w:smallCaps w:val="false"/>
          <w:sz w:val="20"/>
        </w:rPr>
        <w:t>Cause</w:t>
      </w:r>
      <w:r>
        <w:rPr>
          <w:rFonts w:ascii="Times New Roman;Times;Serif" w:hAnsi="Times New Roman;Times;Serif"/>
          <w:b w:val="false"/>
          <w:i w:val="false"/>
          <w:caps w:val="false"/>
          <w:smallCaps w:val="false"/>
          <w:sz w:val="20"/>
        </w:rPr>
        <w:t>” shall mean: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Executive’s material breach of this Agreement or any other written agreement between Executive and the Company, including Executive’s material breach of any representation, warranty or covenant made under any such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Executive’s material breach of any policy or code of conduct established by the Company and applicable to Executive that has been previously disclosed or made available to Executive;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Executive’s violation of any law applicable to the workplace (including any law regarding anti-harassment, anti-discrimination, or anti-retaliation);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Executive’s breach of fiduciary duty, fraud, theft or embezzlement;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Executive’s willful misconduct or gross negligence which is, or reasonably could be expected to be, materially injurious to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the commission by Executive of, or conviction or indictment of Executive for, or plea of </w:t>
      </w:r>
      <w:r>
        <w:rPr>
          <w:rFonts w:ascii="Times New Roman;Times;Serif" w:hAnsi="Times New Roman;Times;Serif"/>
          <w:b w:val="false"/>
          <w:i/>
          <w:caps w:val="false"/>
          <w:smallCaps w:val="false"/>
          <w:sz w:val="20"/>
        </w:rPr>
        <w:t>nolo contendere</w:t>
      </w:r>
      <w:r>
        <w:rPr>
          <w:rFonts w:ascii="Times New Roman;Times;Serif" w:hAnsi="Times New Roman;Times;Serif"/>
          <w:b w:val="false"/>
          <w:i w:val="false"/>
          <w:caps w:val="false"/>
          <w:smallCaps w:val="false"/>
          <w:sz w:val="20"/>
        </w:rPr>
        <w:t xml:space="preserve"> by Executive to, any felony (or state law equivalent) or any crime involving moral turpitude or that could otherwise be injurious to the Company (including by being harmful to the Company’s reputation); or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Executive’s willful failure or refusal, other than due to Disability (as defined below), to perform Executive’s obligations pursuant to this Agreement or to follow any lawful directive from the Board;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Executive’s actions or omissions as set forth in Sections 7(a)(i), 7(a)(ii) or 7(a)(vii) are of such a nature that the Board (sitting without Executive, if applicable) determines that they are curable by Executive, such actions or omissions must remain uncured ten (10) days after the Board first provided Executive written notice of the obligation to cure such actions or omissions.</w:t>
      </w:r>
    </w:p>
    <w:p>
      <w:pPr>
        <w:pStyle w:val="TextBody"/>
        <w:bidi w:val="0"/>
        <w:spacing w:before="0" w:after="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150" w:type="dxa"/>
        <w:jc w:val="left"/>
        <w:tblInd w:w="0" w:type="dxa"/>
        <w:tblLayout w:type="fixed"/>
        <w:tblCellMar>
          <w:top w:w="0" w:type="dxa"/>
          <w:left w:w="0" w:type="dxa"/>
          <w:bottom w:w="0" w:type="dxa"/>
          <w:right w:w="0" w:type="dxa"/>
        </w:tblCellMar>
      </w:tblPr>
      <w:tblGrid>
        <w:gridCol w:w="75"/>
        <w:gridCol w:w="75"/>
      </w:tblGrid>
      <w:tr>
        <w:trPr/>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Company’s Right to Terminate for Convenience. The Company shall have the right to terminate Executive’s employment for convenience at any time and for any reason, or no reason at all, upon written notice to Executive.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Executive’s Right to Terminate for Good Reason. Executive shall have the right to terminate Executive’s employment with the Company at any time for Good Reason. For purposes of this Agreement, “</w:t>
      </w:r>
      <w:r>
        <w:rPr>
          <w:rFonts w:ascii="Times New Roman;Times;Serif" w:hAnsi="Times New Roman;Times;Serif"/>
          <w:b/>
          <w:i w:val="false"/>
          <w:caps w:val="false"/>
          <w:smallCaps w:val="false"/>
          <w:sz w:val="20"/>
        </w:rPr>
        <w:t>Good Reason</w:t>
      </w:r>
      <w:r>
        <w:rPr>
          <w:rFonts w:ascii="Times New Roman;Times;Serif" w:hAnsi="Times New Roman;Times;Serif"/>
          <w:b w:val="false"/>
          <w:i w:val="false"/>
          <w:caps w:val="false"/>
          <w:smallCaps w:val="false"/>
          <w:sz w:val="20"/>
        </w:rPr>
        <w:t>” shall mean: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material diminution in Executive’s Base Salary not in connection with an Across-the-Company Reduction;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material diminution in Executive’s authority, duties, and responsibilities (provided, that in no event shall a change in Executive’s title constitute Good Reason for Executive to terminate this Agreement); or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material breach by the Company of any of its obligations under this Agreement, which shall include the failure of the Board to approve Executive’s equity-based compensation as set forth in Section 3(c) hereof.</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w:t>
      </w:r>
      <w:r>
        <w:rPr>
          <w:rFonts w:ascii="Times New Roman;Times;Serif" w:hAnsi="Times New Roman;Times;Serif"/>
          <w:b/>
          <w:i w:val="false"/>
          <w:caps w:val="false"/>
          <w:smallCaps w:val="false"/>
          <w:sz w:val="20"/>
        </w:rPr>
        <w:t>Across-the-Company Reduction</w:t>
      </w:r>
      <w:r>
        <w:rPr>
          <w:rFonts w:ascii="Times New Roman;Times;Serif" w:hAnsi="Times New Roman;Times;Serif"/>
          <w:b w:val="false"/>
          <w:i w:val="false"/>
          <w:caps w:val="false"/>
          <w:smallCaps w:val="false"/>
          <w:sz w:val="20"/>
        </w:rPr>
        <w:t>” shall mean a general reduction in salaries of all or substantially all of the senior executives employed by the Company, which reduction (a) affects Executive in substantially the same manner as the other senior executives who are also affected by such general reduction, and (b) does not, in the aggregate, constitute a reduction by more than ten percent (10%) of Executive’s then current Base Salary. Notwithstanding anything to the contrary, an Across-the-Company Reduction shall not constitute a breach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provisions of this Section 7(c) or any other provision of this Agreement to the contrary, any assertion by Executive of a termination for Good Reason shall not be effective unless all of the following conditions are satisfied: (A) the condition described in Section 7(c)(i), (ii) or (iii) giving rise to Executive’s termination of employment must have arisen without Executive’s consent; (B) Executive must provide written notice to the Board of the existence of such condition(s) within forty-five (45) days after the initial occurrence of such condition(s); (C) the condition(s) specified in such notice must remain uncorrected for thirty (30) days following the Board’s receipt of such written notice (the “</w:t>
      </w:r>
      <w:r>
        <w:rPr>
          <w:rFonts w:ascii="Times New Roman;Times;Serif" w:hAnsi="Times New Roman;Times;Serif"/>
          <w:b/>
          <w:i w:val="false"/>
          <w:caps w:val="false"/>
          <w:smallCaps w:val="false"/>
          <w:sz w:val="20"/>
        </w:rPr>
        <w:t>Cure Period</w:t>
      </w:r>
      <w:r>
        <w:rPr>
          <w:rFonts w:ascii="Times New Roman;Times;Serif" w:hAnsi="Times New Roman;Times;Serif"/>
          <w:b w:val="false"/>
          <w:i w:val="false"/>
          <w:caps w:val="false"/>
          <w:smallCaps w:val="false"/>
          <w:sz w:val="20"/>
        </w:rPr>
        <w:t>”); and (D) the date of Executive’s termination of employment must occur on the day immediately following the expiration of the Cure Period. Further notwithstanding the foregoing, no suspension of Executive or a reduction in Executive’s authority, duties and responsibilities in conjunction with any leave required, or other action taken, by the Company as part of any investigation into alleged wrongdoing by such Executive shall give rise to Good Reason.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Death or Disability. Upon the death of Executive, or upon written notice from the Company following Executive’s Disability, Executive’s employment with the Company shall automatically (and without any further action by any person or entity) terminate with no further obligation under this Agreement of either party hereunder, other than the Accrued Rights (as defined below). For purposes of this Agreement, a “</w:t>
      </w:r>
      <w:r>
        <w:rPr>
          <w:rFonts w:ascii="Times New Roman;Times;Serif" w:hAnsi="Times New Roman;Times;Serif"/>
          <w:b/>
          <w:i w:val="false"/>
          <w:caps w:val="false"/>
          <w:smallCaps w:val="false"/>
          <w:sz w:val="20"/>
        </w:rPr>
        <w:t>Disability</w:t>
      </w:r>
      <w:r>
        <w:rPr>
          <w:rFonts w:ascii="Times New Roman;Times;Serif" w:hAnsi="Times New Roman;Times;Serif"/>
          <w:b w:val="false"/>
          <w:i w:val="false"/>
          <w:caps w:val="false"/>
          <w:smallCaps w:val="false"/>
          <w:sz w:val="20"/>
        </w:rPr>
        <w:t>” shall exist if the Board determines that Executive is unable to perform the essential functions of Executive’s position (after accounting for reasonable accommodation, if applicable and required by applicable law), due to physical or mental impairment that continues, or can reasonably be expected to continue, for a period in excess of one hundred-twenty (120) consecutive days or one hundred-eighty (180) days, whether or not consecutive (or for any longer period as may be required by applicable law), in any twelve (12)-month period.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Executive’s Right to Terminate for Convenience. In addition to Executive’s right to terminate Executive’s employment for Good Reason, Executive shall have the right to terminate Executive’s employment with the Company for convenience at any time and for any other reason, or no reason at all, upon thirty (30) days’ advance written notice to the Company;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Executive has provided notice to the Company of Executive’s termination of employment, the Company may determine, in its sole discretion, that such termination shall be effective on any date prior to the effective date of termination provided in such notice (and, if such earlier date is so required, then it shall not change the basis for Executive’s termination of employment nor be construed or interpreted as a termination of employment pursuant to Section 7(b)).</w:t>
      </w:r>
    </w:p>
    <w:p>
      <w:pPr>
        <w:pStyle w:val="TextBody"/>
        <w:bidi w:val="0"/>
        <w:spacing w:before="0" w:after="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150" w:type="dxa"/>
        <w:jc w:val="left"/>
        <w:tblInd w:w="0" w:type="dxa"/>
        <w:tblLayout w:type="fixed"/>
        <w:tblCellMar>
          <w:top w:w="0" w:type="dxa"/>
          <w:left w:w="0" w:type="dxa"/>
          <w:bottom w:w="0" w:type="dxa"/>
          <w:right w:w="0" w:type="dxa"/>
        </w:tblCellMar>
      </w:tblPr>
      <w:tblGrid>
        <w:gridCol w:w="75"/>
        <w:gridCol w:w="75"/>
      </w:tblGrid>
      <w:tr>
        <w:trPr/>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Effect of Termination</w:t>
      </w:r>
      <w:r>
        <w:rPr>
          <w:rFonts w:ascii="Times New Roman;Times;Serif" w:hAnsi="Times New Roman;Times;Serif"/>
          <w:b w:val="false"/>
          <w:i/>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Executive’s employment hereunder is terminated by either party for any reason, Executive shall be entitled to: (A) any earned but unpaid Base Salary earned during the Employment Period and applicable to all pay periods prior to the Termination Date (as defined below); (B) any unreimbursed business expenses properly incurred pursuant to Section 5, provided that Executive makes any reimbursement request within thirty (30) days following the Termination Date; and (C) any employee benefits to which Executive may be entitled under the Company’s employee benefit plans or programs in which Executive participates as of the Termination Date, subject to the terms and conditions of the applicable plans and programs in effect from time to time (collectively, the “</w:t>
      </w:r>
      <w:r>
        <w:rPr>
          <w:rFonts w:ascii="Times New Roman;Times;Serif" w:hAnsi="Times New Roman;Times;Serif"/>
          <w:b/>
          <w:i w:val="false"/>
          <w:caps w:val="false"/>
          <w:smallCaps w:val="false"/>
          <w:sz w:val="20"/>
        </w:rPr>
        <w:t>Accrued Rights</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Executive’s employment hereunder is terminated by the Company without Cause pursuant to Section 7(b), or by Executive for Good Reason pursuant to Section 7(c), or upon the end of the Initial Term or a Renewal Term, as applicable, as the result of the Company’s issuance of a notice of non-renewal pursuant to Section 4 above, then so long as (and only if) Executive: (A) executes on or before the Release Expiration Date (as defined below), and does not revoke within any time provided by the Company to do so, a release of all claims in a form reasonably acceptable to the Company (the “</w:t>
      </w:r>
      <w:r>
        <w:rPr>
          <w:rFonts w:ascii="Times New Roman;Times;Serif" w:hAnsi="Times New Roman;Times;Serif"/>
          <w:b/>
          <w:i w:val="false"/>
          <w:caps w:val="false"/>
          <w:smallCaps w:val="false"/>
          <w:sz w:val="20"/>
        </w:rPr>
        <w:t>Release</w:t>
      </w:r>
      <w:r>
        <w:rPr>
          <w:rFonts w:ascii="Times New Roman;Times;Serif" w:hAnsi="Times New Roman;Times;Serif"/>
          <w:b w:val="false"/>
          <w:i w:val="false"/>
          <w:caps w:val="false"/>
          <w:smallCaps w:val="false"/>
          <w:sz w:val="20"/>
        </w:rPr>
        <w:t>”), which Release shall release the Company and its affiliates, and the foregoing entities’ respective stockholders, members, partners, officers, managers, directors, predecessors, successors, fiduciaries, employees, representatives, agents and benefit plans (and fiduciaries of such plans) from any and all claims, including any and all causes of action arising out of Executive’s employment, engagement, or affiliation with the Company or the termination of such employment, engagement or affiliation, but excluding (1) all claims to severance payments Executive may have under this Section 7, (2) any vested and non-forfeitable rights that Executive may have at the time of termination in any tax qualified employee plan, any retirement plan that is subject to the Employee Retirement Income Security Act of 1974, as amended, or any equity-based incentive plan (subject to Section 25 hereof), and (3) any rights Executive may have at the time of termination to (a) be indemnified (and advanced legal fees and costs) pursuant to the terms of the Company’s organizational documents or any other agreement between Executive and the Company, or (b) coverage under any applicable directors and officers’ or similar liability insurance; and (B) abides by the terms of each of Sections 9, 10 and 11, then the Company shall: (x) make severance payments to Executive in a total amount equal to twelve (12) months’ worth of Executive’s Base Salary (without regard to any reduction that gave rise to Good Reason) for the year in which such termination occurs (such total severance payments being referred to as the “</w:t>
      </w:r>
      <w:r>
        <w:rPr>
          <w:rFonts w:ascii="Times New Roman;Times;Serif" w:hAnsi="Times New Roman;Times;Serif"/>
          <w:b/>
          <w:i w:val="false"/>
          <w:caps w:val="false"/>
          <w:smallCaps w:val="false"/>
          <w:sz w:val="20"/>
        </w:rPr>
        <w:t>Severance Payment</w:t>
      </w:r>
      <w:r>
        <w:rPr>
          <w:rFonts w:ascii="Times New Roman;Times;Serif" w:hAnsi="Times New Roman;Times;Serif"/>
          <w:b w:val="false"/>
          <w:i w:val="false"/>
          <w:caps w:val="false"/>
          <w:smallCaps w:val="false"/>
          <w:sz w:val="20"/>
        </w:rPr>
        <w:t>”); (y) pay to Executive any earned (as determined by the Board) but unpaid Annual Bonus in respect of any completed Bonus Year that has ended prior to the Termination Date, which shall be paid at the same time annual bonuses are paid to senior executives of the Company, but in all events no later than March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of the year following the year in which the Termination Date occurs (the “</w:t>
      </w:r>
      <w:r>
        <w:rPr>
          <w:rFonts w:ascii="Times New Roman;Times;Serif" w:hAnsi="Times New Roman;Times;Serif"/>
          <w:b/>
          <w:i w:val="false"/>
          <w:caps w:val="false"/>
          <w:smallCaps w:val="false"/>
          <w:sz w:val="20"/>
        </w:rPr>
        <w:t>Termination Bonus Payment</w:t>
      </w:r>
      <w:r>
        <w:rPr>
          <w:rFonts w:ascii="Times New Roman;Times;Serif" w:hAnsi="Times New Roman;Times;Serif"/>
          <w:b w:val="false"/>
          <w:i w:val="false"/>
          <w:caps w:val="false"/>
          <w:smallCaps w:val="false"/>
          <w:sz w:val="20"/>
        </w:rPr>
        <w:t>”), and (z) make available the COBRA Benefit (as defined below) (collectively, the Severance Payment, Termination Bonus Payment, and COBRA Benefit are referred to herein as the “</w:t>
      </w:r>
      <w:r>
        <w:rPr>
          <w:rFonts w:ascii="Times New Roman;Times;Serif" w:hAnsi="Times New Roman;Times;Serif"/>
          <w:b/>
          <w:i w:val="false"/>
          <w:caps w:val="false"/>
          <w:smallCaps w:val="false"/>
          <w:sz w:val="20"/>
        </w:rPr>
        <w:t>Termination Benefits</w:t>
      </w:r>
      <w:r>
        <w:rPr>
          <w:rFonts w:ascii="Times New Roman;Times;Serif" w:hAnsi="Times New Roman;Times;Serif"/>
          <w:b w:val="false"/>
          <w:i w:val="false"/>
          <w:caps w:val="false"/>
          <w:smallCaps w:val="false"/>
          <w:sz w:val="20"/>
        </w:rPr>
        <w:t>”). The Severance Payment will be divided into substantially equal installments paid over the 12-month period following the date on which Executive’s employment terminates (the “</w:t>
      </w:r>
      <w:r>
        <w:rPr>
          <w:rFonts w:ascii="Times New Roman;Times;Serif" w:hAnsi="Times New Roman;Times;Serif"/>
          <w:b/>
          <w:i w:val="false"/>
          <w:caps w:val="false"/>
          <w:smallCaps w:val="false"/>
          <w:sz w:val="20"/>
        </w:rPr>
        <w:t>Termination Date</w:t>
      </w:r>
      <w:r>
        <w:rPr>
          <w:rFonts w:ascii="Times New Roman;Times;Serif" w:hAnsi="Times New Roman;Times;Serif"/>
          <w:b w:val="false"/>
          <w:i w:val="false"/>
          <w:caps w:val="false"/>
          <w:smallCaps w:val="false"/>
          <w:sz w:val="20"/>
        </w:rPr>
        <w:t>”). On the Company’s first regularly scheduled pay date that is on or after the date that is sixty (60) days after the Termination Date (the “</w:t>
      </w:r>
      <w:r>
        <w:rPr>
          <w:rFonts w:ascii="Times New Roman;Times;Serif" w:hAnsi="Times New Roman;Times;Serif"/>
          <w:b/>
          <w:i w:val="false"/>
          <w:caps w:val="false"/>
          <w:smallCaps w:val="false"/>
          <w:sz w:val="20"/>
        </w:rPr>
        <w:t>First Severance Payment Date</w:t>
      </w:r>
      <w:r>
        <w:rPr>
          <w:rFonts w:ascii="Times New Roman;Times;Serif" w:hAnsi="Times New Roman;Times;Serif"/>
          <w:b w:val="false"/>
          <w:i w:val="false"/>
          <w:caps w:val="false"/>
          <w:smallCaps w:val="false"/>
          <w:sz w:val="20"/>
        </w:rPr>
        <w:t>”), the Company shall pay to Executive, without interest, a number of such installments equal to the number of such installments that would have been paid during the period beginning on the Termination Date and ending on the First Severance Payment Date had the installments been paid on the Company’s regularly scheduled pay dates on or following the Termination Date, and each of the remaining installments shall be paid on the Company’s regularly scheduled pay dates during the remainder of such 12-month period. Notwithstanding the foregoing, in the event Executive is terminated within two (2) years following the consummation of a Corporate Transaction (as defined in the Equity Plan), the Severance Payment shall be payable in a lump sum on the 60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following the Termination Date, subject to satisfaction of the Release requirement described above.</w:t>
      </w:r>
    </w:p>
    <w:p>
      <w:pPr>
        <w:pStyle w:val="TextBody"/>
        <w:bidi w:val="0"/>
        <w:spacing w:before="0" w:after="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150" w:type="dxa"/>
        <w:jc w:val="left"/>
        <w:tblInd w:w="0" w:type="dxa"/>
        <w:tblLayout w:type="fixed"/>
        <w:tblCellMar>
          <w:top w:w="0" w:type="dxa"/>
          <w:left w:w="0" w:type="dxa"/>
          <w:bottom w:w="0" w:type="dxa"/>
          <w:right w:w="0" w:type="dxa"/>
        </w:tblCellMar>
      </w:tblPr>
      <w:tblGrid>
        <w:gridCol w:w="75"/>
        <w:gridCol w:w="75"/>
      </w:tblGrid>
      <w:tr>
        <w:trPr/>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Executive’s termination gives rise to his being eligible for, and if Executive satisfies the conditions to receive, the Severance Payment, then for the portion, if any, of the twelve (12)-month period following the Termination Date (the “</w:t>
      </w:r>
      <w:r>
        <w:rPr>
          <w:rFonts w:ascii="Times New Roman;Times;Serif" w:hAnsi="Times New Roman;Times;Serif"/>
          <w:b/>
          <w:i w:val="false"/>
          <w:caps w:val="false"/>
          <w:smallCaps w:val="false"/>
          <w:sz w:val="20"/>
        </w:rPr>
        <w:t>Reimbursement Period</w:t>
      </w:r>
      <w:r>
        <w:rPr>
          <w:rFonts w:ascii="Times New Roman;Times;Serif" w:hAnsi="Times New Roman;Times;Serif"/>
          <w:b w:val="false"/>
          <w:i w:val="false"/>
          <w:caps w:val="false"/>
          <w:smallCaps w:val="false"/>
          <w:sz w:val="20"/>
        </w:rPr>
        <w:t>”) that Executive elects to continue coverage for Executive and Executive’s spouse and eligible dependents, if any, under the Company’s group health plans pursuant to Consolidated Omnibus Budget Reconciliation Act of 1985 (“</w:t>
      </w:r>
      <w:r>
        <w:rPr>
          <w:rFonts w:ascii="Times New Roman;Times;Serif" w:hAnsi="Times New Roman;Times;Serif"/>
          <w:b/>
          <w:i w:val="false"/>
          <w:caps w:val="false"/>
          <w:smallCaps w:val="false"/>
          <w:sz w:val="20"/>
        </w:rPr>
        <w:t>COBRA</w:t>
      </w:r>
      <w:r>
        <w:rPr>
          <w:rFonts w:ascii="Times New Roman;Times;Serif" w:hAnsi="Times New Roman;Times;Serif"/>
          <w:b w:val="false"/>
          <w:i w:val="false"/>
          <w:caps w:val="false"/>
          <w:smallCaps w:val="false"/>
          <w:sz w:val="20"/>
        </w:rPr>
        <w:t>”), subject to Executive’s timely submission of applicable documentation as described herein, the Company shall promptly reimburse Executive on a monthly basis for the difference between the amount Executive pays to effect and continue such coverage and the employee contribution amount that similarly situated employees of the Company pay for the same or similar coverage under such group health plans (the “</w:t>
      </w:r>
      <w:r>
        <w:rPr>
          <w:rFonts w:ascii="Times New Roman;Times;Serif" w:hAnsi="Times New Roman;Times;Serif"/>
          <w:b/>
          <w:i w:val="false"/>
          <w:caps w:val="false"/>
          <w:smallCaps w:val="false"/>
          <w:sz w:val="20"/>
        </w:rPr>
        <w:t>COBRA Benefit</w:t>
      </w:r>
      <w:r>
        <w:rPr>
          <w:rFonts w:ascii="Times New Roman;Times;Serif" w:hAnsi="Times New Roman;Times;Serif"/>
          <w:b w:val="false"/>
          <w:i w:val="false"/>
          <w:caps w:val="false"/>
          <w:smallCaps w:val="false"/>
          <w:sz w:val="20"/>
        </w:rPr>
        <w:t xml:space="preserve">”). Each payment of the COBRA Benefit shall be paid to Executive on the Company’s first regularly scheduled pay date in the calendar month immediately following the calendar month in which Executive submits to the Company documentation of the applicable premium payment having been paid by Executive, which documentation shall be submitted by Executive to the Company within thirty (30) days following the date on which the applicable premium payment is paid. Executive shall be eligible to receive such reimbursement payments until the earliest of: (i) the last day of the Reimbursement Period; (ii) the date Executive is no longer eligible to receive COBRA continuation coverage; and (iii) the date on which Executive becomes eligible to receive coverage under a group health plan sponsored by another employer (and any such eligibility shall be promptly reported to the Company by Executive);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election of COBRA continuation coverage and the payment of any premiums due with respect to such COBRA continuation coverage shall remain Executive’s sole responsibility, and the Company shall not assume any obligation for payment of any such premiums relating to such COBRA continuation coverage. The Company may cease making such payments to the extent required to avoid any adverse consequences to Executive or the Company under either Section 105(h) of the Internal Revenue Code of 1986 (the “</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or the Patient Protection and Affordable Care Act of 2010, and, to the extent such payments would not cause any such adverse consequences, the Company shall in lieu thereof provide to Executive (or Executive’s designated beneficiary or legal representative, if applicable) a monthly payment in an amount equal to the portion of the monthly COBRA premium that the Company would otherwise be required to pay under this Section for Executive’s COBRA coverage, which payment will continue until the end of the subsidized COBRA continuation period otherwise prescribed in this Section. The existence and duration of Executive’s rights and/or the COBRA rights of any of Executive’s eligible dependents will be determined in accordance with Section 4980B of the Code.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the Release is not executed and returned to the Company on or before the Release Expiration Date, and the required revocation period has not fully expired without revocation of the Release by Executive (the “</w:t>
      </w:r>
      <w:r>
        <w:rPr>
          <w:rFonts w:ascii="Times New Roman;Times;Serif" w:hAnsi="Times New Roman;Times;Serif"/>
          <w:b/>
          <w:i w:val="false"/>
          <w:caps w:val="false"/>
          <w:smallCaps w:val="false"/>
          <w:sz w:val="20"/>
        </w:rPr>
        <w:t>Release Condition</w:t>
      </w:r>
      <w:r>
        <w:rPr>
          <w:rFonts w:ascii="Times New Roman;Times;Serif" w:hAnsi="Times New Roman;Times;Serif"/>
          <w:b w:val="false"/>
          <w:i w:val="false"/>
          <w:caps w:val="false"/>
          <w:smallCaps w:val="false"/>
          <w:sz w:val="20"/>
        </w:rPr>
        <w:t>”), then Executive shall not be entitled to any portion of the Termination Benefits. As used herein, the “</w:t>
      </w:r>
      <w:r>
        <w:rPr>
          <w:rFonts w:ascii="Times New Roman;Times;Serif" w:hAnsi="Times New Roman;Times;Serif"/>
          <w:b/>
          <w:i w:val="false"/>
          <w:caps w:val="false"/>
          <w:smallCaps w:val="false"/>
          <w:sz w:val="20"/>
        </w:rPr>
        <w:t>Release Expiration Date</w:t>
      </w:r>
      <w:r>
        <w:rPr>
          <w:rFonts w:ascii="Times New Roman;Times;Serif" w:hAnsi="Times New Roman;Times;Serif"/>
          <w:b w:val="false"/>
          <w:i w:val="false"/>
          <w:caps w:val="false"/>
          <w:smallCaps w:val="false"/>
          <w:sz w:val="20"/>
        </w:rPr>
        <w:t>” is that date that is twenty-one (21) days following the date upon which the Company delivers the Release to Executive (which shall occur no later than seven (7) days after the Termination Date) or, in the event that such termination of employment is “in connection with an exit incentive or other employment termination program” (as such phrase is defined in the Age Discrimination in Employment Act of 1967), the date that is forty-five (45) days following such delivery date.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For the avoidance of doubt, the Severance Payment, Termination Bonus Payment and COBRA Benefit (and any portion thereof) shall not be payable if Executive’s employment terminates: (i) upon the expiration of the Initial Term or a Renewal Term, as applicable, as the result of Executive’s issuance of a notice of non-renewal, (ii) due to Executive’s death or Disability as set forth in Section 7(d), (iii) due to Executive’s resignation without Good Reason pursuant to Section 7(e), or (iv) due to Executive’s termination for Cause pursuant to Section 7(a).</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Notwithstanding any provision of this Agreement to the contrary, in the event that the Company determines that Executive is eligible to receive the Severance Payment, Termination Bonus Payment or COBRA Benefit pursuant to Section 7(f) but, after such determination, the Company subsequently acquires evidence or determines that: (i) Executive has failed to abide by the terms of Sections 9, 10 or 11; or (ii) a Cause condition existed prior to the Termination Date that, had the Company been fully aware of such condition, would have given the Company the right to terminate Executive’s employment pursuant to Section 7(a), then the Company shall have the right to cease the payment of any future installments of the Severance Payment, Termination Bonus Payment and COBRA Benefit and Executive shall promptly return to the Company all installments of the Severance Payment, Termination Bonus Payment and COBRA Benefit received by Executive prior to the date that the Company determines that the conditions of this Section 7(g) have been satisfied.</w:t>
      </w:r>
    </w:p>
    <w:p>
      <w:pPr>
        <w:pStyle w:val="TextBody"/>
        <w:bidi w:val="0"/>
        <w:spacing w:before="0" w:after="0"/>
        <w:ind w:left="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150" w:type="dxa"/>
        <w:jc w:val="left"/>
        <w:tblInd w:w="0" w:type="dxa"/>
        <w:tblLayout w:type="fixed"/>
        <w:tblCellMar>
          <w:top w:w="0" w:type="dxa"/>
          <w:left w:w="0" w:type="dxa"/>
          <w:bottom w:w="0" w:type="dxa"/>
          <w:right w:w="0" w:type="dxa"/>
        </w:tblCellMar>
      </w:tblPr>
      <w:tblGrid>
        <w:gridCol w:w="75"/>
        <w:gridCol w:w="75"/>
      </w:tblGrid>
      <w:tr>
        <w:trPr/>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i w:val="false"/>
          <w:caps w:val="false"/>
          <w:smallCaps w:val="false"/>
          <w:sz w:val="20"/>
        </w:rPr>
        <w:t>Disclosures</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Executive hereby represents and warrants that, as of the Effective Date, there exist (i) no actual or potential Conflicts of Interest (as defined below) and (ii) no current or pending lawsuits, claims, charges, or arbitrations filed against or involving Executive or any trust or vehicle owned or controlled by Executive.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Promptly (and in any event, within three (3) Business Days) upon becoming aware of (i) any actual or potential Conflict of Interest or (ii) any lawsuit, claim or arbitration filed against or involving Executive or any trust or vehicle owned or controlled by Executive, in each case, Executive shall disclose such actual or potential Conflict of Interest or such lawsuit, claim or arbitration to the Board. A “</w:t>
      </w:r>
      <w:r>
        <w:rPr>
          <w:rFonts w:ascii="Times New Roman;Times;Serif" w:hAnsi="Times New Roman;Times;Serif"/>
          <w:b/>
          <w:i w:val="false"/>
          <w:caps w:val="false"/>
          <w:smallCaps w:val="false"/>
          <w:sz w:val="20"/>
        </w:rPr>
        <w:t>Conflict of Interest</w:t>
      </w:r>
      <w:r>
        <w:rPr>
          <w:rFonts w:ascii="Times New Roman;Times;Serif" w:hAnsi="Times New Roman;Times;Serif"/>
          <w:b w:val="false"/>
          <w:i w:val="false"/>
          <w:caps w:val="false"/>
          <w:smallCaps w:val="false"/>
          <w:sz w:val="20"/>
        </w:rPr>
        <w:t>” shall exist when Executive engages in, or plans to engage in, any activities, associations, or interests that conflict with, or create an appearance of a conflict with, Executive’s duties, responsibilities, authorities, or obligations to the Company. A “</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shall mean any day except a Saturday, Sunday or other day on which commercial banks in New York, New York or Phoenix, Arizona are authorized or required by law to be closed.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i w:val="false"/>
          <w:caps w:val="false"/>
          <w:smallCaps w:val="false"/>
          <w:sz w:val="20"/>
        </w:rPr>
        <w:t>Confidentiality</w:t>
      </w:r>
      <w:r>
        <w:rPr>
          <w:rFonts w:ascii="Times New Roman;Times;Serif" w:hAnsi="Times New Roman;Times;Serif"/>
          <w:b w:val="false"/>
          <w:i w:val="false"/>
          <w:caps w:val="false"/>
          <w:smallCaps w:val="false"/>
          <w:sz w:val="20"/>
        </w:rPr>
        <w:t>. In the course of Executive’s employment with the Company and the performance of Executive’s duties on behalf of the Company hereunder, Executive will be provided with, and will have access to, Confidential Information (as defined below).</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Both during the Employment Period and thereafter, except as expressly permitted by this Agreement or by directive of the Board, Executive shall not disclose any Confidential Information to any person or entity and shall not use any Confidential Information except for the benefit of the Company. Executive shall follow all Company policies and protocols regarding the security of all documents and other materials containing Confidential Information (regardless of the medium on which Confidential Information is stored). Except to the extent required for the performance of Executive’s duties on behalf of the Company, Executive shall not remove from facilities of the Company any equipment, drawings, notes, reports, manuals, invention records, computer software, customer information, or other data or materials that relate in any way to the Confidential Information, whether paper or electronic and whether produced by Executive or obtained by the Company. The covenants of this Section 9(a) shall apply to all Confidential Information, whether now known or later to become known to Executive during the period that Executive is employed by or affiliated with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any provision of Section 9(a) to the contrary, Executive may make the following disclosures and uses of Confidential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disclosures to other employees of the Company who have a need to know the information in connection with the businesses of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disclosures to customers and suppliers when, in the reasonable and good faith belief of Executive, such disclosure is in connection with Executive’s performance of Executive’s duties under this Agreement and is in the best interests of the Company;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disclosures and uses that are approved in writing by the Board; or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disclosures to a person or entity that has (x) been retained by the Company to provide services to the Company and (y) agreed in writing to abide by the terms of a confidentiality agreement in a form acceptable to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Upon the expiration of the Employment Period, and at any other time upon request of the Company, Executive shall promptly surrender and deliver to the Company all documents (including electronically stored information) and all copies thereof and all other materials of any nature containing or pertaining to all Confidential Information and any other Company property (including any Company-issued computer, mobile device or other equipment) in Executive’s possession, custody or control and Executive shall not retain any such documents or other materials or property of the Company. Within five (5) days of any such request, Executive shall certify to the Company in writing that all such documents, materials and property have been returned to the Company.</w:t>
      </w:r>
    </w:p>
    <w:p>
      <w:pPr>
        <w:pStyle w:val="TextBody"/>
        <w:bidi w:val="0"/>
        <w:spacing w:before="0" w:after="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150" w:type="dxa"/>
        <w:jc w:val="left"/>
        <w:tblInd w:w="0" w:type="dxa"/>
        <w:tblLayout w:type="fixed"/>
        <w:tblCellMar>
          <w:top w:w="0" w:type="dxa"/>
          <w:left w:w="0" w:type="dxa"/>
          <w:bottom w:w="0" w:type="dxa"/>
          <w:right w:w="0" w:type="dxa"/>
        </w:tblCellMar>
      </w:tblPr>
      <w:tblGrid>
        <w:gridCol w:w="75"/>
        <w:gridCol w:w="75"/>
      </w:tblGrid>
      <w:tr>
        <w:trPr/>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Confidential Information</w:t>
      </w:r>
      <w:r>
        <w:rPr>
          <w:rFonts w:ascii="Times New Roman;Times;Serif" w:hAnsi="Times New Roman;Times;Serif"/>
          <w:b w:val="false"/>
          <w:i w:val="false"/>
          <w:caps w:val="false"/>
          <w:smallCaps w:val="false"/>
          <w:sz w:val="20"/>
        </w:rPr>
        <w:t xml:space="preserve">” means all confidential, competitively valuable, non-public or proprietary information that is conceived, made, developed or acquired by or disclosed to Executive (whether conveyed orally or in writing), individually or in conjunction with others, during the period that Executive is employed by the Company (whether during business hours or otherwise and whether on the Company’s premises or otherwise) including: (i) technical information of the Company, its affiliates, its customers or other third parties, including computer programs, software, databases, data, ideas, know-how, formulae, compositions, processes, discoveries, machines, inventions (whether patentable or not), designs, developmental or experimental work, techniques, improvements, work in process, research or test results, original works of authorship, training programs and procedures, diagrams, charts, business and product development plans, and similar items; (ii) information relating to the Company’s businesses or properties, products or services (including all such information relating to corporate opportunities, operations, future plans, methods of doing business, business plans, strategies for developing business and market share, research, financial and sales data, pricing terms, evaluations, opinions, interpretations, acquisition prospects, the identity of customers or acquisition targets or their requirements, the identity of key contacts within customers’ organizations or within the organization of acquisition prospects, or marketing and merchandising techniques, prospective names and marks); and (iii) other valuable, confidential information and trade secrets of the Company, its affiliates, its customers or other third parties. Moreover, all documents, videotapes, written presentations, brochures, drawings, memoranda, notes, records, files, correspondence, manuals, models, specifications, computer programs, e-mail, voice mail, electronic databases, maps, drawings, architectural renditions, models and all other writings or materials of any type including or embodying any of such information, ideas, concepts, improvements, discoveries, inventions and other similar forms of expression are and shall be the sole and exclusive property of the Company and be subject to the same restrictions on disclosure applicable to all Confidential Information pursuant to this Agreement. For purposes of this Agreement, Confidential Information shall not include any information that (x) is or becomes generally available to the public or to other entities within the Company’s industry other than as a result of a disclosure or wrongful act of Executive or any of Executive’s agents; (y) was available to Executive on a non-confidential basis before its disclosure by the Company; or (z) becomes available to Executive on a non-confidential basis from a source other than the Company;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such source is not bound by a confidentiality agreement with, or other obligation with respect to confidentiality to,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Notwithstanding the foregoing, nothing in this Agreement shall prohibit or restrict Executive from using his general industry knowledge or from lawfully: (i) initiating communications directly with, cooperating with, providing information to, causing information to be provided to, or otherwise assisting in an investigation by, any governmental authority regarding a possible violation of any law; (ii) responding to any inquiry or legal process directed to Executive from any such governmental authority; (iii) testifying, participating or otherwise assisting in any action or proceeding by any such governmental authority relating to a possible violation of law; or (iv) making any other disclosures that are protected under the whistleblower provisions of any applicable law. Additionally, pursuant to the federal Defend Trade Secrets Act of 2016, an individual shall not be held criminally or civilly liable under any federal or state trade secret law for the disclosure of a trade secret that: (A) is made (1) in confidence to a federal, state or local government official, either directly or indirectly, or to an attorney and (2) solely for the purpose of reporting or investigating a suspected violation of law; (B) is made to the individual’s attorney in relation to a lawsuit for retaliation against the individual for reporting a suspected violation of law; or (C) is made in a complaint or other document filed in a lawsuit or proceeding, if such filing is made under seal. Nothing in this Agreement requires Executive to obtain prior authorization before engaging in any conduct described in this paragraph, or to notify the Company that Executive has engaged in any such conduct.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i w:val="false"/>
          <w:caps w:val="false"/>
          <w:smallCaps w:val="false"/>
          <w:sz w:val="20"/>
        </w:rPr>
        <w:t>Non-Competition; Non-Solicitation</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provide Executive access to Confidential Information for use only during the Employment Period, and Executive acknowledges and agrees that the Company will be entrusting Executive, in Executive’s unique and special capacity, with developing the goodwill of the Company, and as an express incentive for the Company to enter into this Agreement and employ Executive hereunder, Executive has voluntarily agreed to the covenants set forth in this Section 10. Executive agrees and acknowledges that the limitations and restrictions set forth herein, including geographical and temporal restrictions on certain competitive activities, are reasonable in all respects, do not interfere with public interests, will not cause Executive undue hardship, and are material and substantial parts of this Agreement intended and necessary to prevent unfair competition and to protect the Company’s Confidential Information, goodwill, customer relationships, and legitimate business interests.</w:t>
      </w:r>
    </w:p>
    <w:p>
      <w:pPr>
        <w:pStyle w:val="TextBody"/>
        <w:bidi w:val="0"/>
        <w:spacing w:before="0" w:after="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150" w:type="dxa"/>
        <w:jc w:val="left"/>
        <w:tblInd w:w="0" w:type="dxa"/>
        <w:tblLayout w:type="fixed"/>
        <w:tblCellMar>
          <w:top w:w="0" w:type="dxa"/>
          <w:left w:w="0" w:type="dxa"/>
          <w:bottom w:w="0" w:type="dxa"/>
          <w:right w:w="0" w:type="dxa"/>
        </w:tblCellMar>
      </w:tblPr>
      <w:tblGrid>
        <w:gridCol w:w="75"/>
        <w:gridCol w:w="75"/>
      </w:tblGrid>
      <w:tr>
        <w:trPr/>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During the Prohibited Period, Executive shall not, without the prior written approval of the Board, directly or indirectly, for Executive or on behalf of or in conjunction with any other person or entity of any nature: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engage in or participate within the Market Area in competition with the Company in any aspect of the Business, which prohibition shall prevent Executive from directly or indirectly: (A) owning, managing, operating, or being an officer or director of, any business that competes with the Company in the Market Area, or (B) joining, becoming an employee or consultant of, or otherwise being affiliated with, any person or entity engaged in, or planning to engage in, the Business in the Market Area in competition, or anticipated competition, with the Company in any capacity (with respect to this clause (B)) in which Executive’s duties or responsibilities: (x) are the same as or similar to the duties or responsibilities that Executive had on behalf of the Company, (y) involve direct or indirect oversight of, or responsibility for, duties or responsibilities that are the same or similar to the duties or responsibilities that Executive had on behalf of the Company, or (z) otherwise involve Executive having responsibilities with respect to the Business;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appropriate any Business Opportunity of, or relating to, the Company located in the Market Area;</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solicit, canvass, approach, encourage, entice or induce any customer or supplier of the Company with whom or which Executive had contact on behalf of the Company or about whom or which Executive obtained Confidential Information in the final twenty-four (24) months of his employment with the Company to cease or lessen such customer’s or supplier’s business with the Company; or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solicit, canvass, approach, encourage, entice or induce any employee or contractor of the Company to terminate his, her or its employment or engagement with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For the avoidance of doubt, Section 10(b)(i)(B) above shall not prevent Executive, following the Termination Date, from being employed or engaged by a diversified entity that engages in the Business, so long as: (x) such entity’s revenues associated with that part of its business that relate to the Business are less than ten (10%) of such entity’s revenues; and (y) Executive’s direct and indirect responsibilities do not relate to the Business.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Because of the difficulty of measuring economic losses to the Company as a result of a breach or threatened breach of the covenants set forth in Section 9 and in this Section 10, and because of the immediate and irreparable damage that may be caused to the Company for which they would have no other adequate remedy, the Company shall be entitled to seek to enforce the foregoing covenants, in the event of a breach or threatened breach, by injunctions and restraining orders from any court of competent jurisdiction, without the necessity of showing any actual damages or that money damages would not afford an adequate remedy, and without the necessity of posting any bond or other security. The aforementioned equitable relief shall not be the Company’s exclusive remedy for a breach but instead shall be in addition to all other rights and remedies available to the Company at law and equity.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covenants in this Section 10, and each provision and portion hereof, are severable and separate, and the unenforceability of any specific covenant (or portion thereof) shall not affect the provisions of any other covenant (or portion thereof). Moreover, in the event any arbitrator or court of competent jurisdiction shall determine that the scope, time or territorial restrictions set forth are unreasonable, then it is the intention of the parties that such restrictions be enforced to the fullest extent which such arbitrator or court deems reasonable, and this Agreement shall thereby be reformed.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following terms shall have the following meanings: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Business</w:t>
      </w:r>
      <w:r>
        <w:rPr>
          <w:rFonts w:ascii="Times New Roman;Times;Serif" w:hAnsi="Times New Roman;Times;Serif"/>
          <w:b w:val="false"/>
          <w:i w:val="false"/>
          <w:caps w:val="false"/>
          <w:smallCaps w:val="false"/>
          <w:sz w:val="20"/>
        </w:rPr>
        <w:t>” shall mean the business and operations that are the same or similar to those performed by the Company for which Executive provides services or about which Executive obtains Confidential Information during the Employment Period, including, but not limited to, the business of developing, marketing, distributing, delivering, providing, or selling: (x) public safety technology and services, including, but not limited to, virtual reality training platforms; (y) modern policing solutions for law enforcement and security personnel; and (z) remote restraint tools that focus on de-escalating law enforcement encounters.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i w:val="false"/>
          <w:caps w:val="false"/>
          <w:smallCaps w:val="false"/>
          <w:sz w:val="20"/>
        </w:rPr>
        <w:t>Business Opportunity</w:t>
      </w:r>
      <w:r>
        <w:rPr>
          <w:rFonts w:ascii="Times New Roman;Times;Serif" w:hAnsi="Times New Roman;Times;Serif"/>
          <w:b w:val="false"/>
          <w:i w:val="false"/>
          <w:caps w:val="false"/>
          <w:smallCaps w:val="false"/>
          <w:sz w:val="20"/>
        </w:rPr>
        <w:t>” shall mean any commercial, investment or other business opportunity relating to the Business.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i w:val="false"/>
          <w:caps w:val="false"/>
          <w:smallCaps w:val="false"/>
          <w:sz w:val="20"/>
        </w:rPr>
        <w:t>Market Area</w:t>
      </w:r>
      <w:r>
        <w:rPr>
          <w:rFonts w:ascii="Times New Roman;Times;Serif" w:hAnsi="Times New Roman;Times;Serif"/>
          <w:b w:val="false"/>
          <w:i w:val="false"/>
          <w:caps w:val="false"/>
          <w:smallCaps w:val="false"/>
          <w:sz w:val="20"/>
        </w:rPr>
        <w:t>” shall mean the United States.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i w:val="false"/>
          <w:caps w:val="false"/>
          <w:smallCaps w:val="false"/>
          <w:sz w:val="20"/>
        </w:rPr>
        <w:t>Prohibited Period</w:t>
      </w:r>
      <w:r>
        <w:rPr>
          <w:rFonts w:ascii="Times New Roman;Times;Serif" w:hAnsi="Times New Roman;Times;Serif"/>
          <w:b w:val="false"/>
          <w:i w:val="false"/>
          <w:caps w:val="false"/>
          <w:smallCaps w:val="false"/>
          <w:sz w:val="20"/>
        </w:rPr>
        <w:t>” shall mean the period during which Executive is employed by the Company and continuing for a period of twelve (12) months following the date that Executive is no longer employed by the Company.</w:t>
      </w:r>
    </w:p>
    <w:p>
      <w:pPr>
        <w:pStyle w:val="TextBody"/>
        <w:bidi w:val="0"/>
        <w:spacing w:before="0" w:after="0"/>
        <w:ind w:left="72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150" w:type="dxa"/>
        <w:jc w:val="left"/>
        <w:tblInd w:w="0" w:type="dxa"/>
        <w:tblLayout w:type="fixed"/>
        <w:tblCellMar>
          <w:top w:w="0" w:type="dxa"/>
          <w:left w:w="0" w:type="dxa"/>
          <w:bottom w:w="0" w:type="dxa"/>
          <w:right w:w="0" w:type="dxa"/>
        </w:tblCellMar>
      </w:tblPr>
      <w:tblGrid>
        <w:gridCol w:w="75"/>
        <w:gridCol w:w="75"/>
      </w:tblGrid>
      <w:tr>
        <w:trPr/>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i w:val="false"/>
          <w:caps w:val="false"/>
          <w:smallCaps w:val="false"/>
          <w:sz w:val="20"/>
        </w:rPr>
        <w:t>Ownership of Intellectual Property</w:t>
      </w:r>
      <w:r>
        <w:rPr>
          <w:rFonts w:ascii="Times New Roman;Times;Serif" w:hAnsi="Times New Roman;Times;Serif"/>
          <w:b/>
          <w:i/>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Executive agrees that the Company shall own, and Executive hereby assigns, all right, title and interest (including patent rights, copyrights, trade secret rights, mask work rights, trademark rights, and all other intellectual and industrial property rights of any sort throughout the world) relating to any and all inventions (whether or not patentable), discoveries, developments, improvements, innovations, works of authorship, mask works, designs, know-how, ideas, formulae, processes, techniques, data and information authored, created, contributed to, made or conceived or reduced to practice, in whole or in part, by Executive during the period in which Executive is or has been employed by or affiliated with the Company, whether or not registerable under U.S. law or the laws of other jurisdictions, that either (a) relate, at the time of conception, reduction to practice, creation, derivation or development, to the Company’s businesses or actual or anticipated research or development, or (b) were developed on any amount of the Company’s time or with the use of the Company’s equipment, supplies, facilities or Confidential Information (all of the foregoing collectively referred to herein as “</w:t>
      </w:r>
      <w:r>
        <w:rPr>
          <w:rFonts w:ascii="Times New Roman;Times;Serif" w:hAnsi="Times New Roman;Times;Serif"/>
          <w:b/>
          <w:i w:val="false"/>
          <w:caps w:val="false"/>
          <w:smallCaps w:val="false"/>
          <w:sz w:val="20"/>
        </w:rPr>
        <w:t>Company Intellectual Property</w:t>
      </w:r>
      <w:r>
        <w:rPr>
          <w:rFonts w:ascii="Times New Roman;Times;Serif" w:hAnsi="Times New Roman;Times;Serif"/>
          <w:b w:val="false"/>
          <w:i w:val="false"/>
          <w:caps w:val="false"/>
          <w:smallCaps w:val="false"/>
          <w:sz w:val="20"/>
        </w:rPr>
        <w:t>”), and Executive shall promptly disclose all Company Intellectual Property to the Company in writing. To support Executive’s disclosure obligation herein, Executive shall keep and maintain adequate and current written records of all Company Intellectual Property made by Executive (solely or jointly with others) during the period in which Executive is or has been employed by or affiliated with the Company in such form as may be specified from time to time by the Company. These records shall be available to, and remain the sole property of, the Company at all times.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of Executive’s works of authorship and associated copyrights created during the period in which Executive is employed by or affiliated with the Company and in the scope of Executive’s employment or engagement shall be deemed to be “works made for hire” within the meaning of the Copyright Act of 1976. To the extent any right, title and interest in and to Company Intellectual Property cannot be assigned by Executive to the Company, Executive shall grant, and does hereby grant, to the Company an exclusive, perpetual, royalty-free, transferable, irrevocable, worldwide license (with rights to sublicense through multiple tiers of sublicensees) to make, have made, use, sell, offer for sale, import, export, reproduce, practice and otherwise commercialize such rights, title and interest.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Executive recognizes that this Agreement will not be deemed to require assignment of any invention or intellectual property that Executive developed entirely on Executive’s own time without using the equipment, supplies, facilities, trade secrets, or Confidential Information of the Company. In addition, this Agreement does not apply to any invention that qualifies fully for protection from assignment to the Company under any specifically applicable state law or regulation.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the extent allowed by law, this Section applies to all rights that may be known as or referred to as “moral rights,” “artist’s rights,” “droit moral,” or the like, including without limitation those rights set forth in 17 U.S.C. §106A (collectively, “</w:t>
      </w:r>
      <w:r>
        <w:rPr>
          <w:rFonts w:ascii="Times New Roman;Times;Serif" w:hAnsi="Times New Roman;Times;Serif"/>
          <w:b/>
          <w:i w:val="false"/>
          <w:caps w:val="false"/>
          <w:smallCaps w:val="false"/>
          <w:sz w:val="20"/>
        </w:rPr>
        <w:t>Moral Rights</w:t>
      </w:r>
      <w:r>
        <w:rPr>
          <w:rFonts w:ascii="Times New Roman;Times;Serif" w:hAnsi="Times New Roman;Times;Serif"/>
          <w:b w:val="false"/>
          <w:i w:val="false"/>
          <w:caps w:val="false"/>
          <w:smallCaps w:val="false"/>
          <w:sz w:val="20"/>
        </w:rPr>
        <w:t>”). To the extent Executive retains any Moral Rights under applicable law, Executive hereby ratifies and consents to any action that may be taken with respect to such Moral Rights by or authorized by the Company, and Executive hereby waives and agrees not to assert any Moral Rights with respect to such Moral Rights. Executive shall confirm any such ratifications, consents, waivers, and agreements from time to time as requested by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inventions (whether or not patentable), original works of authorship, designs, know-how, mask works, ideas, trademarks or names, information, developments, improvements, and trade secrets of which Executive is the sole or joint author, creator, contributor, or inventor that were made or developed by Executive prior to Executive’s employment with or affiliation with the Company, or in which Executive asserts any intellectual property right, and which are applicable to or relate in any way to the business, products, services, or demonstrably anticipated research and development or business of the Company (“</w:t>
      </w:r>
      <w:r>
        <w:rPr>
          <w:rFonts w:ascii="Times New Roman;Times;Serif" w:hAnsi="Times New Roman;Times;Serif"/>
          <w:b/>
          <w:i w:val="false"/>
          <w:caps w:val="false"/>
          <w:smallCaps w:val="false"/>
          <w:sz w:val="20"/>
        </w:rPr>
        <w:t>Prior Inventions</w:t>
      </w:r>
      <w:r>
        <w:rPr>
          <w:rFonts w:ascii="Times New Roman;Times;Serif" w:hAnsi="Times New Roman;Times;Serif"/>
          <w:b w:val="false"/>
          <w:i w:val="false"/>
          <w:caps w:val="false"/>
          <w:smallCaps w:val="false"/>
          <w:sz w:val="20"/>
        </w:rPr>
        <w:t xml:space="preserve">”) are listed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and Executive represents that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is a complete list of all such Prior Inventions. If no such list is attached, Executive hereby represents and warrants that there are no Prior Inventions, and Executive shall make no claim of any rights to any Prior Inventions. If, in the course of Executive’s employment with or affiliation with the Company, Executive uses in connection with or otherwise incorporates into the product, process, or device of the Company a Prior Invention, the Company is hereby granted and will have a nonexclusive, royalty-free, irrevocable, perpetual, worldwide license to make, have made, modify, use, import, export, offer for sale, sell and otherwise commercialize such Prior Invention as part of or in connection with (i) such product, process, or device of the Company and (ii) the conduct of the business of the Company.</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150" w:type="dxa"/>
        <w:jc w:val="left"/>
        <w:tblInd w:w="0" w:type="dxa"/>
        <w:tblLayout w:type="fixed"/>
        <w:tblCellMar>
          <w:top w:w="0" w:type="dxa"/>
          <w:left w:w="0" w:type="dxa"/>
          <w:bottom w:w="0" w:type="dxa"/>
          <w:right w:w="0" w:type="dxa"/>
        </w:tblCellMar>
      </w:tblPr>
      <w:tblGrid>
        <w:gridCol w:w="75"/>
        <w:gridCol w:w="75"/>
      </w:tblGrid>
      <w:tr>
        <w:trPr/>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Executive shall perform, during and after the period in which Executive is or has been employed by or affiliated with the Company, all acts deemed necessary or desirable by the Company to permit and assist the Company, at the Company’s expense, in obtaining and enforcing the full benefits, enjoyment, rights and title throughout the world in the Company Intellectual Property and Confidential Information assigned, to be assigned, or licensed to the Company under this Agreement. Such acts may include execution of documents and assistance or cooperation (i) in the filing, prosecution, registration, and memorialization of assignment of any applicable patents, copyrights, mask work, or other applications, (ii) in the enforcement of any applicable patents, copyrights, mask work, moral rights, trade secrets, or other proprietary rights, and (iii) in other legal proceedings related to the Company Intellectual Property or Confidential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In the event that the Company is unable for any reason to secure Executive’s signature to any document required to file, prosecute, register, or memorialize the assignment of any patent, copyright, mask work or other applications or to enforce any patent, copyright, mask work, moral right, trade secret or other proprietary right under any Confidential Information or Company Intellectual Property (including derivative works, improvements, renewals, extensions, continuations, divisionals, continuations in part, continuing patent applications, reissues, and reexaminations of such Company Intellectual Property), Executive hereby irrevocably designates and appoints the Company and each of the Company’s duly authorized officers and agents as Executive’s agents and attorneys-in-fact to act for and on Executive’s behalf and instead of Executive (i) to execute, file, prosecute, register and memorialize the assignment of any such application, (ii) to execute and file any documentation required for such enforcement, and (iii) to do all other lawfully permitted acts to further the filing, prosecution, registration, memorialization of assignment, issuance, and enforcement of patents, copyrights, mask works, moral rights, trade secrets or other rights under the Confidential Information or Company Intellectual Property, all with the same legal force and effect as if executed by Executive.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In the event that Executive enters into any contracts or agreements relating to any Confidential Information or Company Intellectual Property, Executive shall assign such contracts or agreements to the Company promptly, and in any event, prior to Executive’s termination. If the Company is unable for any reason to secure Executive’s signature to any document required to assign said contracts or agreements, or if Executive does not assign said contracts or agreements to the Company prior to Executive’s termination, Executive hereby irrevocably designates and appoints the Company and each of the Company’s duly authorized officers and agents as Executive’s agents and attorneys-in-fact to act for and on Executive’s behalf and instead of Executive to execute said assignments and to do all other lawfully permitted acts to further the execution of said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i w:val="false"/>
          <w:caps w:val="false"/>
          <w:smallCaps w:val="false"/>
          <w:sz w:val="20"/>
        </w:rPr>
        <w:t>Arbitration</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Section 12(b), any dispute, controversy or claim between Executive and the Company arising out of or relating to this Agreement or Executive’s employment or engagement with the Company (“</w:t>
      </w:r>
      <w:r>
        <w:rPr>
          <w:rFonts w:ascii="Times New Roman;Times;Serif" w:hAnsi="Times New Roman;Times;Serif"/>
          <w:b/>
          <w:i w:val="false"/>
          <w:caps w:val="false"/>
          <w:smallCaps w:val="false"/>
          <w:sz w:val="20"/>
        </w:rPr>
        <w:t>Disputes</w:t>
      </w:r>
      <w:r>
        <w:rPr>
          <w:rFonts w:ascii="Times New Roman;Times;Serif" w:hAnsi="Times New Roman;Times;Serif"/>
          <w:b w:val="false"/>
          <w:i w:val="false"/>
          <w:caps w:val="false"/>
          <w:smallCaps w:val="false"/>
          <w:sz w:val="20"/>
        </w:rPr>
        <w:t>”) will be finally settled by arbitration in Wilmington, Delaware in accordance with the then-existing American Arbitration Association (“</w:t>
      </w:r>
      <w:r>
        <w:rPr>
          <w:rFonts w:ascii="Times New Roman;Times;Serif" w:hAnsi="Times New Roman;Times;Serif"/>
          <w:b/>
          <w:i w:val="false"/>
          <w:caps w:val="false"/>
          <w:smallCaps w:val="false"/>
          <w:sz w:val="20"/>
        </w:rPr>
        <w:t>AAA</w:t>
      </w:r>
      <w:r>
        <w:rPr>
          <w:rFonts w:ascii="Times New Roman;Times;Serif" w:hAnsi="Times New Roman;Times;Serif"/>
          <w:b w:val="false"/>
          <w:i w:val="false"/>
          <w:caps w:val="false"/>
          <w:smallCaps w:val="false"/>
          <w:sz w:val="20"/>
        </w:rPr>
        <w:t>”) Rules. The arbitration award shall be final and binding on both parties. Any arbitration conducted under this Section 12 shall be private and shall be heard by a single arbitrator (the “</w:t>
      </w:r>
      <w:r>
        <w:rPr>
          <w:rFonts w:ascii="Times New Roman;Times;Serif" w:hAnsi="Times New Roman;Times;Serif"/>
          <w:b/>
          <w:i w:val="false"/>
          <w:caps w:val="false"/>
          <w:smallCaps w:val="false"/>
          <w:sz w:val="20"/>
        </w:rPr>
        <w:t>Arbitrator</w:t>
      </w:r>
      <w:r>
        <w:rPr>
          <w:rFonts w:ascii="Times New Roman;Times;Serif" w:hAnsi="Times New Roman;Times;Serif"/>
          <w:b w:val="false"/>
          <w:i w:val="false"/>
          <w:caps w:val="false"/>
          <w:smallCaps w:val="false"/>
          <w:sz w:val="20"/>
        </w:rPr>
        <w:t>”) selected in accordance with the then-applicable rules of the AAA. The Arbitrator shall expeditiously hear and decide all matters concerning the Dispute. Except as expressly provided to the contrary in this Agreement, the Arbitrator shall have the power to (i) gather such materials, information, testimony and evidence as the Arbitrator deems relevant to the Dispute before him or her (and each party will provide such materials, information, testimony and evidence requested by the Arbitrator), and (ii) grant injunctive relief and enforce specific performance. All Disputes shall be arbitrated on an individual basis, and each party hereto hereby foregoes and waives any right to arbitrate any Dispute as a class action or collective action or on a consolidated basis or in a representative capacity on behalf of other persons or entities who are claimed to be similarly situated, or to participate as a class member in such a proceeding. The arbitration shall be private and kept confidential by the parties and participants. The decision of the Arbitrator shall be reasoned, rendered in writing, be final and binding upon the disputing parties and the parties agree that judgment upon the award may be entered by any court of competent jurisdiction. The party whom the Arbitrator determines is the prevailing party in such arbitration (which shall be the party receiving substantially the relief sought) shall receive, in addition to any other award pursuant to such arbitration or associated judgment, reimbursement from the other party of all reasonable legal fees and costs associated with such arbitration and associated judgment.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Section 12(a), either party may make a timely application for, and obtain, judicial emergency or temporary injunctive relief to enforce any of the provisions of Sections 9 through 11;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remainder of any such Dispute (beyond the application for emergency or temporary injunctive relief) shall be subject to arbitration under this Section 12. By entering into this Agreement and entering into the arbitration provisions of this Section 12, THE PARTIES EXPRESSLY ACKNOWLEDGE AND AGREE THAT THEY ARE KNOWINGLY, VOLUNTARILY AND INTENTIONALLY WAIVING THEIR RIGHTS TO A JURY TRIAL.</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150" w:type="dxa"/>
        <w:jc w:val="left"/>
        <w:tblInd w:w="0" w:type="dxa"/>
        <w:tblLayout w:type="fixed"/>
        <w:tblCellMar>
          <w:top w:w="0" w:type="dxa"/>
          <w:left w:w="0" w:type="dxa"/>
          <w:bottom w:w="0" w:type="dxa"/>
          <w:right w:w="0" w:type="dxa"/>
        </w:tblCellMar>
      </w:tblPr>
      <w:tblGrid>
        <w:gridCol w:w="75"/>
        <w:gridCol w:w="75"/>
      </w:tblGrid>
      <w:tr>
        <w:trPr/>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Nothing in this Section 12 shall prohibit a party to this Agreement from (i) instituting litigation to enforce any arbitration award, or (ii) joining the other party to this Agreement in a litigation initiated by a person or entity that is not a party to this Agreement. Further, nothing in this Section 12 precludes Executive from filing a charge or complaint with a federal, state or other governmental administrative agency.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Further notwithstanding the foregoing, to the extent that any dispute between Executive and the Company arises out of or relates to any of the equity award or other equity agreements referenced in Section 3(c) above, such dispute shall be subject to the dispute resolution process set forth in the applicable award or other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i w:val="false"/>
          <w:caps w:val="false"/>
          <w:smallCaps w:val="false"/>
          <w:sz w:val="20"/>
        </w:rPr>
        <w:t>Defense of Claims</w:t>
      </w:r>
      <w:r>
        <w:rPr>
          <w:rFonts w:ascii="Times New Roman;Times;Serif" w:hAnsi="Times New Roman;Times;Serif"/>
          <w:b w:val="false"/>
          <w:i w:val="false"/>
          <w:caps w:val="false"/>
          <w:smallCaps w:val="false"/>
          <w:sz w:val="20"/>
        </w:rPr>
        <w:t>. During the Employment Period and thereafter, upon request from the Company, Executive shall cooperate with the Company in the defense of any claims or actions that may be made by or against the Company that relate to Executive’s actual or prior areas of responsibility. In requesting any such cooperation following the end of the Employment Period, the Company shall take into account Executive’s professional and personal commitments. With respect to any such cooperation that follows the Employment Period, the Company shall provide reimbursement for those reasonable costs actually incurred by Executive in order to provide such cooperation, so long as such costs are approved by the Company in writing prior to being incurred.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i w:val="false"/>
          <w:caps w:val="false"/>
          <w:smallCaps w:val="false"/>
          <w:sz w:val="20"/>
        </w:rPr>
        <w:t>Withholdings; Deductions</w:t>
      </w:r>
      <w:r>
        <w:rPr>
          <w:rFonts w:ascii="Times New Roman;Times;Serif" w:hAnsi="Times New Roman;Times;Serif"/>
          <w:b w:val="false"/>
          <w:i w:val="false"/>
          <w:caps w:val="false"/>
          <w:smallCaps w:val="false"/>
          <w:sz w:val="20"/>
        </w:rPr>
        <w:t>. The Company may withhold and deduct from any benefits and payments made or to be made pursuant to this Agreement (a) all federal, state, local and other taxes as may be required pursuant to any law or governmental regulation or ruling and (b) any deductions consented to in writing by Executive.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i w:val="false"/>
          <w:caps w:val="false"/>
          <w:smallCaps w:val="false"/>
          <w:sz w:val="20"/>
        </w:rPr>
        <w:t>Title and Headings; Construction</w:t>
      </w:r>
      <w:r>
        <w:rPr>
          <w:rFonts w:ascii="Times New Roman;Times;Serif" w:hAnsi="Times New Roman;Times;Serif"/>
          <w:b w:val="false"/>
          <w:i w:val="false"/>
          <w:caps w:val="false"/>
          <w:smallCaps w:val="false"/>
          <w:sz w:val="20"/>
        </w:rPr>
        <w:t>. Titles and headings to Sections hereof are for the purpose of reference only and shall in no way limit, define or otherwise affect the provisions hereof. Any and all Exhibits referred to in this Agreement are, by such reference, incorporated herein and made a part hereof for all purposes. Unless the context requires otherwise, all references to laws, regulations, contracts, documents, agreements and instruments refer to such laws, regulations, contracts, documents, agreements and instruments as they may be amended, restated or otherwise modified from time to time, and references to particular provisions of laws or regulations include a reference to the corresponding provisions of any succeeding law or regulation. All references to “dollars” or “$” in this Agreement refer to United States dollars. The words “herein”, “hereof”, “hereunder” and other compounds of the word “here” shall refer to the entire Agreement, including all Exhibits attached hereto, and not to any particular provision hereof. Unless the context requires otherwise, the word “or” is not exclusive. Wherever the context so requires, the masculine gender includes the feminine or neuter, and the singular number includes the plural and conversely. All references to “including” shall be construed as meaning “including without limitation.” Neither this Agreement nor any uncertainty or ambiguity herein shall be construed or resolved against any party hereto, whether under any rule of construction or otherwise. On the contrary, this Agreement has been reviewed by each of the parties hereto and shall be construed and interpreted according to the ordinary meaning of the words used so as to fairly accomplish the purposes and intentions of the parties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i w:val="false"/>
          <w:caps w:val="false"/>
          <w:smallCaps w:val="false"/>
          <w:sz w:val="20"/>
        </w:rPr>
        <w:t>Applicable Law; Submission to Jurisdiction</w:t>
      </w:r>
      <w:r>
        <w:rPr>
          <w:rFonts w:ascii="Times New Roman;Times;Serif" w:hAnsi="Times New Roman;Times;Serif"/>
          <w:b w:val="false"/>
          <w:i w:val="false"/>
          <w:caps w:val="false"/>
          <w:smallCaps w:val="false"/>
          <w:sz w:val="20"/>
        </w:rPr>
        <w:t>. This Agreement shall in all respects be construed according to the laws of the State of Delaware without regard to its conflict of laws principles that would result in the application of the laws of another jurisdiction. With respect to any claim or dispute related to or arising under this Agreement, the parties hereby consent to the arbitration provisions of Section 12 and recognize and agree that should any resort to a court be necessary and permitted under this Agreement, then they consent to the exclusive jurisdiction, forum and venue of the state and federal courts (as applicable) located in New Castle County, Delaware.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i w:val="false"/>
          <w:caps w:val="false"/>
          <w:smallCaps w:val="false"/>
          <w:sz w:val="20"/>
        </w:rPr>
        <w:t>Entire Agreement and Amendment</w:t>
      </w:r>
      <w:r>
        <w:rPr>
          <w:rFonts w:ascii="Times New Roman;Times;Serif" w:hAnsi="Times New Roman;Times;Serif"/>
          <w:b w:val="false"/>
          <w:i w:val="false"/>
          <w:caps w:val="false"/>
          <w:smallCaps w:val="false"/>
          <w:sz w:val="20"/>
        </w:rPr>
        <w:t>. This Agreement contains the entire agreement of the parties with respect to the matters covered herein and supersede all prior and contemporaneous agreements and understandings (including any offer letter or similar agreement), oral or written, between the parties hereto concerning the subject matter hereof. Notwithstanding the foregoing, this Agreement complements and is in addition to (and does not replace or supersede) any obligation that Executive has to the Company with respect to confidentiality, non-disclosure, non-competition or non-solicitation, including all obligations arising from Executive’s status or service as a member of the Board, regardless of whether such obligations arise by contract, statute, common law, or otherwise. This Agreement may be amended only by a written instrument executed by both parties hereto.</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150" w:type="dxa"/>
        <w:jc w:val="left"/>
        <w:tblInd w:w="0" w:type="dxa"/>
        <w:tblLayout w:type="fixed"/>
        <w:tblCellMar>
          <w:top w:w="0" w:type="dxa"/>
          <w:left w:w="0" w:type="dxa"/>
          <w:bottom w:w="0" w:type="dxa"/>
          <w:right w:w="0" w:type="dxa"/>
        </w:tblCellMar>
      </w:tblPr>
      <w:tblGrid>
        <w:gridCol w:w="75"/>
        <w:gridCol w:w="75"/>
      </w:tblGrid>
      <w:tr>
        <w:trPr/>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i w:val="false"/>
          <w:caps w:val="false"/>
          <w:smallCaps w:val="false"/>
          <w:sz w:val="20"/>
        </w:rPr>
        <w:t>Waiver of Breach</w:t>
      </w:r>
      <w:r>
        <w:rPr>
          <w:rFonts w:ascii="Times New Roman;Times;Serif" w:hAnsi="Times New Roman;Times;Serif"/>
          <w:b w:val="false"/>
          <w:i w:val="false"/>
          <w:caps w:val="false"/>
          <w:smallCaps w:val="false"/>
          <w:sz w:val="20"/>
        </w:rPr>
        <w:t>. Any waiver of this Agreement must be executed by the party to be bound by such waiver. No waiver by either party hereto of a breach of any provision of this Agreement by the other party, or of compliance with any condition or provision of this Agreement to be performed by such other party, will operate or be construed as a waiver of any subsequent breach by such other party or any similar or dissimilar provision or condition at the same or any subsequent time. The failure of either party hereto to take any action by reason of any breach will not deprive such party of the right to take action at any time.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 </w:t>
      </w:r>
      <w:r>
        <w:rPr>
          <w:rFonts w:ascii="Times New Roman;Times;Serif" w:hAnsi="Times New Roman;Times;Serif"/>
          <w:b/>
          <w:i w:val="false"/>
          <w:caps w:val="false"/>
          <w:smallCaps w:val="false"/>
          <w:sz w:val="20"/>
        </w:rPr>
        <w:t>Assignment</w:t>
      </w:r>
      <w:r>
        <w:rPr>
          <w:rFonts w:ascii="Times New Roman;Times;Serif" w:hAnsi="Times New Roman;Times;Serif"/>
          <w:b w:val="false"/>
          <w:i w:val="false"/>
          <w:caps w:val="false"/>
          <w:smallCaps w:val="false"/>
          <w:sz w:val="20"/>
        </w:rPr>
        <w:t>. This Agreement is personal to Executive, and neither this Agreement nor any rights or obligations hereunder shall be assignable or otherwise transferred by Executive other than to Executive’s estate in the event of his death. The Company may assign this Agreement without Executive’s consent, and to any successor to or acquirer of (whether by merger, purchase or otherwise) all or substantially all of the equity, assets or businesses of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 </w:t>
      </w:r>
      <w:r>
        <w:rPr>
          <w:rFonts w:ascii="Times New Roman;Times;Serif" w:hAnsi="Times New Roman;Times;Serif"/>
          <w:b/>
          <w:i w:val="false"/>
          <w:caps w:val="false"/>
          <w:smallCaps w:val="false"/>
          <w:sz w:val="20"/>
        </w:rPr>
        <w:t>Notices</w:t>
      </w:r>
      <w:r>
        <w:rPr>
          <w:rFonts w:ascii="Times New Roman;Times;Serif" w:hAnsi="Times New Roman;Times;Serif"/>
          <w:b w:val="false"/>
          <w:i w:val="false"/>
          <w:caps w:val="false"/>
          <w:smallCaps w:val="false"/>
          <w:sz w:val="20"/>
        </w:rPr>
        <w:t>. Notices provided for in this Agreement shall be in writing and shall be deemed to have been duly received (a) when delivered in person, (b) on the first Business Day after such notice is sent by express overnight courier service, or (c) on the second Business Day following deposit with an internationally-recognized second-day courier service with proof of receipt maintained, in each case, to the following address, as applicable: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to the Company, addressed to:</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Wrap Technologies, Inc.</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1817 West 4th Street</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Tempe, AZ 85281</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Board of Directors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to Executive, to the address on record with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i w:val="false"/>
          <w:caps w:val="false"/>
          <w:smallCaps w:val="false"/>
          <w:sz w:val="20"/>
        </w:rPr>
        <w:t>Counterparts</w:t>
      </w:r>
      <w:r>
        <w:rPr>
          <w:rFonts w:ascii="Times New Roman;Times;Serif" w:hAnsi="Times New Roman;Times;Serif"/>
          <w:b w:val="false"/>
          <w:i w:val="false"/>
          <w:caps w:val="false"/>
          <w:smallCaps w:val="false"/>
          <w:sz w:val="20"/>
        </w:rPr>
        <w:t>. This Agreement may be executed in any number of counterparts, including by electronic mail or facsimile, each of which when so executed and delivered shall be an original, but all such counterparts shall together constitute one and the same instrument. Each counterpart may consist of a copy hereof containing multiple signature pages, each signed by one party, but together signed by both parties hereto.</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i w:val="false"/>
          <w:caps w:val="false"/>
          <w:smallCaps w:val="false"/>
          <w:sz w:val="20"/>
        </w:rPr>
        <w:t>Deemed Resignations</w:t>
      </w:r>
      <w:r>
        <w:rPr>
          <w:rFonts w:ascii="Times New Roman;Times;Serif" w:hAnsi="Times New Roman;Times;Serif"/>
          <w:b w:val="false"/>
          <w:i w:val="false"/>
          <w:caps w:val="false"/>
          <w:smallCaps w:val="false"/>
          <w:sz w:val="20"/>
        </w:rPr>
        <w:t>. Except as otherwise determined by the Board or as otherwise agreed to in writing by Executive and the Company prior to the termination of Executive’s employment with the Company, any termination of Executive’s employment shall constitute, as applicable, an automatic resignation of Executive: (a) as an officer of the Company; and (b) from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i w:val="false"/>
          <w:caps w:val="false"/>
          <w:smallCaps w:val="false"/>
          <w:sz w:val="20"/>
        </w:rPr>
        <w:t>Section 409A.</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any provision of this Agreement to the contrary, all provisions of this Agreement are intended to comply with Section 409A of the Code, and the applicable Treasury regulations and administrative guidance issued thereunder (collectively, “</w:t>
      </w:r>
      <w:r>
        <w:rPr>
          <w:rFonts w:ascii="Times New Roman;Times;Serif" w:hAnsi="Times New Roman;Times;Serif"/>
          <w:b/>
          <w:i w:val="false"/>
          <w:caps w:val="false"/>
          <w:smallCaps w:val="false"/>
          <w:sz w:val="20"/>
        </w:rPr>
        <w:t>Section 409A</w:t>
      </w:r>
      <w:r>
        <w:rPr>
          <w:rFonts w:ascii="Times New Roman;Times;Serif" w:hAnsi="Times New Roman;Times;Serif"/>
          <w:b w:val="false"/>
          <w:i w:val="false"/>
          <w:caps w:val="false"/>
          <w:smallCaps w:val="false"/>
          <w:sz w:val="20"/>
        </w:rPr>
        <w:t>”) or an exemption therefrom and shall be construed and administered in accordance with such intent. Any payments under this Agreement that may be excluded from Section 409A either as separation pay due to an involuntary separation from service or as a short-term deferral shall be excluded from Section 409A to the maximum extent possible. For purposes of Section 409A, each installment payment provided under this Agreement shall be treated as a separate payment. Any payments to be made under this Agreement upon a termination of Executive’s employment shall only be made if such termination of employment constitutes a “separation from service” under Section 409A.</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To the extent that any right to reimbursement of expenses or payment of any benefit in-kind under this Agreement constitutes nonqualified deferred compensation (within the meaning of Section 409A), (i) any such expense reimbursement shall be made by the Company no later than the last day of Executive’s taxable year following the taxable year in which such expense was incurred by Executive, (ii) the right to reimbursement or in-kind benefits shall not be subject to liquidation or exchange for another benefit, and (iii) the amount of expenses eligible for reimbursement or in-kind benefits provided during any taxable year shall not affect the expenses eligible for reimbursement or in-kind benefits to be provided in any other taxable year;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the foregoing clause shall not be violated with regard to expenses reimbursed under any arrangement covered by Section 105(b) of the Code solely because such expenses are subject to a limit related to the period in which the arrangement is in effect.</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150" w:type="dxa"/>
        <w:jc w:val="left"/>
        <w:tblInd w:w="0" w:type="dxa"/>
        <w:tblLayout w:type="fixed"/>
        <w:tblCellMar>
          <w:top w:w="0" w:type="dxa"/>
          <w:left w:w="0" w:type="dxa"/>
          <w:bottom w:w="0" w:type="dxa"/>
          <w:right w:w="0" w:type="dxa"/>
        </w:tblCellMar>
      </w:tblPr>
      <w:tblGrid>
        <w:gridCol w:w="75"/>
        <w:gridCol w:w="75"/>
      </w:tblGrid>
      <w:tr>
        <w:trPr/>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 provision in this Agreement to the contrary, if any payment or benefit provided for herein would be subject to additional taxes and interest under Section 409A if Executive’s receipt of such payment or benefit is not delayed until the earlier of the date of Executive’s death or the date that is six (6) months after the Termination Date (such date, the “</w:t>
      </w:r>
      <w:r>
        <w:rPr>
          <w:rFonts w:ascii="Times New Roman;Times;Serif" w:hAnsi="Times New Roman;Times;Serif"/>
          <w:b/>
          <w:i w:val="false"/>
          <w:caps w:val="false"/>
          <w:smallCaps w:val="false"/>
          <w:sz w:val="20"/>
        </w:rPr>
        <w:t>Section 409A Payment Date</w:t>
      </w:r>
      <w:r>
        <w:rPr>
          <w:rFonts w:ascii="Times New Roman;Times;Serif" w:hAnsi="Times New Roman;Times;Serif"/>
          <w:b w:val="false"/>
          <w:i w:val="false"/>
          <w:caps w:val="false"/>
          <w:smallCaps w:val="false"/>
          <w:sz w:val="20"/>
        </w:rPr>
        <w:t>”), then such payment or benefit shall not be provided to Executive (or Executive’s estate, if applicable) until the Section 409A Payment Date. Notwithstanding the foregoing, the Company makes no representations that the payments and benefits provided under this Agreement are exempt from, or compliant with, Section 409A and in no event shall the Company be liable for all or any portion of any taxes, penalties, interest or other expenses that may be incurred by Executive on account of non-compliance with Section 409A.</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i w:val="false"/>
          <w:caps w:val="false"/>
          <w:smallCaps w:val="false"/>
          <w:sz w:val="20"/>
        </w:rPr>
        <w:t>Certain Excise Taxes</w:t>
      </w:r>
      <w:r>
        <w:rPr>
          <w:rFonts w:ascii="Times New Roman;Times;Serif" w:hAnsi="Times New Roman;Times;Serif"/>
          <w:b w:val="false"/>
          <w:i w:val="false"/>
          <w:caps w:val="false"/>
          <w:smallCaps w:val="false"/>
          <w:sz w:val="20"/>
        </w:rPr>
        <w:t>. Notwithstanding anything to the contrary in this Agreement, if Executive is a “disqualified individual” (as defined in Section 280G(c) of the Code), and the payments and benefits provided for in this Agreement, together with any other payments and benefits which Executive has the right to receive from the Company or any of its affiliates, would constitute a “parachute payment” (as defined in Section 280G(b)(2) of the Code), then the payments and benefits provided for in this Agreement shall be either (a) reduced (but not below zero) so that the present value of such total amounts and benefits received by Executive from the Company or any of its affiliates shall be one dollar ($1.00) less than three times Executive’s “base amount” (as defined in Section 280G(b)(3) of the Code) and so that no portion of such amounts and benefits received by Executive shall be subject to the excise tax imposed by Section 4999 of the Code or (b) paid in full, whichever produces the better net after-tax position to Executive (taking into account any applicable excise tax under Section 4999 of the Code and any other applicable taxes). The reduction of payments and benefits hereunder, if applicable, shall be made by reducing, first, payments or benefits to be paid in cash hereunder in the order in which such payment or benefit would be paid or provided (beginning with such payment or benefit that would be made last in time and continuing, to the extent necessary, through to such payment or benefit that would be made first in time) and, then, reducing any benefit to be provided in-kind hereunder in a similar order. The determination as to whether any such reduction in the amount of the payments and benefits provided hereunder is necessary (or whether Executive would be subject to such excise tax) shall be made at the expense of the Company by a firm of independent accountants, a law firm, or other valuation specialist selected by the Board in good faith prior to the consummation of the applicable change in control transaction, and the applicable independent accountants, law firm, or other valuation specialist shall consider the value, if any, of Executive’s restrictive covenants (including the non-competition restrictions set forth herein) as part of its analysis as may be appropriate under Section 280G of the Code. If a reduced payment or benefit is made or provided and through error or otherwise that payment or benefit, when aggregated with other payments and benefits from the Company or any of its affiliates used in determining if a “parachute payment” exists, exceeds one dollar ($1.00) less than three times Executive’s base amount, then Executive shall immediately repay such excess to the Company upon notification that an overpayment has been made. Nothing in this Section 24 shall require the Company to provide a gross-up payment to Executive with respect to Executive’s excise tax liabilities under Section 4999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 </w:t>
      </w:r>
      <w:r>
        <w:rPr>
          <w:rFonts w:ascii="Times New Roman;Times;Serif" w:hAnsi="Times New Roman;Times;Serif"/>
          <w:b/>
          <w:i w:val="false"/>
          <w:caps w:val="false"/>
          <w:smallCaps w:val="false"/>
          <w:sz w:val="20"/>
        </w:rPr>
        <w:t xml:space="preserve">Clawback. </w:t>
      </w:r>
      <w:r>
        <w:rPr>
          <w:rFonts w:ascii="Times New Roman;Times;Serif" w:hAnsi="Times New Roman;Times;Serif"/>
          <w:b w:val="false"/>
          <w:i w:val="false"/>
          <w:caps w:val="false"/>
          <w:smallCaps w:val="false"/>
          <w:sz w:val="20"/>
        </w:rPr>
        <w:t>To the extent required by company policy, applicable law, government regulation or any applicable securities exchange listing standards, amounts paid or payable under this Agreement or the Equity Plan shall be subject to the provisions of any applicable clawback policies or procedures adopted by the Company and applicable to executives of the Company generally, including pursuant to applicable law, government regulation or applicable securities exchange listing requirements, which clawback policies or procedures may provide for forfeiture and/or recoupment of amounts paid or payable under this Agreement or the Equity Plan in the event of material misstatements, financial restatements, other bad acts (or inaction), or other events or occurrences consistent with any proposed government regulation or proposed securities exchange listing requirement. The Company reserves the right, without the consent of Executive, to adopt any such clawback policies and procedures that are consistent with the preceding sentence, including such policies and procedures applicable to this Agreement and the Equity Plan with retroactive effect.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 </w:t>
      </w:r>
      <w:r>
        <w:rPr>
          <w:rFonts w:ascii="Times New Roman;Times;Serif" w:hAnsi="Times New Roman;Times;Serif"/>
          <w:b/>
          <w:i w:val="false"/>
          <w:caps w:val="false"/>
          <w:smallCaps w:val="false"/>
          <w:sz w:val="20"/>
        </w:rPr>
        <w:t>Effect of Termination</w:t>
      </w:r>
      <w:r>
        <w:rPr>
          <w:rFonts w:ascii="Times New Roman;Times;Serif" w:hAnsi="Times New Roman;Times;Serif"/>
          <w:b w:val="false"/>
          <w:i w:val="false"/>
          <w:caps w:val="false"/>
          <w:smallCaps w:val="false"/>
          <w:sz w:val="20"/>
        </w:rPr>
        <w:t>. The provisions of Sections 7, 9-14 and 22 and those provisions necessary to interpret and enforce them, shall survive any termination of this Agreement and any termination of the employment relationship between Executive and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27. </w:t>
      </w:r>
      <w:r>
        <w:rPr>
          <w:rFonts w:ascii="Times New Roman;Times;Serif" w:hAnsi="Times New Roman;Times;Serif"/>
          <w:b/>
          <w:i w:val="false"/>
          <w:caps w:val="false"/>
          <w:smallCaps w:val="false"/>
          <w:sz w:val="20"/>
        </w:rPr>
        <w:t>Third-Party Beneficiaries</w:t>
      </w:r>
      <w:r>
        <w:rPr>
          <w:rFonts w:ascii="Times New Roman;Times;Serif" w:hAnsi="Times New Roman;Times;Serif"/>
          <w:b w:val="false"/>
          <w:i w:val="false"/>
          <w:caps w:val="false"/>
          <w:smallCaps w:val="false"/>
          <w:sz w:val="20"/>
        </w:rPr>
        <w:t>. Each subsidiary that is not a signatory to this Agreement shall be a third-party beneficiary of Executive’s obligations under Sections 8, 9, 10, 11, 12 and 22 and shall be entitled to enforce such obligations as if a party hereto.</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28. </w:t>
      </w:r>
      <w:r>
        <w:rPr>
          <w:rFonts w:ascii="Times New Roman;Times;Serif" w:hAnsi="Times New Roman;Times;Serif"/>
          <w:b/>
          <w:i w:val="false"/>
          <w:caps w:val="false"/>
          <w:smallCaps w:val="false"/>
          <w:sz w:val="20"/>
        </w:rPr>
        <w:t>Severability</w:t>
      </w:r>
      <w:r>
        <w:rPr>
          <w:rFonts w:ascii="Times New Roman;Times;Serif" w:hAnsi="Times New Roman;Times;Serif"/>
          <w:b w:val="false"/>
          <w:i w:val="false"/>
          <w:caps w:val="false"/>
          <w:smallCaps w:val="false"/>
          <w:sz w:val="20"/>
        </w:rPr>
        <w:t>. If an arbitrator or court of competent jurisdiction determines that any provision of this Agreement (or portion thereof) is invalid or unenforceable, then the invalidity or unenforceability of that provision (or portion thereof) shall not affect the validity or enforceability of any other provision of this Agreement, and all other provisions shall remain in full force and effect.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the Page Left Intentionally Blank;</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150" w:type="dxa"/>
        <w:jc w:val="left"/>
        <w:tblInd w:w="0" w:type="dxa"/>
        <w:tblLayout w:type="fixed"/>
        <w:tblCellMar>
          <w:top w:w="0" w:type="dxa"/>
          <w:left w:w="0" w:type="dxa"/>
          <w:bottom w:w="0" w:type="dxa"/>
          <w:right w:w="0" w:type="dxa"/>
        </w:tblCellMar>
      </w:tblPr>
      <w:tblGrid>
        <w:gridCol w:w="75"/>
        <w:gridCol w:w="75"/>
      </w:tblGrid>
      <w:tr>
        <w:trPr/>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and the Company each have caused this Agreement to be executed and effective as of the A&amp;R Effective Date.</w:t>
      </w:r>
    </w:p>
    <w:p>
      <w:pPr>
        <w:pStyle w:val="TextBody"/>
        <w:bidi w:val="0"/>
        <w:spacing w:before="0" w:after="0"/>
        <w:jc w:val="left"/>
        <w:rPr>
          <w:caps w:val="false"/>
          <w:smallCaps w:val="false"/>
        </w:rPr>
      </w:pPr>
      <w:r>
        <w:rPr>
          <w:caps w:val="false"/>
          <w:smallCaps w:val="false"/>
        </w:rPr>
        <w:t> </w:t>
      </w:r>
    </w:p>
    <w:tbl>
      <w:tblPr>
        <w:tblW w:w="1415" w:type="dxa"/>
        <w:jc w:val="left"/>
        <w:tblInd w:w="0" w:type="dxa"/>
        <w:tblLayout w:type="fixed"/>
        <w:tblCellMar>
          <w:top w:w="0" w:type="dxa"/>
          <w:left w:w="0" w:type="dxa"/>
          <w:bottom w:w="0" w:type="dxa"/>
          <w:right w:w="0" w:type="dxa"/>
        </w:tblCellMar>
      </w:tblPr>
      <w:tblGrid>
        <w:gridCol w:w="75"/>
        <w:gridCol w:w="13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Jared Novick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Jared Novick</w:t>
            </w:r>
          </w:p>
        </w:tc>
      </w:tr>
    </w:tbl>
    <w:p>
      <w:pPr>
        <w:pStyle w:val="TextBody"/>
        <w:bidi w:val="0"/>
        <w:spacing w:before="0" w:after="0"/>
        <w:ind w:left="396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150" w:type="dxa"/>
        <w:jc w:val="left"/>
        <w:tblInd w:w="0" w:type="dxa"/>
        <w:tblLayout w:type="fixed"/>
        <w:tblCellMar>
          <w:top w:w="0" w:type="dxa"/>
          <w:left w:w="0" w:type="dxa"/>
          <w:bottom w:w="0" w:type="dxa"/>
          <w:right w:w="0" w:type="dxa"/>
        </w:tblCellMar>
      </w:tblPr>
      <w:tblGrid>
        <w:gridCol w:w="75"/>
        <w:gridCol w:w="75"/>
      </w:tblGrid>
      <w:tr>
        <w:trPr/>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and the Company each have caused this Agreement to be executed and effective as of the A&amp;R Effective Date.</w:t>
      </w:r>
    </w:p>
    <w:p>
      <w:pPr>
        <w:pStyle w:val="TextBody"/>
        <w:bidi w:val="0"/>
        <w:spacing w:before="0" w:after="0"/>
        <w:jc w:val="left"/>
        <w:rPr>
          <w:caps w:val="false"/>
          <w:smallCaps w:val="false"/>
        </w:rPr>
      </w:pPr>
      <w:r>
        <w:rPr>
          <w:caps w:val="false"/>
          <w:smallCaps w:val="false"/>
        </w:rPr>
        <w:t> </w:t>
      </w:r>
    </w:p>
    <w:tbl>
      <w:tblPr>
        <w:tblW w:w="4630" w:type="dxa"/>
        <w:jc w:val="left"/>
        <w:tblInd w:w="0" w:type="dxa"/>
        <w:tblLayout w:type="fixed"/>
        <w:tblCellMar>
          <w:top w:w="0" w:type="dxa"/>
          <w:left w:w="0" w:type="dxa"/>
          <w:bottom w:w="0" w:type="dxa"/>
          <w:right w:w="0" w:type="dxa"/>
        </w:tblCellMar>
      </w:tblPr>
      <w:tblGrid>
        <w:gridCol w:w="75"/>
        <w:gridCol w:w="545"/>
        <w:gridCol w:w="40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55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WRAP TECHNOLOGIES,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40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0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Scot Cohen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0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 Cohen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0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Chairman and Chief Executive Officer</w:t>
            </w:r>
          </w:p>
        </w:tc>
      </w:tr>
    </w:tbl>
    <w:p>
      <w:pPr>
        <w:pStyle w:val="TextBody"/>
        <w:bidi w:val="0"/>
        <w:spacing w:before="0" w:after="0"/>
        <w:ind w:left="396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150" w:type="dxa"/>
        <w:jc w:val="left"/>
        <w:tblInd w:w="0" w:type="dxa"/>
        <w:tblLayout w:type="fixed"/>
        <w:tblCellMar>
          <w:top w:w="0" w:type="dxa"/>
          <w:left w:w="0" w:type="dxa"/>
          <w:bottom w:w="0" w:type="dxa"/>
          <w:right w:w="0" w:type="dxa"/>
        </w:tblCellMar>
      </w:tblPr>
      <w:tblGrid>
        <w:gridCol w:w="75"/>
        <w:gridCol w:w="75"/>
      </w:tblGrid>
      <w:tr>
        <w:trPr/>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PRIOR INVENTIONS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following is a complete list of all Prior Inventions relevant to the subject matter of Executive’s employment by the Company that have been made or conceived or first reduced to practice by Executive alone or jointly with others prior to Executive’s employment with or affiliation with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appropriate space(s):</w:t>
      </w:r>
    </w:p>
    <w:p>
      <w:pPr>
        <w:pStyle w:val="TextBody"/>
        <w:bidi w:val="0"/>
        <w:spacing w:before="0" w:after="0"/>
        <w:jc w:val="both"/>
        <w:rPr>
          <w:caps w:val="false"/>
          <w:smallCaps w:val="false"/>
        </w:rPr>
      </w:pPr>
      <w:r>
        <w:rPr>
          <w:caps w:val="false"/>
          <w:smallCaps w:val="false"/>
        </w:rPr>
        <w:t> </w:t>
      </w:r>
    </w:p>
    <w:tbl>
      <w:tblPr>
        <w:tblW w:w="790" w:type="dxa"/>
        <w:jc w:val="left"/>
        <w:tblInd w:w="0" w:type="dxa"/>
        <w:tblLayout w:type="fixed"/>
        <w:tblCellMar>
          <w:top w:w="0" w:type="dxa"/>
          <w:left w:w="0" w:type="dxa"/>
          <w:bottom w:w="0" w:type="dxa"/>
          <w:right w:w="0" w:type="dxa"/>
        </w:tblCellMar>
      </w:tblPr>
      <w:tblGrid>
        <w:gridCol w:w="60"/>
        <w:gridCol w:w="230"/>
        <w:gridCol w:w="500"/>
      </w:tblGrid>
      <w:tr>
        <w:trPr/>
        <w:tc>
          <w:tcPr>
            <w:tcW w:w="60" w:type="dxa"/>
            <w:tcBorders/>
            <w:vAlign w:val="center"/>
          </w:tcPr>
          <w:p>
            <w:pPr>
              <w:pStyle w:val="TableContents"/>
              <w:bidi w:val="0"/>
              <w:spacing w:before="0" w:after="283"/>
              <w:ind w:left="0" w:right="0" w:hanging="200"/>
              <w:jc w:val="left"/>
              <w:rPr/>
            </w:pPr>
            <w:r>
              <w:rPr/>
              <w:t> </w:t>
            </w:r>
          </w:p>
        </w:tc>
        <w:tc>
          <w:tcPr>
            <w:tcW w:w="230" w:type="dxa"/>
            <w:tcBorders/>
            <w:vAlign w:val="center"/>
          </w:tcPr>
          <w:p>
            <w:pPr>
              <w:pStyle w:val="TableContents"/>
              <w:bidi w:val="0"/>
              <w:spacing w:before="0" w:after="283"/>
              <w:ind w:left="0" w:right="0" w:hanging="200"/>
              <w:jc w:val="both"/>
              <w:rPr/>
            </w:pPr>
            <w:r>
              <w:rPr/>
              <w:t>☐</w:t>
            </w:r>
          </w:p>
        </w:tc>
        <w:tc>
          <w:tcPr>
            <w:tcW w:w="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None.</w:t>
            </w:r>
          </w:p>
        </w:tc>
      </w:tr>
    </w:tbl>
    <w:p>
      <w:pPr>
        <w:pStyle w:val="TextBody"/>
        <w:bidi w:val="0"/>
        <w:spacing w:before="0" w:after="0"/>
        <w:jc w:val="both"/>
        <w:rPr>
          <w:caps w:val="false"/>
          <w:smallCaps w:val="false"/>
        </w:rPr>
      </w:pPr>
      <w:r>
        <w:rPr>
          <w:caps w:val="false"/>
          <w:smallCaps w:val="false"/>
        </w:rPr>
        <w:t> </w:t>
      </w:r>
    </w:p>
    <w:tbl>
      <w:tblPr>
        <w:tblW w:w="1360" w:type="dxa"/>
        <w:jc w:val="left"/>
        <w:tblInd w:w="0" w:type="dxa"/>
        <w:tblLayout w:type="fixed"/>
        <w:tblCellMar>
          <w:top w:w="0" w:type="dxa"/>
          <w:left w:w="0" w:type="dxa"/>
          <w:bottom w:w="0" w:type="dxa"/>
          <w:right w:w="0" w:type="dxa"/>
        </w:tblCellMar>
      </w:tblPr>
      <w:tblGrid>
        <w:gridCol w:w="60"/>
        <w:gridCol w:w="230"/>
        <w:gridCol w:w="1070"/>
      </w:tblGrid>
      <w:tr>
        <w:trPr/>
        <w:tc>
          <w:tcPr>
            <w:tcW w:w="60" w:type="dxa"/>
            <w:tcBorders/>
            <w:vAlign w:val="center"/>
          </w:tcPr>
          <w:p>
            <w:pPr>
              <w:pStyle w:val="TableContents"/>
              <w:bidi w:val="0"/>
              <w:spacing w:before="0" w:after="283"/>
              <w:ind w:left="0" w:right="0" w:hanging="200"/>
              <w:jc w:val="left"/>
              <w:rPr/>
            </w:pPr>
            <w:r>
              <w:rPr/>
              <w:t> </w:t>
            </w:r>
          </w:p>
        </w:tc>
        <w:tc>
          <w:tcPr>
            <w:tcW w:w="230" w:type="dxa"/>
            <w:tcBorders/>
            <w:vAlign w:val="center"/>
          </w:tcPr>
          <w:p>
            <w:pPr>
              <w:pStyle w:val="TableContents"/>
              <w:bidi w:val="0"/>
              <w:spacing w:before="0" w:after="283"/>
              <w:ind w:left="0" w:right="0" w:hanging="200"/>
              <w:jc w:val="both"/>
              <w:rPr/>
            </w:pPr>
            <w:r>
              <w:rPr/>
              <w:t>☐</w:t>
            </w:r>
          </w:p>
        </w:tc>
        <w:tc>
          <w:tcPr>
            <w:tcW w:w="10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See below:</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______________________________________________________________</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______________________________________________________________</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______________________________________________________________</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
        <w:gridCol w:w="230"/>
        <w:gridCol w:w="9931"/>
      </w:tblGrid>
      <w:tr>
        <w:trPr/>
        <w:tc>
          <w:tcPr>
            <w:tcW w:w="44" w:type="dxa"/>
            <w:tcBorders/>
            <w:vAlign w:val="center"/>
          </w:tcPr>
          <w:p>
            <w:pPr>
              <w:pStyle w:val="TableContents"/>
              <w:bidi w:val="0"/>
              <w:spacing w:before="0" w:after="283"/>
              <w:ind w:left="0" w:right="0" w:hanging="200"/>
              <w:jc w:val="left"/>
              <w:rPr/>
            </w:pPr>
            <w:r>
              <w:rPr/>
              <w:t> </w:t>
            </w:r>
          </w:p>
        </w:tc>
        <w:tc>
          <w:tcPr>
            <w:tcW w:w="230" w:type="dxa"/>
            <w:tcBorders/>
            <w:vAlign w:val="center"/>
          </w:tcPr>
          <w:p>
            <w:pPr>
              <w:pStyle w:val="TableContents"/>
              <w:bidi w:val="0"/>
              <w:spacing w:before="0" w:after="283"/>
              <w:ind w:left="0" w:right="0" w:hanging="0"/>
              <w:jc w:val="both"/>
              <w:rPr/>
            </w:pPr>
            <w:r>
              <w:rPr/>
              <w:t>☐</w:t>
            </w:r>
          </w:p>
        </w:tc>
        <w:tc>
          <w:tcPr>
            <w:tcW w:w="993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Due to confidentiality agreements with a prior employer, Executive cannot disclose certain Prior Inventions that would otherwise be included on the above-described list.</w:t>
            </w:r>
          </w:p>
        </w:tc>
      </w:tr>
      <w:tr>
        <w:trPr/>
        <w:tc>
          <w:tcPr>
            <w:tcW w:w="44" w:type="dxa"/>
            <w:tcBorders/>
            <w:vAlign w:val="center"/>
          </w:tcPr>
          <w:p>
            <w:pPr>
              <w:pStyle w:val="TableContents"/>
              <w:bidi w:val="0"/>
              <w:spacing w:before="0" w:after="283"/>
              <w:ind w:left="0" w:right="0" w:hanging="200"/>
              <w:jc w:val="left"/>
              <w:rPr/>
            </w:pPr>
            <w:r>
              <w:rPr/>
              <w:t> </w:t>
            </w:r>
          </w:p>
        </w:tc>
        <w:tc>
          <w:tcPr>
            <w:tcW w:w="230" w:type="dxa"/>
            <w:tcBorders/>
            <w:vAlign w:val="center"/>
          </w:tcPr>
          <w:p>
            <w:pPr>
              <w:pStyle w:val="TableContents"/>
              <w:bidi w:val="0"/>
              <w:spacing w:before="0" w:after="283"/>
              <w:ind w:left="0" w:right="0" w:hanging="0"/>
              <w:jc w:val="both"/>
              <w:rPr/>
            </w:pPr>
            <w:r>
              <w:rPr/>
              <w:t> </w:t>
            </w:r>
          </w:p>
        </w:tc>
        <w:tc>
          <w:tcPr>
            <w:tcW w:w="9931" w:type="dxa"/>
            <w:tcBorders/>
            <w:vAlign w:val="center"/>
          </w:tcPr>
          <w:p>
            <w:pPr>
              <w:pStyle w:val="TableContents"/>
              <w:bidi w:val="0"/>
              <w:spacing w:before="0" w:after="283"/>
              <w:jc w:val="both"/>
              <w:rPr/>
            </w:pPr>
            <w:r>
              <w:rPr/>
              <w:t> </w:t>
            </w:r>
          </w:p>
        </w:tc>
      </w:tr>
      <w:tr>
        <w:trPr/>
        <w:tc>
          <w:tcPr>
            <w:tcW w:w="44" w:type="dxa"/>
            <w:tcBorders/>
            <w:vAlign w:val="center"/>
          </w:tcPr>
          <w:p>
            <w:pPr>
              <w:pStyle w:val="TableContents"/>
              <w:bidi w:val="0"/>
              <w:spacing w:before="0" w:after="283"/>
              <w:ind w:left="0" w:right="0" w:hanging="200"/>
              <w:jc w:val="left"/>
              <w:rPr/>
            </w:pPr>
            <w:r>
              <w:rPr/>
              <w:t> </w:t>
            </w:r>
          </w:p>
        </w:tc>
        <w:tc>
          <w:tcPr>
            <w:tcW w:w="230" w:type="dxa"/>
            <w:tcBorders/>
            <w:vAlign w:val="center"/>
          </w:tcPr>
          <w:p>
            <w:pPr>
              <w:pStyle w:val="TableContents"/>
              <w:bidi w:val="0"/>
              <w:spacing w:before="0" w:after="283"/>
              <w:ind w:left="0" w:right="0" w:hanging="0"/>
              <w:jc w:val="both"/>
              <w:rPr/>
            </w:pPr>
            <w:r>
              <w:rPr/>
              <w:t>☐</w:t>
            </w:r>
          </w:p>
        </w:tc>
        <w:tc>
          <w:tcPr>
            <w:tcW w:w="993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Additional sheets attached.</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Executive proposes to bring to Executive’s employment the following devices, materials, and documents of a former employer or other person to whom Executive has an obligation of confidentiality that is not generally available to the public, which materials and documents may be used in Executive’s employment pursuant to the express written authorization of Executive’s former employer or such other person (a copy of which is attached to this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appropriate space(s):</w:t>
      </w:r>
    </w:p>
    <w:p>
      <w:pPr>
        <w:pStyle w:val="TextBody"/>
        <w:bidi w:val="0"/>
        <w:spacing w:before="0" w:after="0"/>
        <w:jc w:val="both"/>
        <w:rPr>
          <w:caps w:val="false"/>
          <w:smallCaps w:val="false"/>
        </w:rPr>
      </w:pPr>
      <w:r>
        <w:rPr>
          <w:caps w:val="false"/>
          <w:smallCaps w:val="false"/>
        </w:rPr>
        <w:t> </w:t>
      </w:r>
    </w:p>
    <w:tbl>
      <w:tblPr>
        <w:tblW w:w="1360" w:type="dxa"/>
        <w:jc w:val="left"/>
        <w:tblInd w:w="0" w:type="dxa"/>
        <w:tblLayout w:type="fixed"/>
        <w:tblCellMar>
          <w:top w:w="0" w:type="dxa"/>
          <w:left w:w="0" w:type="dxa"/>
          <w:bottom w:w="0" w:type="dxa"/>
          <w:right w:w="0" w:type="dxa"/>
        </w:tblCellMar>
      </w:tblPr>
      <w:tblGrid>
        <w:gridCol w:w="60"/>
        <w:gridCol w:w="230"/>
        <w:gridCol w:w="1070"/>
      </w:tblGrid>
      <w:tr>
        <w:trPr/>
        <w:tc>
          <w:tcPr>
            <w:tcW w:w="60" w:type="dxa"/>
            <w:tcBorders/>
            <w:vAlign w:val="center"/>
          </w:tcPr>
          <w:p>
            <w:pPr>
              <w:pStyle w:val="TableContents"/>
              <w:bidi w:val="0"/>
              <w:spacing w:before="0" w:after="283"/>
              <w:ind w:left="0" w:right="0" w:hanging="200"/>
              <w:jc w:val="left"/>
              <w:rPr/>
            </w:pPr>
            <w:r>
              <w:rPr/>
              <w:t> </w:t>
            </w:r>
          </w:p>
        </w:tc>
        <w:tc>
          <w:tcPr>
            <w:tcW w:w="230" w:type="dxa"/>
            <w:tcBorders/>
            <w:vAlign w:val="center"/>
          </w:tcPr>
          <w:p>
            <w:pPr>
              <w:pStyle w:val="TableContents"/>
              <w:bidi w:val="0"/>
              <w:spacing w:before="0" w:after="283"/>
              <w:ind w:left="0" w:right="0" w:hanging="0"/>
              <w:jc w:val="both"/>
              <w:rPr/>
            </w:pPr>
            <w:r>
              <w:rPr/>
              <w:t>☐</w:t>
            </w:r>
          </w:p>
        </w:tc>
        <w:tc>
          <w:tcPr>
            <w:tcW w:w="10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None.</w:t>
            </w:r>
          </w:p>
        </w:tc>
      </w:tr>
      <w:tr>
        <w:trPr/>
        <w:tc>
          <w:tcPr>
            <w:tcW w:w="60" w:type="dxa"/>
            <w:tcBorders/>
            <w:vAlign w:val="center"/>
          </w:tcPr>
          <w:p>
            <w:pPr>
              <w:pStyle w:val="TableContents"/>
              <w:bidi w:val="0"/>
              <w:spacing w:before="0" w:after="283"/>
              <w:ind w:left="0" w:right="0" w:hanging="200"/>
              <w:jc w:val="left"/>
              <w:rPr/>
            </w:pPr>
            <w:r>
              <w:rPr/>
              <w:t> </w:t>
            </w:r>
          </w:p>
        </w:tc>
        <w:tc>
          <w:tcPr>
            <w:tcW w:w="230" w:type="dxa"/>
            <w:tcBorders/>
            <w:vAlign w:val="center"/>
          </w:tcPr>
          <w:p>
            <w:pPr>
              <w:pStyle w:val="TableContents"/>
              <w:bidi w:val="0"/>
              <w:spacing w:before="0" w:after="283"/>
              <w:ind w:left="0" w:right="0" w:hanging="0"/>
              <w:jc w:val="both"/>
              <w:rPr/>
            </w:pPr>
            <w:r>
              <w:rPr/>
              <w:t> </w:t>
            </w:r>
          </w:p>
        </w:tc>
        <w:tc>
          <w:tcPr>
            <w:tcW w:w="1070"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ind w:left="0" w:right="0" w:hanging="200"/>
              <w:jc w:val="left"/>
              <w:rPr/>
            </w:pPr>
            <w:r>
              <w:rPr/>
              <w:t> </w:t>
            </w:r>
          </w:p>
        </w:tc>
        <w:tc>
          <w:tcPr>
            <w:tcW w:w="230" w:type="dxa"/>
            <w:tcBorders/>
            <w:vAlign w:val="center"/>
          </w:tcPr>
          <w:p>
            <w:pPr>
              <w:pStyle w:val="TableContents"/>
              <w:bidi w:val="0"/>
              <w:spacing w:before="0" w:after="283"/>
              <w:ind w:left="0" w:right="0" w:hanging="0"/>
              <w:jc w:val="both"/>
              <w:rPr/>
            </w:pPr>
            <w:r>
              <w:rPr/>
              <w:t>☐</w:t>
            </w:r>
          </w:p>
        </w:tc>
        <w:tc>
          <w:tcPr>
            <w:tcW w:w="10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See below.</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______________________________________________________________</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______________________________________________________________</w:t>
      </w:r>
    </w:p>
    <w:p>
      <w:pPr>
        <w:pStyle w:val="TextBody"/>
        <w:bidi w:val="0"/>
        <w:spacing w:before="0" w:after="0"/>
        <w:jc w:val="both"/>
        <w:rPr>
          <w:caps w:val="false"/>
          <w:smallCaps w:val="false"/>
        </w:rPr>
      </w:pPr>
      <w:r>
        <w:rPr>
          <w:caps w:val="false"/>
          <w:smallCaps w:val="false"/>
        </w:rPr>
        <w:t> </w:t>
      </w:r>
    </w:p>
    <w:tbl>
      <w:tblPr>
        <w:tblW w:w="2845" w:type="dxa"/>
        <w:jc w:val="left"/>
        <w:tblInd w:w="0" w:type="dxa"/>
        <w:tblLayout w:type="fixed"/>
        <w:tblCellMar>
          <w:top w:w="0" w:type="dxa"/>
          <w:left w:w="0" w:type="dxa"/>
          <w:bottom w:w="0" w:type="dxa"/>
          <w:right w:w="0" w:type="dxa"/>
        </w:tblCellMar>
      </w:tblPr>
      <w:tblGrid>
        <w:gridCol w:w="60"/>
        <w:gridCol w:w="230"/>
        <w:gridCol w:w="2555"/>
      </w:tblGrid>
      <w:tr>
        <w:trPr/>
        <w:tc>
          <w:tcPr>
            <w:tcW w:w="60" w:type="dxa"/>
            <w:tcBorders/>
            <w:vAlign w:val="center"/>
          </w:tcPr>
          <w:p>
            <w:pPr>
              <w:pStyle w:val="TableContents"/>
              <w:bidi w:val="0"/>
              <w:spacing w:before="0" w:after="283"/>
              <w:ind w:left="0" w:right="0" w:hanging="200"/>
              <w:jc w:val="left"/>
              <w:rPr/>
            </w:pPr>
            <w:r>
              <w:rPr/>
              <w:t> </w:t>
            </w:r>
          </w:p>
        </w:tc>
        <w:tc>
          <w:tcPr>
            <w:tcW w:w="230" w:type="dxa"/>
            <w:tcBorders/>
            <w:vAlign w:val="center"/>
          </w:tcPr>
          <w:p>
            <w:pPr>
              <w:pStyle w:val="TableContents"/>
              <w:bidi w:val="0"/>
              <w:spacing w:before="0" w:after="283"/>
              <w:ind w:left="0" w:right="0" w:hanging="0"/>
              <w:jc w:val="both"/>
              <w:rPr/>
            </w:pPr>
            <w:r>
              <w:rPr/>
              <w:t>☐</w:t>
            </w:r>
          </w:p>
        </w:tc>
        <w:tc>
          <w:tcPr>
            <w:tcW w:w="25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Additional sheets attached.</w:t>
            </w:r>
          </w:p>
        </w:tc>
      </w:tr>
    </w:tbl>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caps w:val="false"/>
          <w:smallCaps w:val="false"/>
        </w:rPr>
      </w:pPr>
      <w:bookmarkStart w:id="26" w:name="ex10-3.htm"/>
      <w:bookmarkStart w:id="27" w:name="ksex103"/>
      <w:bookmarkEnd w:id="26"/>
      <w:bookmarkEnd w:id="27"/>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PERFORMANCE-BASED RESTRICTED STOCK AWARD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WRAP TECHNOLOGIES,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2017 EQUITY COMPENSATION PLAN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Grant of Award</w:t>
      </w:r>
      <w:r>
        <w:rPr>
          <w:rFonts w:ascii="Times New Roman;Times;Serif" w:hAnsi="Times New Roman;Times;Serif"/>
          <w:b w:val="false"/>
          <w:i w:val="false"/>
          <w:caps w:val="false"/>
          <w:smallCaps w:val="false"/>
          <w:sz w:val="20"/>
        </w:rPr>
        <w:t>. Pursuant to the Wrap Technologies, Inc. 2017 Equity Compensation Plan (the “</w:t>
      </w:r>
      <w:r>
        <w:rPr>
          <w:rFonts w:ascii="Times New Roman;Times;Serif" w:hAnsi="Times New Roman;Times;Serif"/>
          <w:b/>
          <w:i/>
          <w:caps w:val="false"/>
          <w:smallCaps w:val="false"/>
          <w:sz w:val="20"/>
        </w:rPr>
        <w:t>Plan</w:t>
      </w:r>
      <w:r>
        <w:rPr>
          <w:rFonts w:ascii="Times New Roman;Times;Serif" w:hAnsi="Times New Roman;Times;Serif"/>
          <w:b w:val="false"/>
          <w:i w:val="false"/>
          <w:caps w:val="false"/>
          <w:smallCaps w:val="false"/>
          <w:sz w:val="20"/>
        </w:rPr>
        <w:t>”) for Employees, Directors, and Consultants of Wrap Technologies,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xml:space="preserve">”), the Company grants to </w:t>
      </w:r>
      <w:r>
        <w:rPr>
          <w:rFonts w:ascii="Times New Roman;Times;Serif" w:hAnsi="Times New Roman;Times;Serif"/>
          <w:b w:val="false"/>
          <w:i w:val="false"/>
          <w:caps w:val="false"/>
          <w:smallCaps w:val="false"/>
          <w:sz w:val="20"/>
          <w:u w:val="single"/>
        </w:rPr>
        <w:t>Scot Cohen</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caps w:val="false"/>
          <w:smallCaps w:val="false"/>
          <w:sz w:val="20"/>
        </w:rPr>
        <w:t>Participant</w:t>
      </w:r>
      <w:r>
        <w:rPr>
          <w:rFonts w:ascii="Times New Roman;Times;Serif" w:hAnsi="Times New Roman;Times;Serif"/>
          <w:b w:val="false"/>
          <w:i w:val="false"/>
          <w:caps w:val="false"/>
          <w:smallCaps w:val="false"/>
          <w:sz w:val="20"/>
        </w:rPr>
        <w:t>”) an Award of Restricted Stock in accordance with Section 7(b) of the Plan (this “</w:t>
      </w:r>
      <w:r>
        <w:rPr>
          <w:rFonts w:ascii="Times New Roman;Times;Serif" w:hAnsi="Times New Roman;Times;Serif"/>
          <w:b/>
          <w:i/>
          <w:caps w:val="false"/>
          <w:smallCaps w:val="false"/>
          <w:sz w:val="20"/>
        </w:rPr>
        <w:t>Award</w:t>
      </w:r>
      <w:r>
        <w:rPr>
          <w:rFonts w:ascii="Times New Roman;Times;Serif" w:hAnsi="Times New Roman;Times;Serif"/>
          <w:b w:val="false"/>
          <w:i w:val="false"/>
          <w:caps w:val="false"/>
          <w:smallCaps w:val="false"/>
          <w:sz w:val="20"/>
        </w:rPr>
        <w:t>”). The number of shares of Common Stock awarded under this Restricted Stock Award Agreement (the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is 4,000,000 shares (the “</w:t>
      </w:r>
      <w:r>
        <w:rPr>
          <w:rFonts w:ascii="Times New Roman;Times;Serif" w:hAnsi="Times New Roman;Times;Serif"/>
          <w:b/>
          <w:i/>
          <w:caps w:val="false"/>
          <w:smallCaps w:val="false"/>
          <w:sz w:val="20"/>
        </w:rPr>
        <w:t>Awarded Shares</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provided</w:t>
      </w:r>
      <w:r>
        <w:rPr>
          <w:rFonts w:ascii="Times New Roman;Times;Serif" w:hAnsi="Times New Roman;Times;Serif"/>
          <w:b/>
          <w:i w:val="false"/>
          <w:caps w:val="false"/>
          <w:smallCaps w:val="false"/>
          <w:sz w:val="20"/>
        </w:rPr>
        <w:t xml:space="preserve">, </w:t>
      </w:r>
      <w:r>
        <w:rPr>
          <w:rFonts w:ascii="Times New Roman;Times;Serif" w:hAnsi="Times New Roman;Times;Serif"/>
          <w:b/>
          <w:i/>
          <w:caps w:val="false"/>
          <w:smallCaps w:val="false"/>
          <w:sz w:val="20"/>
        </w:rPr>
        <w:t>however</w:t>
      </w:r>
      <w:r>
        <w:rPr>
          <w:rFonts w:ascii="Times New Roman;Times;Serif" w:hAnsi="Times New Roman;Times;Serif"/>
          <w:b/>
          <w:i w:val="false"/>
          <w:caps w:val="false"/>
          <w:smallCaps w:val="false"/>
          <w:sz w:val="20"/>
        </w:rPr>
        <w:t>, that in the event that stockholder approval of an increase in shares of Common Stock reserved for issuance under the Plan (the “</w:t>
      </w:r>
      <w:r>
        <w:rPr>
          <w:rFonts w:ascii="Times New Roman;Times;Serif" w:hAnsi="Times New Roman;Times;Serif"/>
          <w:b/>
          <w:i/>
          <w:caps w:val="false"/>
          <w:smallCaps w:val="false"/>
          <w:sz w:val="20"/>
        </w:rPr>
        <w:t>Stockholder Approval</w:t>
      </w:r>
      <w:r>
        <w:rPr>
          <w:rFonts w:ascii="Times New Roman;Times;Serif" w:hAnsi="Times New Roman;Times;Serif"/>
          <w:b/>
          <w:i w:val="false"/>
          <w:caps w:val="false"/>
          <w:smallCaps w:val="false"/>
          <w:sz w:val="20"/>
        </w:rPr>
        <w:t xml:space="preserve">”) is not obtained by the Company prior to March 15, 2027, 1,600,000 of the Awarded Shares shall be null and void and shall be forfeited in accordance with </w:t>
      </w:r>
      <w:r>
        <w:rPr>
          <w:rFonts w:ascii="Times New Roman;Times;Serif" w:hAnsi="Times New Roman;Times;Serif"/>
          <w:b/>
          <w:i w:val="false"/>
          <w:caps w:val="false"/>
          <w:smallCaps w:val="false"/>
          <w:sz w:val="20"/>
          <w:u w:val="single"/>
        </w:rPr>
        <w:t>Section 4</w:t>
      </w:r>
      <w:r>
        <w:rPr>
          <w:rFonts w:ascii="Times New Roman;Times;Serif" w:hAnsi="Times New Roman;Times;Serif"/>
          <w:b/>
          <w:i w:val="false"/>
          <w:caps w:val="false"/>
          <w:smallCaps w:val="false"/>
          <w:sz w:val="20"/>
        </w:rPr>
        <w:t xml:space="preserve"> below (the “</w:t>
      </w:r>
      <w:r>
        <w:rPr>
          <w:rFonts w:ascii="Times New Roman;Times;Serif" w:hAnsi="Times New Roman;Times;Serif"/>
          <w:b/>
          <w:i/>
          <w:caps w:val="false"/>
          <w:smallCaps w:val="false"/>
          <w:sz w:val="20"/>
        </w:rPr>
        <w:t>Stockholder Approval Requirement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The “</w:t>
      </w:r>
      <w:r>
        <w:rPr>
          <w:rFonts w:ascii="Times New Roman;Times;Serif" w:hAnsi="Times New Roman;Times;Serif"/>
          <w:b/>
          <w:i/>
          <w:caps w:val="false"/>
          <w:smallCaps w:val="false"/>
          <w:sz w:val="20"/>
        </w:rPr>
        <w:t>Date of Grant</w:t>
      </w:r>
      <w:r>
        <w:rPr>
          <w:rFonts w:ascii="Times New Roman;Times;Serif" w:hAnsi="Times New Roman;Times;Serif"/>
          <w:b w:val="false"/>
          <w:i w:val="false"/>
          <w:caps w:val="false"/>
          <w:smallCaps w:val="false"/>
          <w:sz w:val="20"/>
        </w:rPr>
        <w:t>” of this Award is September 2,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Subject to Plan</w:t>
      </w:r>
      <w:r>
        <w:rPr>
          <w:rFonts w:ascii="Times New Roman;Times;Serif" w:hAnsi="Times New Roman;Times;Serif"/>
          <w:b w:val="false"/>
          <w:i w:val="false"/>
          <w:caps w:val="false"/>
          <w:smallCaps w:val="false"/>
          <w:sz w:val="20"/>
        </w:rPr>
        <w:t>. This Agreement is subject to the terms and conditions of the Plan, and the terms of the Plan shall control to the extent not otherwise inconsistent with the provisions of this Agreement. The capitalized terms used herein that are defined in the Plan shall have the same meanings assigned to them in the Plan. This Agreement is subject to any rules promulgated pursuant to the Plan by the Board or the Committee and communicated to the Participant in writing.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Vesting</w:t>
      </w:r>
      <w:r>
        <w:rPr>
          <w:rFonts w:ascii="Times New Roman;Times;Serif" w:hAnsi="Times New Roman;Times;Serif"/>
          <w:b w:val="false"/>
          <w:i w:val="false"/>
          <w:caps w:val="false"/>
          <w:smallCaps w:val="false"/>
          <w:sz w:val="20"/>
        </w:rPr>
        <w:t>. Except as specifically provided in this Agreement and subject to certain restrictions and conditions set forth in the Plan, the Awarded Shares shall vest as follows: (i) with respect to 1,000,000 shares, on the date on which the Company’s market capitalization (as reported by Bloomberg L.P. (or successor thereto)) (the “</w:t>
      </w:r>
      <w:r>
        <w:rPr>
          <w:rFonts w:ascii="Times New Roman;Times;Serif" w:hAnsi="Times New Roman;Times;Serif"/>
          <w:b/>
          <w:i/>
          <w:caps w:val="false"/>
          <w:smallCaps w:val="false"/>
          <w:sz w:val="20"/>
        </w:rPr>
        <w:t>Market Capitalization</w:t>
      </w:r>
      <w:r>
        <w:rPr>
          <w:rFonts w:ascii="Times New Roman;Times;Serif" w:hAnsi="Times New Roman;Times;Serif"/>
          <w:b w:val="false"/>
          <w:i w:val="false"/>
          <w:caps w:val="false"/>
          <w:smallCaps w:val="false"/>
          <w:sz w:val="20"/>
        </w:rPr>
        <w:t xml:space="preserve">”) meets or exceeds $150.0 million for each trading day during forty-five (45) consecutive trading days, (ii) with respect to 1,000,000 shares, on the date on which the Market Capitalization meets or exceeds $225.0 million for each trading day during forty-five (45) consecutive trading days, (iii) with respect to 1,000,000 shares, on the date on which the Market Capitalization meets or exceeds $337.5 million for each trading day during forty-five (45) consecutive trading days, and (iv) with respect to the remaining 1,000,000 shares, on the date on which the Market Capitalization meets or exceeds $506.25 million for each trading day during forty-five (45) consecutive trading days. Notwithstanding the foregoing, if there is a Corporate Transaction (as defined in the Plan) and the Market Capitalization determined using the purchase price in the Corporate Transaction meets the threshold set forth in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the forty-five (45) consecutive trading day period shall be disregarded and the Awarded Shares shall vest, with effect as of the consummation of such Corporate Transaction, only to the extent the Market Capitalization of the Company implied by the applicable purchase price meets or exceeds such threshold (subject to the Stockholder Approval Requirement detailed above). For the avoidance of doubt, upon satisfaction of any Market Capitalization threshold set forth in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each lower Market Capitalization threshold shall be deemed to have been satisfied, and all shares subject to vesting upon the attainment of such lower thresholds shall vest simultaneously to the extent not previously vested. Notwithstanding the foregoing, in the event of (i) a Corporate Transaction in which the Awarded Shares are not assumed, continued or replaced with a substantially equivalent award in connection with such Corporate Transaction, or (ii) if the Participant’s employment with the Company is terminated as a result of a Qualifying Termination (as defined in the Participant’s Amended and Restated Employment Agreement with the Company dated September 2, 2026, as may be amended from time to time), all unvested Awarded Shares shall immediately vest in full (subject to the Stockholder Approval Requirement detailed above).</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Forfeiture of Awarded Shares</w:t>
      </w:r>
      <w:r>
        <w:rPr>
          <w:rFonts w:ascii="Times New Roman;Times;Serif" w:hAnsi="Times New Roman;Times;Serif"/>
          <w:b w:val="false"/>
          <w:i w:val="false"/>
          <w:caps w:val="false"/>
          <w:smallCaps w:val="false"/>
          <w:sz w:val="20"/>
        </w:rPr>
        <w:t xml:space="preserve">. Awarded Shares that are not vested in accordance with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shall be forfeited on the date of the Participant’s termination of employment or Continuous Service. Upon forfeiture, all of the Participant’s rights with respect to the forfeited Awarded Shares shall cease and terminate, without any further obligations on the part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Restrictions on Awarded Shares</w:t>
      </w:r>
      <w:r>
        <w:rPr>
          <w:rFonts w:ascii="Times New Roman;Times;Serif" w:hAnsi="Times New Roman;Times;Serif"/>
          <w:b w:val="false"/>
          <w:i w:val="false"/>
          <w:caps w:val="false"/>
          <w:smallCaps w:val="false"/>
          <w:sz w:val="20"/>
        </w:rPr>
        <w:t xml:space="preserve">. Subject to the provisions of the Plan and the terms of this Agreement, from the Date of Grant until the date the Awarded Shares are vested in accordance with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and are no longer subject to forfeiture in accordance with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caps w:val="false"/>
          <w:smallCaps w:val="false"/>
          <w:sz w:val="20"/>
        </w:rPr>
        <w:t>Restriction Period</w:t>
      </w:r>
      <w:r>
        <w:rPr>
          <w:rFonts w:ascii="Times New Roman;Times;Serif" w:hAnsi="Times New Roman;Times;Serif"/>
          <w:b w:val="false"/>
          <w:i w:val="false"/>
          <w:caps w:val="false"/>
          <w:smallCaps w:val="false"/>
          <w:sz w:val="20"/>
        </w:rPr>
        <w:t>”), the Participant shall not be permitted to sell, transfer, pledge, hypothecate, margin, assign, or otherwise encumber any of the Awarded Shares that have not vested. Except for these limitations, the Committee may, in its sole discretion, remove any or all of the restrictions on such Awarded Shares whenever it may determine that, by reason of changes in Applicable Laws or changes in circumstances after the date of this Agreement, such action is appropriate.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Legend</w:t>
      </w:r>
      <w:r>
        <w:rPr>
          <w:rFonts w:ascii="Times New Roman;Times;Serif" w:hAnsi="Times New Roman;Times;Serif"/>
          <w:b w:val="false"/>
          <w:i w:val="false"/>
          <w:caps w:val="false"/>
          <w:smallCaps w:val="false"/>
          <w:sz w:val="20"/>
        </w:rPr>
        <w:t>. The following legend shall be placed on all certificates issued representing Awarded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face of the certificate: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2160" w:right="216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Transfer of this stock is restricted in accordance with conditions printed on the reverse of this certificate.”</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reverse: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2160" w:right="216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shares of stock evidenced by this certificate are subject to and transferable only in accordance with that certain Wrap Technologies, Inc. 2017 Equity Compensation Plan, a copy of which is on file at the principal office of the Company in Tempe, Arizona. No transfer or pledge of the shares evidenced hereby may be made except in accordance with and subject to the provisions of said Plan. By acceptance of this certificate, any holder, transferee or pledgee hereof agrees to be bound by all of the provisions of said Plan.”</w:t>
      </w:r>
    </w:p>
    <w:p>
      <w:pPr>
        <w:pStyle w:val="TextBody"/>
        <w:bidi w:val="0"/>
        <w:spacing w:before="0" w:after="0"/>
        <w:ind w:left="216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legend shall be inserted on a certificate evidencing Common Stock issued under the Plan if the shares were not issued in a transaction registered under the applicable federal and state securities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2160" w:right="216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Shares of stock represented by this certificate have been acquired by the holder for investment and not for resale, transfer or distribution, have been issued pursuant to exemptions from the registration requirements of applicable state and federal securities laws, and may not be offered for sale, sold or transferred other than pursuant to effective registration under such laws, or in transactions otherwise in compliance with such laws, and upon evidence satisfactory to the Company of compliance with such laws, as to which the Company may rely upon an opinion of counsel satisfactory to the Company.”</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Awarded Shares owned by the Participant shall be subject to the terms of this Agreement and shall be represented by a certificate or certificates bearing the foregoing legend.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Delivery of Certificates; Registration of Shares</w:t>
      </w:r>
      <w:r>
        <w:rPr>
          <w:rFonts w:ascii="Times New Roman;Times;Serif" w:hAnsi="Times New Roman;Times;Serif"/>
          <w:b w:val="false"/>
          <w:i w:val="false"/>
          <w:caps w:val="false"/>
          <w:smallCaps w:val="false"/>
          <w:sz w:val="20"/>
        </w:rPr>
        <w:t xml:space="preserve">. The Company shall deliver certificates for the Awarded Shares to the Participant or shall register the Awarded Shares in the Participant’s name, free of restriction under this Agreement, promptly after, and only after, the Restriction Period has expired without forfeiture pursuant to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Rights of a Stockholder</w:t>
      </w:r>
      <w:r>
        <w:rPr>
          <w:rFonts w:ascii="Times New Roman;Times;Serif" w:hAnsi="Times New Roman;Times;Serif"/>
          <w:b w:val="false"/>
          <w:i w:val="false"/>
          <w:caps w:val="false"/>
          <w:smallCaps w:val="false"/>
          <w:sz w:val="20"/>
        </w:rPr>
        <w:t xml:space="preserve">. Except as provided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above, the Participant shall have, with respect to his Awarded Shares, all of the rights of a stockholder of the Company, including the right to vote the shares and the right to receive any dividends thereon, subject to the provisions of this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Any stock dividends paid with respect to Awarded Shares shall at all times be treated as the Awarded Shares and shall be subject to all restrictions placed on such Awarded Shares; any such stock dividends paid with respect to such Awarded Shares shall vest as the related Awarded Shares become vested. Any cash dividends paid with respect to unvested Awarded Shares shall at all times be subject to the provisions of this Agreement (including the vesting and forfeiture provisions set forth above); any such cash dividends paid with respect to such unvested Awarded Shares shall vest as such Awarded Shares become vested, and shall be paid to the Participant on the date the Awarded Shares to which such cash dividends relate become vested.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Voting</w:t>
      </w:r>
      <w:r>
        <w:rPr>
          <w:rFonts w:ascii="Times New Roman;Times;Serif" w:hAnsi="Times New Roman;Times;Serif"/>
          <w:b w:val="false"/>
          <w:i w:val="false"/>
          <w:caps w:val="false"/>
          <w:smallCaps w:val="false"/>
          <w:sz w:val="20"/>
        </w:rPr>
        <w:t xml:space="preserve">. The Participant, as record holder of the Awarded Shares, has the exclusive right to vote, or consent with respect to, such Awarded Shares until such time as the Awarded Shares are transferred in accordance with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this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shall not create any voting right where the holders of such Awarded Shares otherwise have no such right.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Adjustment to Number of Awarded Shares</w:t>
      </w:r>
      <w:r>
        <w:rPr>
          <w:rFonts w:ascii="Times New Roman;Times;Serif" w:hAnsi="Times New Roman;Times;Serif"/>
          <w:b w:val="false"/>
          <w:i w:val="false"/>
          <w:caps w:val="false"/>
          <w:smallCaps w:val="false"/>
          <w:sz w:val="20"/>
        </w:rPr>
        <w:t xml:space="preserve">. The number of Awarded Shares shall be subject to adjustment in accordance with </w:t>
      </w:r>
      <w:r>
        <w:rPr>
          <w:rFonts w:ascii="Times New Roman;Times;Serif" w:hAnsi="Times New Roman;Times;Serif"/>
          <w:b w:val="false"/>
          <w:i w:val="false"/>
          <w:caps w:val="false"/>
          <w:smallCaps w:val="false"/>
          <w:sz w:val="20"/>
          <w:u w:val="single"/>
        </w:rPr>
        <w:t>Article 12</w:t>
      </w:r>
      <w:r>
        <w:rPr>
          <w:rFonts w:ascii="Times New Roman;Times;Serif" w:hAnsi="Times New Roman;Times;Serif"/>
          <w:b w:val="false"/>
          <w:i w:val="false"/>
          <w:caps w:val="false"/>
          <w:smallCaps w:val="false"/>
          <w:sz w:val="20"/>
        </w:rPr>
        <w:t xml:space="preserve"> of the Plan.</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Specific Performance</w:t>
      </w:r>
      <w:r>
        <w:rPr>
          <w:rFonts w:ascii="Times New Roman;Times;Serif" w:hAnsi="Times New Roman;Times;Serif"/>
          <w:b w:val="false"/>
          <w:i w:val="false"/>
          <w:caps w:val="false"/>
          <w:smallCaps w:val="false"/>
          <w:sz w:val="20"/>
        </w:rPr>
        <w:t>. The parties acknowledge that remedies at law will be inadequate remedies for a breach of this Agreement and consequently agree that this Agreement shall be enforceable by specific performance. The remedy of specific performance shall be cumulative of all of the rights and remedies at law or in equity of the parties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Participant’s Representations</w:t>
      </w:r>
      <w:r>
        <w:rPr>
          <w:rFonts w:ascii="Times New Roman;Times;Serif" w:hAnsi="Times New Roman;Times;Serif"/>
          <w:b w:val="false"/>
          <w:i w:val="false"/>
          <w:caps w:val="false"/>
          <w:smallCaps w:val="false"/>
          <w:sz w:val="20"/>
        </w:rPr>
        <w:t>. Notwithstanding any of the provisions hereof, the Participant hereby agrees that he will not acquire any Awarded Shares, and that the Company will not be obligated to issue any Awarded Shares to the Participant hereunder, if the issuance of such shares shall constitute a violation by the Participant or the Company of any provision of any law or regulation of any governmental authority. Any determination in this connection by the Company shall be final, binding, and conclusive. The rights and obligations of the Company and the rights and obligations of the Participant are subject to all Applicable Laws, rules, and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Investment Representation</w:t>
      </w:r>
      <w:r>
        <w:rPr>
          <w:rFonts w:ascii="Times New Roman;Times;Serif" w:hAnsi="Times New Roman;Times;Serif"/>
          <w:b w:val="false"/>
          <w:i w:val="false"/>
          <w:caps w:val="false"/>
          <w:smallCaps w:val="false"/>
          <w:sz w:val="20"/>
        </w:rPr>
        <w:t>. Unless the Awarded Shares are issued in a transaction registered under applicable federal, and state securities laws, by his execution hereof, the Participant represents and warrants to the Company that all Common Stock which may be purchased and/or received hereunder will be acquired by the Participant for investment purposes for his own account and not with any intent for resale or distribution in violation of federal or state securities laws. Unless the Common Stock is issued to him in a transaction registered under the applicable federal and state securities laws, all certificates issued with respect to the Common Stock shall bear an appropriate restrictive investment legend and shall be held indefinitely, unless they are subsequently registered under the applicable federal and state securities laws or the Participant obtains an opinion of counsel, in form and substance satisfactory to the Company and its counsel, that such registration is not required.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Participant’s Acknowledgments</w:t>
      </w:r>
      <w:r>
        <w:rPr>
          <w:rFonts w:ascii="Times New Roman;Times;Serif" w:hAnsi="Times New Roman;Times;Serif"/>
          <w:b w:val="false"/>
          <w:i w:val="false"/>
          <w:caps w:val="false"/>
          <w:smallCaps w:val="false"/>
          <w:sz w:val="20"/>
        </w:rPr>
        <w:t>. The Participant acknowledges that a copy of the Plan has been made available for his review by the Company and represents that he is familiar with the terms and provisions thereof, and hereby accepts this Award subject to all the terms and provisions thereof. The Participant hereby agrees to accept as binding, conclusive, and final all decisions or interpretations of the Committee or the Board, as applicable, upon any questions arising under the Plan or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Law Governing</w:t>
      </w:r>
      <w:r>
        <w:rPr>
          <w:rFonts w:ascii="Times New Roman;Times;Serif" w:hAnsi="Times New Roman;Times;Serif"/>
          <w:b w:val="false"/>
          <w:i w:val="false"/>
          <w:caps w:val="false"/>
          <w:smallCaps w:val="false"/>
          <w:sz w:val="20"/>
        </w:rPr>
        <w:t>. This Agreement shall be governed by, construed, and enforced in accordance with the laws of the State of Delaware (excluding any conflict of laws rule or principle of Delaware law that might refer the governance, construction, or interpretation of this Agreement to the laws of another state).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No Right to Continue Service or Employment</w:t>
      </w:r>
      <w:r>
        <w:rPr>
          <w:rFonts w:ascii="Times New Roman;Times;Serif" w:hAnsi="Times New Roman;Times;Serif"/>
          <w:b w:val="false"/>
          <w:i w:val="false"/>
          <w:caps w:val="false"/>
          <w:smallCaps w:val="false"/>
          <w:sz w:val="20"/>
        </w:rPr>
        <w:t>. Nothing herein shall be construed to confer upon the Participant the right to continue in the employ or to provide services to the Company or any Subsidiary, whether as an Employee, Consultant, or Outside Director, or to interfere with or restrict in any way the right of the Company or any Subsidiary to discharge the Participant as an Employee, Consultant, or Outside Director at any time.</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Legal Construction.</w:t>
      </w:r>
      <w:r>
        <w:rPr>
          <w:rFonts w:ascii="Times New Roman;Times;Serif" w:hAnsi="Times New Roman;Times;Serif"/>
          <w:b w:val="false"/>
          <w:i w:val="false"/>
          <w:caps w:val="false"/>
          <w:smallCaps w:val="false"/>
          <w:sz w:val="20"/>
        </w:rPr>
        <w:t xml:space="preserve"> In the event that any one or more of the terms, provisions, or agreements that are contained in this Agreement shall be held by a court of competent jurisdiction to be invalid, illegal, or unenforceable in any respect for any reason, the invalid, illegal, or unenforceable term, provision, or agreement shall not affect any other term, provision, or agreement that is contained in this Agreement, and this Agreement shall be construed in all respects as if the invalid, illegal, or unenforceable term, provision, or agreement had never been contained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val="false"/>
          <w:i w:val="false"/>
          <w:caps w:val="false"/>
          <w:smallCaps w:val="false"/>
          <w:sz w:val="20"/>
          <w:u w:val="single"/>
        </w:rPr>
        <w:t>Covenants and Agreements as Independent Agreements</w:t>
      </w:r>
      <w:r>
        <w:rPr>
          <w:rFonts w:ascii="Times New Roman;Times;Serif" w:hAnsi="Times New Roman;Times;Serif"/>
          <w:b w:val="false"/>
          <w:i w:val="false"/>
          <w:caps w:val="false"/>
          <w:smallCaps w:val="false"/>
          <w:sz w:val="20"/>
        </w:rPr>
        <w:t>. Each of the covenants and agreements that are set forth in this Agreement shall be construed as a covenant and agreement independent of any other provision of this Agreement. The existence of any claim or cause of action of the Participant against the Company, whether predicated on this Agreement or otherwise, shall not constitute a defense to the enforcement by the Company of the covenants and agreements that are set forth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together with the Plan supersede any and all other prior understandings and agreements, either oral or in writing, between the parties with respect to the subject matter hereof and constitute the sole and only agreements between the parties with respect to said subject matter. All prior negotiations and agreements between the parties with respect to the subject matter hereof are merged into this Agreement. Each party to this Agreement acknowledges that no representations, inducements, promises, or agreements, orally or otherwise, have been made by any party or by anyone acting on behalf of any party, which are not embodied in this Agreement or the Plan and that any agreement, statement, or promise that is not contained in this Agreement or the Plan shall not be valid or binding or of any force or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 </w:t>
      </w:r>
      <w:r>
        <w:rPr>
          <w:rFonts w:ascii="Times New Roman;Times;Serif" w:hAnsi="Times New Roman;Times;Serif"/>
          <w:b w:val="false"/>
          <w:i w:val="false"/>
          <w:caps w:val="false"/>
          <w:smallCaps w:val="false"/>
          <w:sz w:val="20"/>
          <w:u w:val="single"/>
        </w:rPr>
        <w:t>Parties Bound</w:t>
      </w:r>
      <w:r>
        <w:rPr>
          <w:rFonts w:ascii="Times New Roman;Times;Serif" w:hAnsi="Times New Roman;Times;Serif"/>
          <w:b w:val="false"/>
          <w:i w:val="false"/>
          <w:caps w:val="false"/>
          <w:smallCaps w:val="false"/>
          <w:sz w:val="20"/>
        </w:rPr>
        <w:t>. The terms, provisions, and agreements that are contained in this Agreement shall apply to, be binding upon, and inure to the benefit of the parties and their respective heirs, executors, administrators, legal representatives, and permitted successors and assigns, subject to the limitation on assignment expressly set forth herein. No person shall be permitted to acquire any Awarded Shares without first executing and delivering an agreement in the form satisfactory to the Company making such person or entity subject to the restrictions on transfer contained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Modification</w:t>
      </w:r>
      <w:r>
        <w:rPr>
          <w:rFonts w:ascii="Times New Roman;Times;Serif" w:hAnsi="Times New Roman;Times;Serif"/>
          <w:b w:val="false"/>
          <w:i w:val="false"/>
          <w:caps w:val="false"/>
          <w:smallCaps w:val="false"/>
          <w:sz w:val="20"/>
        </w:rPr>
        <w:t>. No change or modification of this Agreement shall be valid or binding upon the parties unless the change or modification is in writing and signed by the parties hereto. Notwithstanding the preceding sentence, the Company may amend the Plan to the extent permitted by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that are used in this Agreement are used for reference and convenience purposes only and do not constitute substantive matters to be considered in construing the terms and provisions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Gender and Number</w:t>
      </w:r>
      <w:r>
        <w:rPr>
          <w:rFonts w:ascii="Times New Roman;Times;Serif" w:hAnsi="Times New Roman;Times;Serif"/>
          <w:b w:val="false"/>
          <w:i w:val="false"/>
          <w:caps w:val="false"/>
          <w:smallCaps w:val="false"/>
          <w:sz w:val="20"/>
        </w:rPr>
        <w:t>. Words of any gender used in this Agreement shall be held and construed to include any other gender, and words in the singular number shall be held to include the plural, and vice versa, unless the context requires otherwise.</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val="false"/>
          <w:i w:val="false"/>
          <w:caps w:val="false"/>
          <w:smallCaps w:val="false"/>
          <w:sz w:val="20"/>
          <w:u w:val="single"/>
        </w:rPr>
        <w:t>Notice</w:t>
      </w:r>
      <w:r>
        <w:rPr>
          <w:rFonts w:ascii="Times New Roman;Times;Serif" w:hAnsi="Times New Roman;Times;Serif"/>
          <w:b w:val="false"/>
          <w:i w:val="false"/>
          <w:caps w:val="false"/>
          <w:smallCaps w:val="false"/>
          <w:sz w:val="20"/>
        </w:rPr>
        <w:t>. Any notice required or permitted to be delivered hereunder shall be deemed to be delivered only when actually received by the Company or by the Participant, as the case may be, at the addresses set forth below, or at such other addresses as they have theretofore specified by written notice delivered in accordance 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to the Company shall be addressed and delivered as follows: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Wrap Technologies, Inc.</w:t>
      </w:r>
    </w:p>
    <w:p>
      <w:pPr>
        <w:pStyle w:val="TextBody"/>
        <w:bidi w:val="0"/>
        <w:spacing w:before="0" w:after="0"/>
        <w:ind w:left="21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1817 West 4th Street</w:t>
      </w:r>
    </w:p>
    <w:p>
      <w:pPr>
        <w:pStyle w:val="TextBody"/>
        <w:bidi w:val="0"/>
        <w:spacing w:before="0" w:after="0"/>
        <w:ind w:left="21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Tempe, AZ 85281</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Attn: </w:t>
      </w:r>
      <w:r>
        <w:rPr>
          <w:rFonts w:ascii="Times New Roman;Times;Serif" w:hAnsi="Times New Roman;Times;Serif"/>
          <w:b w:val="false"/>
          <w:i w:val="false"/>
          <w:caps w:val="false"/>
          <w:smallCaps w:val="false"/>
          <w:sz w:val="20"/>
          <w:u w:val="single"/>
        </w:rPr>
        <w:t>Board of Directors</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Notice to the Participant shall be addressed and delivered to the most recent address in the Company’s records.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 </w:t>
      </w:r>
      <w:r>
        <w:rPr>
          <w:rFonts w:ascii="Times New Roman;Times;Serif" w:hAnsi="Times New Roman;Times;Serif"/>
          <w:b w:val="false"/>
          <w:i w:val="false"/>
          <w:caps w:val="false"/>
          <w:smallCaps w:val="false"/>
          <w:sz w:val="20"/>
          <w:u w:val="single"/>
        </w:rPr>
        <w:t>Tax Requirements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The Participant is hereby advised to consult immediately with his own tax advisor regarding the tax consequences of this Agreement, the method and timing for filing an election to include this Agreement in income under Section 83(b) of the Internal Revenue Code of 1986, as amended (the “</w:t>
      </w:r>
      <w:r>
        <w:rPr>
          <w:rFonts w:ascii="Times New Roman;Times;Serif" w:hAnsi="Times New Roman;Times;Serif"/>
          <w:b/>
          <w:i/>
          <w:caps w:val="false"/>
          <w:smallCaps w:val="false"/>
          <w:sz w:val="20"/>
        </w:rPr>
        <w:t>Code</w:t>
      </w:r>
      <w:r>
        <w:rPr>
          <w:rFonts w:ascii="Times New Roman;Times;Serif" w:hAnsi="Times New Roman;Times;Serif"/>
          <w:b/>
          <w:i w:val="false"/>
          <w:caps w:val="false"/>
          <w:smallCaps w:val="false"/>
          <w:sz w:val="20"/>
        </w:rPr>
        <w:t>”), and the tax consequences of such election. By execution of this Agreement, the Participant agrees that if the Participant makes such an election, the Participant shall provide the Company with written notice of such election in accordance with the regulations promulgated under Section 83(b) of the Code.</w:t>
      </w:r>
      <w:r>
        <w:rPr>
          <w:rFonts w:ascii="Times New Roman;Times;Serif" w:hAnsi="Times New Roman;Times;Serif"/>
          <w:b w:val="false"/>
          <w:i w:val="false"/>
          <w:caps w:val="false"/>
          <w:smallCaps w:val="false"/>
          <w:sz w:val="20"/>
        </w:rPr>
        <w:t xml:space="preserve"> The Company or, if applicable, any Subsidiary (for purposes of this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the term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shall be deemed to include any applicable Subsidiary), shall have the right to deduct from all amounts paid in cash or other form in connection with the Plan, any federal, state, local, or other taxes required by law to be withheld in connection with this Award. The Company may, in its sole discretion, also require the Participant receiving shares of Common Stock issued under the Plan to pay the Company the amount of any taxes that the Company is required to withhold in connection with the Participant’s income arising with respect to this Award. Such payments shall be required to be made when requested by the Company and may be required to be made prior to the delivery of any certificate representing shares of Common Stock. Such payment may be made by (a) the delivery of cash to the Company in an amount that equals or exceeds (to avoid the issuance of fractional shares under (c) below) the required tax withholding obligations of the Company; (b) if the Company, in its sole discretion, so consents in writing, the actual delivery by the Participant to the Company of shares of Common Stock, other than (i) Restricted Stock, or (ii) Common Stock that the Participant has acquired from the Company within six (6) months prior thereto, which shares so delivered have an aggregate Fair Market Value that equals or exceeds (to avoid the issuance of fractional shares under (c) below) the required tax withholding payment; (c) if the Company, in its sole discretion, so consents in writing, the Company’s withholding of a number of shares to be delivered upon the vesting of this Award, which shares so withheld have an aggregate Fair Market Value that equals (but does not exceed) the required tax withholding payment; or (d) any combination of (a), (b), or (c). The Company may, in its sole discretion, withhold any such taxes from any other cash remuneration otherwise paid by the Company to the Participant.</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WITNESS WHEREOF, the Company has caused this Agreement to be executed by its duly authorized officer, and the Participant, to evidence his consent and approval of all the terms hereof, has duly executed this Agreement, as of the date specified in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hereof.</w:t>
      </w:r>
    </w:p>
    <w:p>
      <w:pPr>
        <w:pStyle w:val="TextBody"/>
        <w:bidi w:val="0"/>
        <w:spacing w:before="0" w:after="0"/>
        <w:jc w:val="center"/>
        <w:rPr>
          <w:caps w:val="false"/>
          <w:smallCaps w:val="false"/>
        </w:rPr>
      </w:pPr>
      <w:r>
        <w:rPr>
          <w:caps w:val="false"/>
          <w:smallCaps w:val="false"/>
        </w:rPr>
        <w:t> </w:t>
      </w:r>
    </w:p>
    <w:tbl>
      <w:tblPr>
        <w:tblW w:w="3484" w:type="dxa"/>
        <w:jc w:val="left"/>
        <w:tblInd w:w="0" w:type="dxa"/>
        <w:tblLayout w:type="fixed"/>
        <w:tblCellMar>
          <w:top w:w="0" w:type="dxa"/>
          <w:left w:w="0" w:type="dxa"/>
          <w:bottom w:w="0" w:type="dxa"/>
          <w:right w:w="0" w:type="dxa"/>
        </w:tblCellMar>
      </w:tblPr>
      <w:tblGrid>
        <w:gridCol w:w="60"/>
        <w:gridCol w:w="884"/>
        <w:gridCol w:w="2540"/>
      </w:tblGrid>
      <w:tr>
        <w:trPr/>
        <w:tc>
          <w:tcPr>
            <w:tcW w:w="60" w:type="dxa"/>
            <w:tcBorders/>
            <w:vAlign w:val="center"/>
          </w:tcPr>
          <w:p>
            <w:pPr>
              <w:pStyle w:val="TableContents"/>
              <w:bidi w:val="0"/>
              <w:spacing w:before="0" w:after="283"/>
              <w:jc w:val="left"/>
              <w:rPr/>
            </w:pPr>
            <w:r>
              <w:rPr/>
              <w:t> </w:t>
            </w:r>
          </w:p>
        </w:tc>
        <w:tc>
          <w:tcPr>
            <w:tcW w:w="3424" w:type="dxa"/>
            <w:gridSpan w:val="2"/>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WRAP TECHNOLOGIES, INC.</w:t>
            </w:r>
          </w:p>
        </w:tc>
      </w:tr>
      <w:tr>
        <w:trPr/>
        <w:tc>
          <w:tcPr>
            <w:tcW w:w="60" w:type="dxa"/>
            <w:tcBorders/>
            <w:vAlign w:val="center"/>
          </w:tcPr>
          <w:p>
            <w:pPr>
              <w:pStyle w:val="TableContents"/>
              <w:bidi w:val="0"/>
              <w:spacing w:before="0" w:after="283"/>
              <w:jc w:val="left"/>
              <w:rPr/>
            </w:pPr>
            <w:r>
              <w:rPr/>
              <w:t> </w:t>
            </w:r>
          </w:p>
        </w:tc>
        <w:tc>
          <w:tcPr>
            <w:tcW w:w="884" w:type="dxa"/>
            <w:tcBorders/>
            <w:vAlign w:val="center"/>
          </w:tcPr>
          <w:p>
            <w:pPr>
              <w:pStyle w:val="TableContents"/>
              <w:bidi w:val="0"/>
              <w:spacing w:before="0" w:after="283"/>
              <w:jc w:val="both"/>
              <w:rPr/>
            </w:pPr>
            <w:r>
              <w:rPr/>
              <w:t> </w:t>
            </w:r>
          </w:p>
        </w:tc>
        <w:tc>
          <w:tcPr>
            <w:tcW w:w="2540"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88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254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Bruce Bernstein</w:t>
            </w:r>
          </w:p>
        </w:tc>
      </w:tr>
      <w:tr>
        <w:trPr/>
        <w:tc>
          <w:tcPr>
            <w:tcW w:w="60" w:type="dxa"/>
            <w:tcBorders/>
            <w:vAlign w:val="center"/>
          </w:tcPr>
          <w:p>
            <w:pPr>
              <w:pStyle w:val="TableContents"/>
              <w:bidi w:val="0"/>
              <w:spacing w:before="0" w:after="283"/>
              <w:jc w:val="left"/>
              <w:rPr/>
            </w:pPr>
            <w:r>
              <w:rPr/>
              <w:t> </w:t>
            </w:r>
          </w:p>
        </w:tc>
        <w:tc>
          <w:tcPr>
            <w:tcW w:w="88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254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Bruce Bernstein</w:t>
            </w:r>
          </w:p>
        </w:tc>
      </w:tr>
      <w:tr>
        <w:trPr/>
        <w:tc>
          <w:tcPr>
            <w:tcW w:w="60" w:type="dxa"/>
            <w:tcBorders/>
            <w:vAlign w:val="center"/>
          </w:tcPr>
          <w:p>
            <w:pPr>
              <w:pStyle w:val="TableContents"/>
              <w:bidi w:val="0"/>
              <w:spacing w:before="0" w:after="283"/>
              <w:jc w:val="left"/>
              <w:rPr/>
            </w:pPr>
            <w:r>
              <w:rPr/>
              <w:t> </w:t>
            </w:r>
          </w:p>
        </w:tc>
        <w:tc>
          <w:tcPr>
            <w:tcW w:w="88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254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Director</w:t>
            </w:r>
          </w:p>
        </w:tc>
      </w:tr>
      <w:tr>
        <w:trPr/>
        <w:tc>
          <w:tcPr>
            <w:tcW w:w="60" w:type="dxa"/>
            <w:tcBorders/>
            <w:vAlign w:val="center"/>
          </w:tcPr>
          <w:p>
            <w:pPr>
              <w:pStyle w:val="TableContents"/>
              <w:bidi w:val="0"/>
              <w:spacing w:before="0" w:after="283"/>
              <w:jc w:val="left"/>
              <w:rPr/>
            </w:pPr>
            <w:r>
              <w:rPr/>
              <w:t> </w:t>
            </w:r>
          </w:p>
        </w:tc>
        <w:tc>
          <w:tcPr>
            <w:tcW w:w="884" w:type="dxa"/>
            <w:tcBorders/>
            <w:vAlign w:val="center"/>
          </w:tcPr>
          <w:p>
            <w:pPr>
              <w:pStyle w:val="TableContents"/>
              <w:bidi w:val="0"/>
              <w:spacing w:before="0" w:after="283"/>
              <w:jc w:val="both"/>
              <w:rPr/>
            </w:pPr>
            <w:r>
              <w:rPr/>
              <w:t> </w:t>
            </w:r>
          </w:p>
        </w:tc>
        <w:tc>
          <w:tcPr>
            <w:tcW w:w="2540"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3424"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PARTICIPANT:</w:t>
            </w:r>
          </w:p>
        </w:tc>
      </w:tr>
      <w:tr>
        <w:trPr/>
        <w:tc>
          <w:tcPr>
            <w:tcW w:w="60" w:type="dxa"/>
            <w:tcBorders/>
            <w:vAlign w:val="center"/>
          </w:tcPr>
          <w:p>
            <w:pPr>
              <w:pStyle w:val="TableContents"/>
              <w:bidi w:val="0"/>
              <w:spacing w:before="0" w:after="283"/>
              <w:jc w:val="left"/>
              <w:rPr/>
            </w:pPr>
            <w:r>
              <w:rPr/>
              <w:t> </w:t>
            </w:r>
          </w:p>
        </w:tc>
        <w:tc>
          <w:tcPr>
            <w:tcW w:w="884" w:type="dxa"/>
            <w:tcBorders/>
            <w:vAlign w:val="center"/>
          </w:tcPr>
          <w:p>
            <w:pPr>
              <w:pStyle w:val="TableContents"/>
              <w:bidi w:val="0"/>
              <w:spacing w:before="0" w:after="283"/>
              <w:jc w:val="left"/>
              <w:rPr/>
            </w:pPr>
            <w:r>
              <w:rPr/>
              <w:t> </w:t>
            </w:r>
          </w:p>
        </w:tc>
        <w:tc>
          <w:tcPr>
            <w:tcW w:w="2540"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3424"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Scot Cohen</w:t>
            </w:r>
          </w:p>
        </w:tc>
      </w:tr>
      <w:tr>
        <w:trPr/>
        <w:tc>
          <w:tcPr>
            <w:tcW w:w="60" w:type="dxa"/>
            <w:tcBorders/>
            <w:vAlign w:val="center"/>
          </w:tcPr>
          <w:p>
            <w:pPr>
              <w:pStyle w:val="TableContents"/>
              <w:bidi w:val="0"/>
              <w:spacing w:before="0" w:after="283"/>
              <w:jc w:val="left"/>
              <w:rPr/>
            </w:pPr>
            <w:r>
              <w:rPr/>
              <w:t> </w:t>
            </w:r>
          </w:p>
        </w:tc>
        <w:tc>
          <w:tcPr>
            <w:tcW w:w="3424"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Signature</w:t>
            </w:r>
          </w:p>
        </w:tc>
      </w:tr>
      <w:tr>
        <w:trPr/>
        <w:tc>
          <w:tcPr>
            <w:tcW w:w="60" w:type="dxa"/>
            <w:tcBorders/>
            <w:vAlign w:val="center"/>
          </w:tcPr>
          <w:p>
            <w:pPr>
              <w:pStyle w:val="TableContents"/>
              <w:bidi w:val="0"/>
              <w:spacing w:before="0" w:after="283"/>
              <w:jc w:val="left"/>
              <w:rPr/>
            </w:pPr>
            <w:r>
              <w:rPr/>
              <w:t> </w:t>
            </w:r>
          </w:p>
        </w:tc>
        <w:tc>
          <w:tcPr>
            <w:tcW w:w="884" w:type="dxa"/>
            <w:tcBorders/>
            <w:vAlign w:val="center"/>
          </w:tcPr>
          <w:p>
            <w:pPr>
              <w:pStyle w:val="TableContents"/>
              <w:bidi w:val="0"/>
              <w:spacing w:before="0" w:after="283"/>
              <w:jc w:val="left"/>
              <w:rPr/>
            </w:pPr>
            <w:r>
              <w:rPr/>
              <w:t> </w:t>
            </w:r>
          </w:p>
        </w:tc>
        <w:tc>
          <w:tcPr>
            <w:tcW w:w="2540"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8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54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Scot Cohen</w:t>
            </w:r>
          </w:p>
        </w:tc>
      </w:tr>
    </w:tbl>
    <w:p>
      <w:pPr>
        <w:pStyle w:val="TextBody"/>
        <w:bidi w:val="0"/>
        <w:spacing w:before="0" w:after="0"/>
        <w:jc w:val="center"/>
        <w:rPr>
          <w:caps w:val="false"/>
          <w:smallCaps w:val="false"/>
        </w:rPr>
      </w:pPr>
      <w:r>
        <w:rPr>
          <w:caps w:val="false"/>
          <w:smallCaps w:val="false"/>
        </w:rPr>
        <w:t> </w:t>
      </w:r>
    </w:p>
    <w:tbl>
      <w:tblPr>
        <w:tblW w:w="170" w:type="dxa"/>
        <w:jc w:val="center"/>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jc w:val="center"/>
        <w:rPr>
          <w:caps w:val="false"/>
          <w:smallCaps w:val="false"/>
        </w:rPr>
      </w:pPr>
      <w:r>
        <w:rPr>
          <w:caps w:val="false"/>
          <w:smallCaps w:val="false"/>
        </w:rPr>
        <w:t> </w:t>
      </w:r>
    </w:p>
    <w:p>
      <w:pPr>
        <w:pStyle w:val="TextBody"/>
        <w:bidi w:val="0"/>
        <w:jc w:val="center"/>
        <w:rPr/>
      </w:pPr>
      <w:bookmarkStart w:id="28" w:name="ex10-4.htm"/>
      <w:bookmarkStart w:id="29" w:name="ksex104"/>
      <w:bookmarkEnd w:id="28"/>
      <w:bookmarkEnd w:id="29"/>
      <w:r>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PERFORMANCE-BASED RESTRICTED STOCK AWARD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WRAP TECHNOLOGIES,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2017 EQUITY COMPENSATION PLAN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Grant of Award</w:t>
      </w:r>
      <w:r>
        <w:rPr>
          <w:rFonts w:ascii="Times New Roman;Times;Serif" w:hAnsi="Times New Roman;Times;Serif"/>
          <w:b w:val="false"/>
          <w:i w:val="false"/>
          <w:caps w:val="false"/>
          <w:smallCaps w:val="false"/>
          <w:sz w:val="20"/>
        </w:rPr>
        <w:t>. Pursuant to the Wrap Technologies, Inc. 2017 Equity Compensation Plan (the “</w:t>
      </w:r>
      <w:r>
        <w:rPr>
          <w:rFonts w:ascii="Times New Roman;Times;Serif" w:hAnsi="Times New Roman;Times;Serif"/>
          <w:b/>
          <w:i/>
          <w:caps w:val="false"/>
          <w:smallCaps w:val="false"/>
          <w:sz w:val="20"/>
        </w:rPr>
        <w:t>Plan</w:t>
      </w:r>
      <w:r>
        <w:rPr>
          <w:rFonts w:ascii="Times New Roman;Times;Serif" w:hAnsi="Times New Roman;Times;Serif"/>
          <w:b w:val="false"/>
          <w:i w:val="false"/>
          <w:caps w:val="false"/>
          <w:smallCaps w:val="false"/>
          <w:sz w:val="20"/>
        </w:rPr>
        <w:t>”) for Employees, Directors, and Consultants of Wrap Technologies,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xml:space="preserve">”), the Company grants to </w:t>
      </w:r>
      <w:r>
        <w:rPr>
          <w:rFonts w:ascii="Times New Roman;Times;Serif" w:hAnsi="Times New Roman;Times;Serif"/>
          <w:b w:val="false"/>
          <w:i w:val="false"/>
          <w:caps w:val="false"/>
          <w:smallCaps w:val="false"/>
          <w:sz w:val="20"/>
          <w:u w:val="single"/>
        </w:rPr>
        <w:t>Jared Novick</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caps w:val="false"/>
          <w:smallCaps w:val="false"/>
          <w:sz w:val="20"/>
        </w:rPr>
        <w:t>Participant</w:t>
      </w:r>
      <w:r>
        <w:rPr>
          <w:rFonts w:ascii="Times New Roman;Times;Serif" w:hAnsi="Times New Roman;Times;Serif"/>
          <w:b w:val="false"/>
          <w:i w:val="false"/>
          <w:caps w:val="false"/>
          <w:smallCaps w:val="false"/>
          <w:sz w:val="20"/>
        </w:rPr>
        <w:t>”) an Award of Restricted Stock in accordance with Section 7(b) of the Plan (this “</w:t>
      </w:r>
      <w:r>
        <w:rPr>
          <w:rFonts w:ascii="Times New Roman;Times;Serif" w:hAnsi="Times New Roman;Times;Serif"/>
          <w:b/>
          <w:i/>
          <w:caps w:val="false"/>
          <w:smallCaps w:val="false"/>
          <w:sz w:val="20"/>
        </w:rPr>
        <w:t>Award</w:t>
      </w:r>
      <w:r>
        <w:rPr>
          <w:rFonts w:ascii="Times New Roman;Times;Serif" w:hAnsi="Times New Roman;Times;Serif"/>
          <w:b w:val="false"/>
          <w:i w:val="false"/>
          <w:caps w:val="false"/>
          <w:smallCaps w:val="false"/>
          <w:sz w:val="20"/>
        </w:rPr>
        <w:t>”). The number of shares of Common Stock awarded under this Restricted Stock Award Agreement (the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is 2,000,000 shares (the “</w:t>
      </w:r>
      <w:r>
        <w:rPr>
          <w:rFonts w:ascii="Times New Roman;Times;Serif" w:hAnsi="Times New Roman;Times;Serif"/>
          <w:b/>
          <w:i/>
          <w:caps w:val="false"/>
          <w:smallCaps w:val="false"/>
          <w:sz w:val="20"/>
        </w:rPr>
        <w:t>Awarded Shares</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provided</w:t>
      </w:r>
      <w:r>
        <w:rPr>
          <w:rFonts w:ascii="Times New Roman;Times;Serif" w:hAnsi="Times New Roman;Times;Serif"/>
          <w:b/>
          <w:i w:val="false"/>
          <w:caps w:val="false"/>
          <w:smallCaps w:val="false"/>
          <w:sz w:val="20"/>
        </w:rPr>
        <w:t xml:space="preserve">, </w:t>
      </w:r>
      <w:r>
        <w:rPr>
          <w:rFonts w:ascii="Times New Roman;Times;Serif" w:hAnsi="Times New Roman;Times;Serif"/>
          <w:b/>
          <w:i/>
          <w:caps w:val="false"/>
          <w:smallCaps w:val="false"/>
          <w:sz w:val="20"/>
        </w:rPr>
        <w:t>however</w:t>
      </w:r>
      <w:r>
        <w:rPr>
          <w:rFonts w:ascii="Times New Roman;Times;Serif" w:hAnsi="Times New Roman;Times;Serif"/>
          <w:b/>
          <w:i w:val="false"/>
          <w:caps w:val="false"/>
          <w:smallCaps w:val="false"/>
          <w:sz w:val="20"/>
        </w:rPr>
        <w:t>, that in the event that stockholder approval of an increase in shares of Common Stock reserved for issuance under the Plan (the “</w:t>
      </w:r>
      <w:r>
        <w:rPr>
          <w:rFonts w:ascii="Times New Roman;Times;Serif" w:hAnsi="Times New Roman;Times;Serif"/>
          <w:b/>
          <w:i/>
          <w:caps w:val="false"/>
          <w:smallCaps w:val="false"/>
          <w:sz w:val="20"/>
        </w:rPr>
        <w:t>Stockholder Approval</w:t>
      </w:r>
      <w:r>
        <w:rPr>
          <w:rFonts w:ascii="Times New Roman;Times;Serif" w:hAnsi="Times New Roman;Times;Serif"/>
          <w:b/>
          <w:i w:val="false"/>
          <w:caps w:val="false"/>
          <w:smallCaps w:val="false"/>
          <w:sz w:val="20"/>
        </w:rPr>
        <w:t xml:space="preserve">”) is not obtained by the Company prior to March 15, 2027, 800,000 of the Awarded Shares shall be null and void and shall be forfeited in accordance with </w:t>
      </w:r>
      <w:r>
        <w:rPr>
          <w:rFonts w:ascii="Times New Roman;Times;Serif" w:hAnsi="Times New Roman;Times;Serif"/>
          <w:b/>
          <w:i w:val="false"/>
          <w:caps w:val="false"/>
          <w:smallCaps w:val="false"/>
          <w:sz w:val="20"/>
          <w:u w:val="single"/>
        </w:rPr>
        <w:t>Section 4</w:t>
      </w:r>
      <w:r>
        <w:rPr>
          <w:rFonts w:ascii="Times New Roman;Times;Serif" w:hAnsi="Times New Roman;Times;Serif"/>
          <w:b/>
          <w:i w:val="false"/>
          <w:caps w:val="false"/>
          <w:smallCaps w:val="false"/>
          <w:sz w:val="20"/>
        </w:rPr>
        <w:t xml:space="preserve"> below (the “</w:t>
      </w:r>
      <w:r>
        <w:rPr>
          <w:rFonts w:ascii="Times New Roman;Times;Serif" w:hAnsi="Times New Roman;Times;Serif"/>
          <w:b/>
          <w:i/>
          <w:caps w:val="false"/>
          <w:smallCaps w:val="false"/>
          <w:sz w:val="20"/>
        </w:rPr>
        <w:t>Stockholder Approval Requirement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The “</w:t>
      </w:r>
      <w:r>
        <w:rPr>
          <w:rFonts w:ascii="Times New Roman;Times;Serif" w:hAnsi="Times New Roman;Times;Serif"/>
          <w:b/>
          <w:i/>
          <w:caps w:val="false"/>
          <w:smallCaps w:val="false"/>
          <w:sz w:val="20"/>
        </w:rPr>
        <w:t>Date of Grant</w:t>
      </w:r>
      <w:r>
        <w:rPr>
          <w:rFonts w:ascii="Times New Roman;Times;Serif" w:hAnsi="Times New Roman;Times;Serif"/>
          <w:b w:val="false"/>
          <w:i w:val="false"/>
          <w:caps w:val="false"/>
          <w:smallCaps w:val="false"/>
          <w:sz w:val="20"/>
        </w:rPr>
        <w:t>” of this Award is September 2,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Subject to Plan</w:t>
      </w:r>
      <w:r>
        <w:rPr>
          <w:rFonts w:ascii="Times New Roman;Times;Serif" w:hAnsi="Times New Roman;Times;Serif"/>
          <w:b w:val="false"/>
          <w:i w:val="false"/>
          <w:caps w:val="false"/>
          <w:smallCaps w:val="false"/>
          <w:sz w:val="20"/>
        </w:rPr>
        <w:t>. This Agreement is subject to the terms and conditions of the Plan, and the terms of the Plan shall control to the extent not otherwise inconsistent with the provisions of this Agreement. The capitalized terms used herein that are defined in the Plan shall have the same meanings assigned to them in the Plan. This Agreement is subject to any rules promulgated pursuant to the Plan by the Board or the Committee and communicated to the Participant in writing.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Vesting</w:t>
      </w:r>
      <w:r>
        <w:rPr>
          <w:rFonts w:ascii="Times New Roman;Times;Serif" w:hAnsi="Times New Roman;Times;Serif"/>
          <w:b w:val="false"/>
          <w:i w:val="false"/>
          <w:caps w:val="false"/>
          <w:smallCaps w:val="false"/>
          <w:sz w:val="20"/>
        </w:rPr>
        <w:t>. Except as specifically provided in this Agreement and subject to certain restrictions and conditions set forth in the Plan, the Awarded Shares shall vest as follows: (i) with respect to 500,000 shares, on the date on which the Company’s market capitalization (as reported by Bloomberg L.P. (or successor thereto)) (the “</w:t>
      </w:r>
      <w:r>
        <w:rPr>
          <w:rFonts w:ascii="Times New Roman;Times;Serif" w:hAnsi="Times New Roman;Times;Serif"/>
          <w:b/>
          <w:i/>
          <w:caps w:val="false"/>
          <w:smallCaps w:val="false"/>
          <w:sz w:val="20"/>
        </w:rPr>
        <w:t>Market Capitalization</w:t>
      </w:r>
      <w:r>
        <w:rPr>
          <w:rFonts w:ascii="Times New Roman;Times;Serif" w:hAnsi="Times New Roman;Times;Serif"/>
          <w:b w:val="false"/>
          <w:i w:val="false"/>
          <w:caps w:val="false"/>
          <w:smallCaps w:val="false"/>
          <w:sz w:val="20"/>
        </w:rPr>
        <w:t xml:space="preserve">”) meets or exceeds $150.0 million for each trading day during forty-five (45) consecutive trading days, (ii) with respect to 500,000 shares, on the date on which the Market Capitalization meets or exceeds $225.0 million for each trading day during forty-five (45) consecutive trading days, (iii) with respect to 500,000 shares, on the date on which the Market Capitalization meets or exceeds $337.5 million for each trading day during forty-five (45) consecutive trading days, and (iv) with respect to the remaining 500,000 shares, on the date on which the Market Capitalization meets or exceeds $506.25 million for each trading day during forty-five (45) consecutive trading days. For the avoidance of doubt, upon satisfaction of any Market Capitalization threshold set forth in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each lower Market Capitalization threshold shall be deemed to have been satisfied, and all shares subject to vesting upon the attainment of such lower thresholds shall vest simultaneously to the extent not previously vested. Notwithstanding the foregoing, if there is a Corporate Transaction (as defined in the Plan) and the Market Capitalization determined using the purchase price in the Corporate Transaction meets the threshold set forth in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the forty-five (45) consecutive trading day period shall be disregarded and the Awarded Shares shall vest, with effect as of the consummation of such Corporate Transaction, only to the extent the Market Capitalization of the Company implied by the applicable purchase price meets or exceeds such threshold (subject to the Stockholder Approval Requirement detailed above). Notwithstanding the foregoing, in the event of (i) a Corporate Transaction in which the Awarded Shares are not assumed, continued or replaced with a substantially equivalent award in connection with such Corporate Transaction, or (ii) subject to the Participant’s execution of a release of all claims in a form reasonably acceptable to the Company, if the Participant is terminated by the Company without Cause or by the Participant for Good Reason (each as defined in the Participant’s Amended and Restated Employment Agreement with the Company dated September 2, 2026, as may be amended from time to time), all unvested Awarded Shares shall immediately vest in full (subject to the Stockholder Approval Requirement detailed above).</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Forfeiture of Awarded Shares</w:t>
      </w:r>
      <w:r>
        <w:rPr>
          <w:rFonts w:ascii="Times New Roman;Times;Serif" w:hAnsi="Times New Roman;Times;Serif"/>
          <w:b w:val="false"/>
          <w:i w:val="false"/>
          <w:caps w:val="false"/>
          <w:smallCaps w:val="false"/>
          <w:sz w:val="20"/>
        </w:rPr>
        <w:t xml:space="preserve">. Awarded Shares that are not vested in accordance with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shall be forfeited on the date of the Participant’s termination of employment or Continuous Service. Upon forfeiture, all of the Participant’s rights with respect to the forfeited Awarded Shares shall cease and terminate, without any further obligations on the part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Restrictions on Awarded Shares</w:t>
      </w:r>
      <w:r>
        <w:rPr>
          <w:rFonts w:ascii="Times New Roman;Times;Serif" w:hAnsi="Times New Roman;Times;Serif"/>
          <w:b w:val="false"/>
          <w:i w:val="false"/>
          <w:caps w:val="false"/>
          <w:smallCaps w:val="false"/>
          <w:sz w:val="20"/>
        </w:rPr>
        <w:t xml:space="preserve">. Subject to the provisions of the Plan and the terms of this Agreement, from the Date of Grant until the date the Awarded Shares are vested in accordance with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and are no longer subject to forfeiture in accordance with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caps w:val="false"/>
          <w:smallCaps w:val="false"/>
          <w:sz w:val="20"/>
        </w:rPr>
        <w:t>Restriction Period</w:t>
      </w:r>
      <w:r>
        <w:rPr>
          <w:rFonts w:ascii="Times New Roman;Times;Serif" w:hAnsi="Times New Roman;Times;Serif"/>
          <w:b w:val="false"/>
          <w:i w:val="false"/>
          <w:caps w:val="false"/>
          <w:smallCaps w:val="false"/>
          <w:sz w:val="20"/>
        </w:rPr>
        <w:t>”), the Participant shall not be permitted to sell, transfer, pledge, hypothecate, margin, assign, or otherwise encumber any of the Awarded Shares that have not vested. Except for these limitations, the Committee may, in its sole discretion, remove any or all of the restrictions on such Awarded Shares whenever it may determine that, by reason of changes in Applicable Laws or changes in circumstances after the date of this Agreement, such action is appropriate.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Legend</w:t>
      </w:r>
      <w:r>
        <w:rPr>
          <w:rFonts w:ascii="Times New Roman;Times;Serif" w:hAnsi="Times New Roman;Times;Serif"/>
          <w:b w:val="false"/>
          <w:i w:val="false"/>
          <w:caps w:val="false"/>
          <w:smallCaps w:val="false"/>
          <w:sz w:val="20"/>
        </w:rPr>
        <w:t>. The following legend shall be placed on all certificates issued representing Awarded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face of the certificate: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2160" w:right="216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Transfer of this stock is restricted in accordance with conditions printed on the reverse of this certificate.”</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reverse: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2160" w:right="216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shares of stock evidenced by this certificate are subject to and transferable only in accordance with that certain Wrap Technologies, Inc. 2017 Equity Compensation Plan, a copy of which is on file at the principal office of the Company in Tempe, Arizona. No transfer or pledge of the shares evidenced hereby may be made except in accordance with and subject to the provisions of said Plan. By acceptance of this certificate, any holder, transferee or pledgee hereof agrees to be bound by all of the provisions of said Plan.”</w:t>
      </w:r>
    </w:p>
    <w:p>
      <w:pPr>
        <w:pStyle w:val="TextBody"/>
        <w:bidi w:val="0"/>
        <w:spacing w:before="0" w:after="0"/>
        <w:ind w:left="216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legend shall be inserted on a certificate evidencing Common Stock issued under the Plan if the shares were not issued in a transaction registered under the applicable federal and state securities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2160" w:right="216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Shares of stock represented by this certificate have been acquired by the holder for investment and not for resale, transfer or distribution, have been issued pursuant to exemptions from the registration requirements of applicable state and federal securities laws, and may not be offered for sale, sold or transferred other than pursuant to effective registration under such laws, or in transactions otherwise in compliance with such laws, and upon evidence satisfactory to the Company of compliance with such laws, as to which the Company may rely upon an opinion of counsel satisfactory to the Company.”</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Awarded Shares owned by the Participant shall be subject to the terms of this Agreement and shall be represented by a certificate or certificates bearing the foregoing legend.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Delivery of Certificates; Registration of Shares</w:t>
      </w:r>
      <w:r>
        <w:rPr>
          <w:rFonts w:ascii="Times New Roman;Times;Serif" w:hAnsi="Times New Roman;Times;Serif"/>
          <w:b w:val="false"/>
          <w:i w:val="false"/>
          <w:caps w:val="false"/>
          <w:smallCaps w:val="false"/>
          <w:sz w:val="20"/>
        </w:rPr>
        <w:t xml:space="preserve">. The Company shall deliver certificates for the Awarded Shares to the Participant or shall register the Awarded Shares in the Participant’s name, free of restriction under this Agreement, promptly after, and only after, the Restriction Period has expired without forfeiture pursuant to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Rights of a Stockholder</w:t>
      </w:r>
      <w:r>
        <w:rPr>
          <w:rFonts w:ascii="Times New Roman;Times;Serif" w:hAnsi="Times New Roman;Times;Serif"/>
          <w:b w:val="false"/>
          <w:i w:val="false"/>
          <w:caps w:val="false"/>
          <w:smallCaps w:val="false"/>
          <w:sz w:val="20"/>
        </w:rPr>
        <w:t xml:space="preserve">. Except as provided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above, the Participant shall have, with respect to his Awarded Shares, all of the rights of a stockholder of the Company, including the right to vote the shares and the right to receive any dividends thereon, subject to the provisions of this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Any stock dividends paid with respect to Awarded Shares shall at all times be treated as the Awarded Shares and shall be subject to all restrictions placed on such Awarded Shares; any such stock dividends paid with respect to such Awarded Shares shall vest as the related Awarded Shares become vested. Any cash dividends paid with respect to unvested Awarded Shares shall at all times be subject to the provisions of this Agreement (including the vesting and forfeiture provisions set forth above); any such cash dividends paid with respect to such unvested Awarded Shares shall vest as such Awarded Shares become vested, and shall be paid to the Participant on the date the Awarded Shares to which such cash dividends relate become vested.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Voting</w:t>
      </w:r>
      <w:r>
        <w:rPr>
          <w:rFonts w:ascii="Times New Roman;Times;Serif" w:hAnsi="Times New Roman;Times;Serif"/>
          <w:b w:val="false"/>
          <w:i w:val="false"/>
          <w:caps w:val="false"/>
          <w:smallCaps w:val="false"/>
          <w:sz w:val="20"/>
        </w:rPr>
        <w:t xml:space="preserve">. The Participant, as record holder of the Awarded Shares, has the exclusive right to vote, or consent with respect to, such Awarded Shares until such time as the Awarded Shares are transferred in accordance with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this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shall not create any voting right where the holders of such Awarded Shares otherwise have no such right.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Adjustment to Number of Awarded Shares</w:t>
      </w:r>
      <w:r>
        <w:rPr>
          <w:rFonts w:ascii="Times New Roman;Times;Serif" w:hAnsi="Times New Roman;Times;Serif"/>
          <w:b w:val="false"/>
          <w:i w:val="false"/>
          <w:caps w:val="false"/>
          <w:smallCaps w:val="false"/>
          <w:sz w:val="20"/>
        </w:rPr>
        <w:t xml:space="preserve">. The number of Awarded Shares shall be subject to adjustment in accordance with </w:t>
      </w:r>
      <w:r>
        <w:rPr>
          <w:rFonts w:ascii="Times New Roman;Times;Serif" w:hAnsi="Times New Roman;Times;Serif"/>
          <w:b w:val="false"/>
          <w:i w:val="false"/>
          <w:caps w:val="false"/>
          <w:smallCaps w:val="false"/>
          <w:sz w:val="20"/>
          <w:u w:val="single"/>
        </w:rPr>
        <w:t>Article 12</w:t>
      </w:r>
      <w:r>
        <w:rPr>
          <w:rFonts w:ascii="Times New Roman;Times;Serif" w:hAnsi="Times New Roman;Times;Serif"/>
          <w:b w:val="false"/>
          <w:i w:val="false"/>
          <w:caps w:val="false"/>
          <w:smallCaps w:val="false"/>
          <w:sz w:val="20"/>
        </w:rPr>
        <w:t xml:space="preserve"> of the Plan.</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Specific Performance</w:t>
      </w:r>
      <w:r>
        <w:rPr>
          <w:rFonts w:ascii="Times New Roman;Times;Serif" w:hAnsi="Times New Roman;Times;Serif"/>
          <w:b w:val="false"/>
          <w:i w:val="false"/>
          <w:caps w:val="false"/>
          <w:smallCaps w:val="false"/>
          <w:sz w:val="20"/>
        </w:rPr>
        <w:t>. The parties acknowledge that remedies at law will be inadequate remedies for a breach of this Agreement and consequently agree that this Agreement shall be enforceable by specific performance. The remedy of specific performance shall be cumulative of all of the rights and remedies at law or in equity of the parties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Participant’s Representations</w:t>
      </w:r>
      <w:r>
        <w:rPr>
          <w:rFonts w:ascii="Times New Roman;Times;Serif" w:hAnsi="Times New Roman;Times;Serif"/>
          <w:b w:val="false"/>
          <w:i w:val="false"/>
          <w:caps w:val="false"/>
          <w:smallCaps w:val="false"/>
          <w:sz w:val="20"/>
        </w:rPr>
        <w:t>. Notwithstanding any of the provisions hereof, the Participant hereby agrees that he will not acquire any Awarded Shares, and that the Company will not be obligated to issue any Awarded Shares to the Participant hereunder, if the issuance of such shares shall constitute a violation by the Participant or the Company of any provision of any law or regulation of any governmental authority. Any determination in this connection by the Company shall be final, binding, and conclusive. The rights and obligations of the Company and the rights and obligations of the Participant are subject to all Applicable Laws, rules, and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Investment Representation</w:t>
      </w:r>
      <w:r>
        <w:rPr>
          <w:rFonts w:ascii="Times New Roman;Times;Serif" w:hAnsi="Times New Roman;Times;Serif"/>
          <w:b w:val="false"/>
          <w:i w:val="false"/>
          <w:caps w:val="false"/>
          <w:smallCaps w:val="false"/>
          <w:sz w:val="20"/>
        </w:rPr>
        <w:t>. Unless the Awarded Shares are issued in a transaction registered under applicable federal, and state securities laws, by his execution hereof, the Participant represents and warrants to the Company that all Common Stock which may be purchased and/or received hereunder will be acquired by the Participant for investment purposes for his own account and not with any intent for resale or distribution in violation of federal or state securities laws. Unless the Common Stock is issued to him in a transaction registered under the applicable federal and state securities laws, all certificates issued with respect to the Common Stock shall bear an appropriate restrictive investment legend and shall be held indefinitely, unless they are subsequently registered under the applicable federal and state securities laws or the Participant obtains an opinion of counsel, in form and substance satisfactory to the Company and its counsel, that such registration is not required.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Participant’s Acknowledgments</w:t>
      </w:r>
      <w:r>
        <w:rPr>
          <w:rFonts w:ascii="Times New Roman;Times;Serif" w:hAnsi="Times New Roman;Times;Serif"/>
          <w:b w:val="false"/>
          <w:i w:val="false"/>
          <w:caps w:val="false"/>
          <w:smallCaps w:val="false"/>
          <w:sz w:val="20"/>
        </w:rPr>
        <w:t>. The Participant acknowledges that a copy of the Plan has been made available for his review by the Company and represents that he is familiar with the terms and provisions thereof, and hereby accepts this Award subject to all the terms and provisions thereof. The Participant hereby agrees to accept as binding, conclusive, and final all decisions or interpretations of the Committee or the Board, as applicable, upon any questions arising under the Plan or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Law Governing</w:t>
      </w:r>
      <w:r>
        <w:rPr>
          <w:rFonts w:ascii="Times New Roman;Times;Serif" w:hAnsi="Times New Roman;Times;Serif"/>
          <w:b w:val="false"/>
          <w:i w:val="false"/>
          <w:caps w:val="false"/>
          <w:smallCaps w:val="false"/>
          <w:sz w:val="20"/>
        </w:rPr>
        <w:t>. This Agreement shall be governed by, construed, and enforced in accordance with the laws of the State of Delaware (excluding any conflict of laws rule or principle of Delaware law that might refer the governance, construction, or interpretation of this Agreement to the laws of another state).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No Right to Continue Service or Employment</w:t>
      </w:r>
      <w:r>
        <w:rPr>
          <w:rFonts w:ascii="Times New Roman;Times;Serif" w:hAnsi="Times New Roman;Times;Serif"/>
          <w:b w:val="false"/>
          <w:i w:val="false"/>
          <w:caps w:val="false"/>
          <w:smallCaps w:val="false"/>
          <w:sz w:val="20"/>
        </w:rPr>
        <w:t>. Nothing herein shall be construed to confer upon the Participant the right to continue in the employ or to provide services to the Company or any Subsidiary, whether as an Employee, Consultant, or Outside Director, or to interfere with or restrict in any way the right of the Company or any Subsidiary to discharge the Participant as an Employee, Consultant, or Outside Director at any time.</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Legal Construction.</w:t>
      </w:r>
      <w:r>
        <w:rPr>
          <w:rFonts w:ascii="Times New Roman;Times;Serif" w:hAnsi="Times New Roman;Times;Serif"/>
          <w:b w:val="false"/>
          <w:i w:val="false"/>
          <w:caps w:val="false"/>
          <w:smallCaps w:val="false"/>
          <w:sz w:val="20"/>
        </w:rPr>
        <w:t xml:space="preserve"> In the event that any one or more of the terms, provisions, or agreements that are contained in this Agreement shall be held by a court of competent jurisdiction to be invalid, illegal, or unenforceable in any respect for any reason, the invalid, illegal, or unenforceable term, provision, or agreement shall not affect any other term, provision, or agreement that is contained in this Agreement, and this Agreement shall be construed in all respects as if the invalid, illegal, or unenforceable term, provision, or agreement had never been contained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val="false"/>
          <w:i w:val="false"/>
          <w:caps w:val="false"/>
          <w:smallCaps w:val="false"/>
          <w:sz w:val="20"/>
          <w:u w:val="single"/>
        </w:rPr>
        <w:t>Covenants and Agreements as Independent Agreements</w:t>
      </w:r>
      <w:r>
        <w:rPr>
          <w:rFonts w:ascii="Times New Roman;Times;Serif" w:hAnsi="Times New Roman;Times;Serif"/>
          <w:b w:val="false"/>
          <w:i w:val="false"/>
          <w:caps w:val="false"/>
          <w:smallCaps w:val="false"/>
          <w:sz w:val="20"/>
        </w:rPr>
        <w:t>. Each of the covenants and agreements that are set forth in this Agreement shall be construed as a covenant and agreement independent of any other provision of this Agreement. The existence of any claim or cause of action of the Participant against the Company, whether predicated on this Agreement or otherwise, shall not constitute a defense to the enforcement by the Company of the covenants and agreements that are set forth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together with the Plan supersede any and all other prior understandings and agreements, either oral or in writing, between the parties with respect to the subject matter hereof and constitute the sole and only agreements between the parties with respect to said subject matter. All prior negotiations and agreements between the parties with respect to the subject matter hereof are merged into this Agreement. Each party to this Agreement acknowledges that no representations, inducements, promises, or agreements, orally or otherwise, have been made by any party or by anyone acting on behalf of any party, which are not embodied in this Agreement or the Plan and that any agreement, statement, or promise that is not contained in this Agreement or the Plan shall not be valid or binding or of any force or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 </w:t>
      </w:r>
      <w:r>
        <w:rPr>
          <w:rFonts w:ascii="Times New Roman;Times;Serif" w:hAnsi="Times New Roman;Times;Serif"/>
          <w:b w:val="false"/>
          <w:i w:val="false"/>
          <w:caps w:val="false"/>
          <w:smallCaps w:val="false"/>
          <w:sz w:val="20"/>
          <w:u w:val="single"/>
        </w:rPr>
        <w:t>Parties Bound</w:t>
      </w:r>
      <w:r>
        <w:rPr>
          <w:rFonts w:ascii="Times New Roman;Times;Serif" w:hAnsi="Times New Roman;Times;Serif"/>
          <w:b w:val="false"/>
          <w:i w:val="false"/>
          <w:caps w:val="false"/>
          <w:smallCaps w:val="false"/>
          <w:sz w:val="20"/>
        </w:rPr>
        <w:t>. The terms, provisions, and agreements that are contained in this Agreement shall apply to, be binding upon, and inure to the benefit of the parties and their respective heirs, executors, administrators, legal representatives, and permitted successors and assigns, subject to the limitation on assignment expressly set forth herein. No person shall be permitted to acquire any Awarded Shares without first executing and delivering an agreement in the form satisfactory to the Company making such person or entity subject to the restrictions on transfer contained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Modification</w:t>
      </w:r>
      <w:r>
        <w:rPr>
          <w:rFonts w:ascii="Times New Roman;Times;Serif" w:hAnsi="Times New Roman;Times;Serif"/>
          <w:b w:val="false"/>
          <w:i w:val="false"/>
          <w:caps w:val="false"/>
          <w:smallCaps w:val="false"/>
          <w:sz w:val="20"/>
        </w:rPr>
        <w:t>. No change or modification of this Agreement shall be valid or binding upon the parties unless the change or modification is in writing and signed by the parties hereto. Notwithstanding the preceding sentence, the Company may amend the Plan to the extent permitted by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that are used in this Agreement are used for reference and convenience purposes only and do not constitute substantive matters to be considered in construing the terms and provisions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Gender and Number</w:t>
      </w:r>
      <w:r>
        <w:rPr>
          <w:rFonts w:ascii="Times New Roman;Times;Serif" w:hAnsi="Times New Roman;Times;Serif"/>
          <w:b w:val="false"/>
          <w:i w:val="false"/>
          <w:caps w:val="false"/>
          <w:smallCaps w:val="false"/>
          <w:sz w:val="20"/>
        </w:rPr>
        <w:t>. Words of any gender used in this Agreement shall be held and construed to include any other gender, and words in the singular number shall be held to include the plural, and vice versa, unless the context requires otherwise.</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val="false"/>
          <w:i w:val="false"/>
          <w:caps w:val="false"/>
          <w:smallCaps w:val="false"/>
          <w:sz w:val="20"/>
          <w:u w:val="single"/>
        </w:rPr>
        <w:t>Notice</w:t>
      </w:r>
      <w:r>
        <w:rPr>
          <w:rFonts w:ascii="Times New Roman;Times;Serif" w:hAnsi="Times New Roman;Times;Serif"/>
          <w:b w:val="false"/>
          <w:i w:val="false"/>
          <w:caps w:val="false"/>
          <w:smallCaps w:val="false"/>
          <w:sz w:val="20"/>
        </w:rPr>
        <w:t>. Any notice required or permitted to be delivered hereunder shall be deemed to be delivered only when actually received by the Company or by the Participant, as the case may be, at the addresses set forth below, or at such other addresses as they have theretofore specified by written notice delivered in accordance 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to the Company shall be addressed and delivered as follows: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Wrap Technologies, Inc.</w:t>
      </w:r>
    </w:p>
    <w:p>
      <w:pPr>
        <w:pStyle w:val="TextBody"/>
        <w:bidi w:val="0"/>
        <w:spacing w:before="0" w:after="0"/>
        <w:ind w:left="21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1817 West 4th Street</w:t>
      </w:r>
    </w:p>
    <w:p>
      <w:pPr>
        <w:pStyle w:val="TextBody"/>
        <w:bidi w:val="0"/>
        <w:spacing w:before="0" w:after="0"/>
        <w:ind w:left="21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Tempe, AZ 85281</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Attn: </w:t>
      </w:r>
      <w:r>
        <w:rPr>
          <w:rFonts w:ascii="Times New Roman;Times;Serif" w:hAnsi="Times New Roman;Times;Serif"/>
          <w:b w:val="false"/>
          <w:i w:val="false"/>
          <w:caps w:val="false"/>
          <w:smallCaps w:val="false"/>
          <w:sz w:val="20"/>
          <w:u w:val="single"/>
        </w:rPr>
        <w:t>Board of Directors</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Notice to the Participant shall be addressed and delivered to the most recent address in the Company’s records.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 </w:t>
      </w:r>
      <w:r>
        <w:rPr>
          <w:rFonts w:ascii="Times New Roman;Times;Serif" w:hAnsi="Times New Roman;Times;Serif"/>
          <w:b w:val="false"/>
          <w:i w:val="false"/>
          <w:caps w:val="false"/>
          <w:smallCaps w:val="false"/>
          <w:sz w:val="20"/>
          <w:u w:val="single"/>
        </w:rPr>
        <w:t>Tax Requirements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The Participant is hereby advised to consult immediately with his own tax advisor regarding the tax consequences of this Agreement, the method and timing for filing an election to include this Agreement in income under Section 83(b) of the Internal Revenue Code of 1986, as amended (the “</w:t>
      </w:r>
      <w:r>
        <w:rPr>
          <w:rFonts w:ascii="Times New Roman;Times;Serif" w:hAnsi="Times New Roman;Times;Serif"/>
          <w:b/>
          <w:i/>
          <w:caps w:val="false"/>
          <w:smallCaps w:val="false"/>
          <w:sz w:val="20"/>
        </w:rPr>
        <w:t>Code</w:t>
      </w:r>
      <w:r>
        <w:rPr>
          <w:rFonts w:ascii="Times New Roman;Times;Serif" w:hAnsi="Times New Roman;Times;Serif"/>
          <w:b/>
          <w:i w:val="false"/>
          <w:caps w:val="false"/>
          <w:smallCaps w:val="false"/>
          <w:sz w:val="20"/>
        </w:rPr>
        <w:t>”), and the tax consequences of such election. By execution of this Agreement, the Participant agrees that if the Participant makes such an election, the Participant shall provide the Company with written notice of such election in accordance with the regulations promulgated under Section 83(b) of the Code.</w:t>
      </w:r>
      <w:r>
        <w:rPr>
          <w:rFonts w:ascii="Times New Roman;Times;Serif" w:hAnsi="Times New Roman;Times;Serif"/>
          <w:b w:val="false"/>
          <w:i w:val="false"/>
          <w:caps w:val="false"/>
          <w:smallCaps w:val="false"/>
          <w:sz w:val="20"/>
        </w:rPr>
        <w:t xml:space="preserve"> The Company or, if applicable, any Subsidiary (for purposes of this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the term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shall be deemed to include any applicable Subsidiary), shall have the right to deduct from all amounts paid in cash or other form in connection with the Plan, any federal, state, local, or other taxes required by law to be withheld in connection with this Award. The Company may, in its sole discretion, also require the Participant receiving shares of Common Stock issued under the Plan to pay the Company the amount of any taxes that the Company is required to withhold in connection with the Participant’s income arising with respect to this Award. Such payments shall be required to be made when requested by the Company and may be required to be made prior to the delivery of any certificate representing shares of Common Stock. Such payment may be made by (a) the delivery of cash to the Company in an amount that equals or exceeds (to avoid the issuance of fractional shares under (c) below) the required tax withholding obligations of the Company; (b) if the Company, in its sole discretion, so consents in writing, the actual delivery by the Participant to the Company of shares of Common Stock, other than (i) Restricted Stock, or (ii) Common Stock that the Participant has acquired from the Company within six (6) months prior thereto, which shares so delivered have an aggregate Fair Market Value that equals or exceeds (to avoid the issuance of fractional shares under (c) below) the required tax withholding payment; (c) if the Company, in its sole discretion, so consents in writing, the Company’s withholding of a number of shares to be delivered upon the vesting of this Award, which shares so withheld have an aggregate Fair Market Value that equals (but does not exceed) the required tax withholding payment; or (d) any combination of (a), (b), or (c). The Company may, in its sole discretion, withhold any such taxes from any other cash remuneration otherwise paid by the Company to the Participant.</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WITNESS WHEREOF, the Company has caused this Agreement to be executed by its duly authorized officer, and the Participant, to evidence his consent and approval of all the terms hereof, has duly executed this Agreement, as of the date specified in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hereof.</w:t>
      </w:r>
    </w:p>
    <w:p>
      <w:pPr>
        <w:pStyle w:val="TextBody"/>
        <w:bidi w:val="0"/>
        <w:spacing w:before="0" w:after="0"/>
        <w:jc w:val="center"/>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60"/>
        <w:gridCol w:w="545"/>
        <w:gridCol w:w="3995"/>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40"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WRAP TECHNOLOGIES, INC.</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both"/>
              <w:rPr>
                <w:caps w:val="false"/>
                <w:smallCaps w:val="false"/>
              </w:rPr>
            </w:pPr>
            <w:r>
              <w:rPr>
                <w:caps w:val="false"/>
                <w:smallCaps w:val="false"/>
              </w:rPr>
              <w:t> </w:t>
            </w:r>
          </w:p>
        </w:tc>
        <w:tc>
          <w:tcPr>
            <w:tcW w:w="39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99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Scot Cohen</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99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 Cohen</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99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Chairman and Chief Executive Officer</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both"/>
              <w:rPr>
                <w:caps w:val="false"/>
                <w:smallCaps w:val="false"/>
              </w:rPr>
            </w:pPr>
            <w:r>
              <w:rPr>
                <w:caps w:val="false"/>
                <w:smallCaps w:val="false"/>
              </w:rPr>
              <w:t> </w:t>
            </w:r>
          </w:p>
        </w:tc>
        <w:tc>
          <w:tcPr>
            <w:tcW w:w="39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4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9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4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Jared Novick</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4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9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99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Jared Novick</w:t>
            </w:r>
          </w:p>
        </w:tc>
      </w:tr>
    </w:tbl>
    <w:p>
      <w:pPr>
        <w:pStyle w:val="TextBody"/>
        <w:bidi w:val="0"/>
        <w:spacing w:before="0" w:after="0"/>
        <w:jc w:val="center"/>
        <w:rPr>
          <w:caps w:val="false"/>
          <w:smallCaps w:val="false"/>
        </w:rPr>
      </w:pPr>
      <w:r>
        <w:rPr>
          <w:caps w:val="false"/>
          <w:smallCaps w:val="false"/>
        </w:rPr>
        <w:t> </w:t>
      </w:r>
    </w:p>
    <w:tbl>
      <w:tblPr>
        <w:tblW w:w="170" w:type="dxa"/>
        <w:jc w:val="center"/>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41</Pages>
  <Words>31726</Words>
  <Characters>173134</Characters>
  <CharactersWithSpaces>204961</CharactersWithSpaces>
  <Paragraphs>1186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