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SHULMAN JOHN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WRAP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3350 VIRGINIA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WRAP TECHNOLOGIES, INC.</w:t>
              </w:r>
            </w:hyperlink>
            <w:r>
              <w:rPr/>
              <w:t xml:space="preserve"> [ </w:t>
            </w:r>
            <w:r>
              <w:rPr>
                <w:rFonts w:ascii="Times;serif" w:hAnsi="Times;serif"/>
                <w:color w:val="0000FF"/>
                <w:sz w:val="24"/>
                <w:shd w:fill="FFFFFF" w:val="clear"/>
              </w:rPr>
              <w:t>WRAP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6"/>
        <w:gridCol w:w="943"/>
        <w:gridCol w:w="810"/>
        <w:gridCol w:w="626"/>
        <w:gridCol w:w="346"/>
        <w:gridCol w:w="926"/>
        <w:gridCol w:w="424"/>
        <w:gridCol w:w="596"/>
        <w:gridCol w:w="1131"/>
        <w:gridCol w:w="981"/>
        <w:gridCol w:w="145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5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21,154</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220,191</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Juggernaut Management, LLC</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On the date of grant, 13,750 of the RSUs vested and the remainder of the RSUs vest ratably in eight monthly tranches.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are directly owned by Juggernaut Management, LLC ("Juggernaut") and may be deemed to be beneficially owned by the Reporting Person as Manager of Juggernaut. The Reporting Person disclaims beneficial ownership of the reported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Shulman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8886" TargetMode="External"/><Relationship Id="rId5" Type="http://schemas.openxmlformats.org/officeDocument/2006/relationships/hyperlink" Target="http://www.sec.gov/cgi-bin/browse-edgar?action=getcompany&amp;CIK=00017029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648</Words>
  <Characters>3519</Characters>
  <CharactersWithSpaces>4095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