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40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9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E_edei--EntityFileNumber_c20260816"/>
            <w:bookmarkEnd w:id="6"/>
            <w:r>
              <w:rPr>
                <w:rFonts w:ascii="Times New Roman;Times;Serif" w:hAnsi="Times New Roman;Times;Serif"/>
                <w:b w:val="false"/>
                <w:i w:val="false"/>
                <w:caps w:val="false"/>
                <w:smallCaps w:val="false"/>
                <w:sz w:val="20"/>
              </w:rPr>
              <w:t>001-38750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9_edei--EntityTaxIdentificationNum"/>
            <w:bookmarkEnd w:id="7"/>
            <w:r>
              <w:rPr>
                <w:rFonts w:ascii="Times New Roman;Times;Serif" w:hAnsi="Times New Roman;Times;Serif"/>
                <w:b w:val="false"/>
                <w:i w:val="false"/>
                <w:caps w:val="false"/>
                <w:smallCaps w:val="false"/>
                <w:sz w:val="20"/>
              </w:rPr>
              <w:t>98-0551945</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B_edei--EntityAddressAddressLine1_"/>
      <w:bookmarkEnd w:id="8"/>
      <w:r>
        <w:rPr>
          <w:rFonts w:ascii="Times New Roman;Times;Serif" w:hAnsi="Times New Roman;Times;Serif"/>
          <w:b w:val="false"/>
          <w:i w:val="false"/>
          <w:caps w:val="false"/>
          <w:smallCaps w:val="false"/>
          <w:sz w:val="20"/>
          <w:u w:val="single"/>
        </w:rPr>
        <w:t>3350 Virginia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9" w:name="xdx_909_edei--EntityAddressCityOrTown_c2"/>
      <w:bookmarkEnd w:id="9"/>
      <w:r>
        <w:rPr>
          <w:rFonts w:ascii="Times New Roman;Times;Serif" w:hAnsi="Times New Roman;Times;Serif"/>
          <w:b w:val="false"/>
          <w:i w:val="false"/>
          <w:caps w:val="false"/>
          <w:smallCaps w:val="false"/>
          <w:sz w:val="20"/>
          <w:u w:val="single"/>
        </w:rPr>
        <w:t xml:space="preserve">Miami, </w:t>
      </w:r>
      <w:bookmarkStart w:id="10" w:name="xdx_901_edei--EntityAddressStateOrProvin"/>
      <w:bookmarkEnd w:id="10"/>
      <w:r>
        <w:rPr>
          <w:rFonts w:ascii="Times New Roman;Times;Serif" w:hAnsi="Times New Roman;Times;Serif"/>
          <w:b w:val="false"/>
          <w:i w:val="false"/>
          <w:caps w:val="false"/>
          <w:smallCaps w:val="false"/>
          <w:sz w:val="20"/>
          <w:u w:val="single"/>
        </w:rPr>
        <w:t xml:space="preserve">Florida </w:t>
      </w:r>
      <w:bookmarkStart w:id="11" w:name="xdx_904_edei--EntityAddressPostalZipCode"/>
      <w:bookmarkEnd w:id="11"/>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2" w:name="xdx_903_edei--CityAreaCode_c20260816__20"/>
      <w:bookmarkEnd w:id="12"/>
      <w:r>
        <w:rPr>
          <w:rFonts w:ascii="Times New Roman;Times;Serif" w:hAnsi="Times New Roman;Times;Serif"/>
          <w:b w:val="false"/>
          <w:i w:val="false"/>
          <w:caps w:val="false"/>
          <w:smallCaps w:val="false"/>
          <w:sz w:val="20"/>
          <w:u w:val="single"/>
        </w:rPr>
        <w:t xml:space="preserve">(800) </w:t>
      </w:r>
      <w:bookmarkStart w:id="13" w:name="xdx_90C_edei--LocalPhoneNumber_c20260816"/>
      <w:bookmarkEnd w:id="13"/>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0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8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816"/>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816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(17 CFR 230.405) or Rule 12b-2 of the Securities Exchange Act of 1934 (17 CFR 240.12b-2)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2026, Wrap Technologies, Inc. (the “Company”) entered into a securities purchase agreement (the “Purchase Agreement”) with a certain institutional investor and an existing investor (the “Investors”), pursuant to which the Company agreed to issue and sell in a registered direct offering (the “Offering”) 5,771,519 shares (the “Shares”) of the Company’s common stock, par value $0.0001 per share, and Pre-Funded Warrants (the “Pre-Funded Warrants”) to purchase up to 2,800,090 shares of Common Stock (the “Pre-Funded Warrant Shares”) at a purchase price of $1.40 per share or $1.3999 per Pre-Funded Warrant. The gross proceeds to the Company from the Offering are expected to be approximately $12.0 million before deducting offering expenses payable by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initial exercise price per share of $0.0001, subject to certain adjustments. The Pre-Funded Warrants may be exercised at any time until exercised in full, except that a holder (together with its affiliates) will not be entitled to exercise any portion of any Pre-Funded Warrant, which, upon giving effect to such exercise would cause the aggregate number of shares of the Company’s Common Stock beneficially owned by the holder (together with its affiliates) to exceed 4.99% (or, upon election of the holder, 9.99%) of the number of shares of Common Stock outstanding immediately prior to or after giving effect to the exercise, subject to such holder’s rights under the Pre-Funded Warrants to increase or decrease such percentage to another percentage not in excess of 9.99% of the number of shares of Common Stock outstanding immediately after giving effect to the exercise, as such percentage ownership is determined in accordance with the terms of the Pre-Funded Warrants upon at least 61 days’ prior notice from such holder to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offered by the Company pursuant to an effective shelf registration statement on Form S-3 (File No. 333-291707) which was filed with the Securities and Exchange Commission (the “SEC”) on November 21, 2025, and declared effective by the SEC on December 18, 2025, and related base prospectus and a prospectus supplement dated August 16, 2026, thereunder.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expected to close on August 18, 2026, subject to the satisfaction of customary closing conditions. The Company currently plans to use the net proceeds from the Offering for working capital and general corporate purposes, including for any future planned business expansion.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representations, warranties and covenants by the Company and the Investors.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 Additionally, the Company has agreed to provide the Investors with customary indemnification under the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placement agency agreement (the “Placement Agency Agreement”), dated as of August 16, 2026, with Maxim Group LLC (the “Placement Agent”), pursuant to which the Placement Agent agreed to serve as the placement agent for the Company in connection with the Offering. Pursuant to the terms of the Placement Agency Agreement, the Company agreed to pay the Placement Agent a cash fee equal to 7.0% of the gross proceeds received in the Offering. However, a reduced cash fee of 3.5% will be payable on the aggregate gross proceeds received for the securities sold to certain investors. The Company also agreed to reimburse the Placement Agent for out-of-pocket expenses, including legal expenses, incurred by it in connection with the Offering of $75,000.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Agency Agreement contains customary representations, warranties and covenants by the Company, customary conditions to closing, indemnification obligations of the Company, including for liabilities under the Securities Act of 1933, as amended, other obligations of the parties and termination provisions. The representations, warranties, and covenants contained in the Placement Agency Agreement were made only for purposes of such agreement and as of specific dates, were solely for the benefit of the parties to such agreement, and may be subject to limitations agreed upon by such parties.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the Pre-Funded Warrants and Placement Agency Agreement is not complete and is qualified in its entirety by reference to the full text of the form of Purchase Agreement, form of Pre-Funded Warrant and Placement Agency Agreement, copies of which are filed as Exhibits 10.1, 4.1, and 10.2, respectively, to this Current Report on Form 8-K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and consent of Haynes and Boone, LLP relating to the validity of the Shares and Pre-Funded Warrant Shares is filed as Exhibit 5.1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issued a press release regarding the Offering described above under Item 1.01 of this Current Report on Form 8-K. A copy of the press release is attached hereto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4"/>
        </w:rPr>
        <w:t xml:space="preserve"> </w:t>
      </w:r>
      <w:r>
        <w:rPr>
          <w:rFonts w:ascii="Times New Roman;Times;Serif" w:hAnsi="Times New Roman;Times;Serif"/>
          <w:b/>
          <w:i w:val="false"/>
          <w:caps w:val="false"/>
          <w:smallCaps w:val="false"/>
          <w:sz w:val="20"/>
        </w:rPr>
        <w:t>Financial Statements and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sz w:val="20"/>
                </w:rPr>
                <w:t>Form of Pre-Funded Warrant</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sz w:val="20"/>
                </w:rPr>
                <w:t>Opinion of Haynes and Boone, LLP</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sz w:val="20"/>
                </w:rPr>
                <w:t>Form of Securities Purchase Agreement, dated August 16, 2026, by and among the Company and the investors signatory thereto</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sz w:val="20"/>
                </w:rPr>
                <w:t>Placement Agency Agreement, dated August 16, 2026, by and between the Company and Maxim Group LLC</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sz w:val="20"/>
                </w:rPr>
                <w:t>Consent of Haynes and Boone, LLP (included in Exhibit 5.1)</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sz w:val="20"/>
                </w:rPr>
                <w:t>Press Release, dated August 17, 2026</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9735" w:type="dxa"/>
        <w:jc w:val="left"/>
        <w:tblInd w:w="0" w:type="dxa"/>
        <w:tblLayout w:type="fixed"/>
        <w:tblCellMar>
          <w:top w:w="0" w:type="dxa"/>
          <w:left w:w="0" w:type="dxa"/>
          <w:bottom w:w="0" w:type="dxa"/>
          <w:right w:w="0" w:type="dxa"/>
        </w:tblCellMar>
      </w:tblPr>
      <w:tblGrid>
        <w:gridCol w:w="1865"/>
        <w:gridCol w:w="545"/>
        <w:gridCol w:w="732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7870" w:type="dxa"/>
            <w:gridSpan w:val="2"/>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WRAP TECHNOLOGIES,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7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Scot Cohen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3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 w:name="ex4-1.htm"/>
      <w:bookmarkStart w:id="23" w:name="ksex4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WRAP TECHNOLOGIES, INC.</w:t>
      </w:r>
    </w:p>
    <w:p>
      <w:pPr>
        <w:pStyle w:val="TextBody"/>
        <w:bidi w:val="0"/>
        <w:spacing w:before="0" w:after="0"/>
        <w:ind w:left="0" w:right="0" w:hanging="0"/>
        <w:jc w:val="center"/>
        <w:rPr>
          <w:caps/>
        </w:rPr>
      </w:pPr>
      <w:r>
        <w:rPr>
          <w:caps/>
        </w:rPr>
        <w:t> </w:t>
      </w:r>
    </w:p>
    <w:tbl>
      <w:tblPr>
        <w:tblW w:w="5365" w:type="dxa"/>
        <w:jc w:val="left"/>
        <w:tblInd w:w="0" w:type="dxa"/>
        <w:tblLayout w:type="fixed"/>
        <w:tblCellMar>
          <w:top w:w="0" w:type="dxa"/>
          <w:left w:w="0" w:type="dxa"/>
          <w:bottom w:w="0" w:type="dxa"/>
          <w:right w:w="0" w:type="dxa"/>
        </w:tblCellMar>
      </w:tblPr>
      <w:tblGrid>
        <w:gridCol w:w="2210"/>
        <w:gridCol w:w="3155"/>
      </w:tblGrid>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[_______], 2026</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Wrap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August [____],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125"/>
        <w:gridCol w:w="9785"/>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(A)</w:t>
            </w:r>
          </w:p>
        </w:tc>
        <w:tc>
          <w:tcPr>
            <w:tcW w:w="125" w:type="dxa"/>
            <w:tcBorders/>
            <w:vAlign w:val="center"/>
          </w:tcPr>
          <w:p>
            <w:pPr>
              <w:pStyle w:val="TableContents"/>
              <w:bidi w:val="0"/>
              <w:spacing w:before="0" w:after="283"/>
              <w:jc w:val="left"/>
              <w:rPr>
                <w:sz w:val="20"/>
              </w:rPr>
            </w:pPr>
            <w:r>
              <w:rPr>
                <w:sz w:val="20"/>
              </w:rPr>
              <w:t>=</w:t>
            </w:r>
          </w:p>
        </w:tc>
        <w:tc>
          <w:tcPr>
            <w:tcW w:w="9785" w:type="dxa"/>
            <w:tcBorders/>
            <w:vAlign w:val="center"/>
          </w:tcPr>
          <w:p>
            <w:pPr>
              <w:pStyle w:val="TableContents"/>
              <w:bidi w:val="0"/>
              <w:spacing w:before="0" w:after="283"/>
              <w:jc w:val="both"/>
              <w:rPr>
                <w:sz w:val="20"/>
              </w:rPr>
            </w:pPr>
            <w:r>
              <w:rPr>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sz w:val="20"/>
                <w:u w:val="single"/>
              </w:rPr>
              <w:t>Bloomberg</w:t>
            </w:r>
            <w:r>
              <w:rPr>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both executed and delivered pursuant to Section 2(a) hereof after two (2) hours following the close of “regular trading hours” on such Trading Day;</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(B)</w:t>
            </w:r>
          </w:p>
        </w:tc>
        <w:tc>
          <w:tcPr>
            <w:tcW w:w="125" w:type="dxa"/>
            <w:tcBorders/>
            <w:vAlign w:val="center"/>
          </w:tcPr>
          <w:p>
            <w:pPr>
              <w:pStyle w:val="TableContents"/>
              <w:bidi w:val="0"/>
              <w:spacing w:before="0" w:after="283"/>
              <w:jc w:val="left"/>
              <w:rPr>
                <w:sz w:val="20"/>
              </w:rPr>
            </w:pPr>
            <w:r>
              <w:rPr>
                <w:sz w:val="20"/>
              </w:rPr>
              <w:t>=</w:t>
            </w:r>
          </w:p>
        </w:tc>
        <w:tc>
          <w:tcPr>
            <w:tcW w:w="9785" w:type="dxa"/>
            <w:tcBorders/>
            <w:vAlign w:val="center"/>
          </w:tcPr>
          <w:p>
            <w:pPr>
              <w:pStyle w:val="TableContents"/>
              <w:bidi w:val="0"/>
              <w:spacing w:before="0" w:after="283"/>
              <w:jc w:val="both"/>
              <w:rPr>
                <w:sz w:val="20"/>
              </w:rPr>
            </w:pPr>
            <w:r>
              <w:rPr>
                <w:sz w:val="20"/>
              </w:rPr>
              <w:t xml:space="preserve">the Exercise Price of this Warrant, as adjusted hereunder; and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(X)</w:t>
            </w:r>
          </w:p>
        </w:tc>
        <w:tc>
          <w:tcPr>
            <w:tcW w:w="125" w:type="dxa"/>
            <w:tcBorders/>
            <w:vAlign w:val="center"/>
          </w:tcPr>
          <w:p>
            <w:pPr>
              <w:pStyle w:val="TableContents"/>
              <w:bidi w:val="0"/>
              <w:spacing w:before="0" w:after="283"/>
              <w:jc w:val="left"/>
              <w:rPr>
                <w:sz w:val="20"/>
              </w:rPr>
            </w:pPr>
            <w:r>
              <w:rPr>
                <w:sz w:val="20"/>
              </w:rPr>
              <w:t>=</w:t>
            </w:r>
          </w:p>
        </w:tc>
        <w:tc>
          <w:tcPr>
            <w:tcW w:w="9785" w:type="dxa"/>
            <w:tcBorders/>
            <w:vAlign w:val="center"/>
          </w:tcPr>
          <w:p>
            <w:pPr>
              <w:pStyle w:val="TableContents"/>
              <w:bidi w:val="0"/>
              <w:spacing w:before="0" w:after="283"/>
              <w:jc w:val="both"/>
              <w:rPr>
                <w:sz w:val="20"/>
              </w:rPr>
            </w:pPr>
            <w:r>
              <w:rPr>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216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For avoidance of doubt, the Holder shall not be required to surrender this Warrant certificate upon a partial exercise of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160" w:right="0" w:hanging="1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Common Stock would or could be aggregated with the Holder’s for purposes of Section 13(d)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three (3) Trading Days confirm orally and in writing to the Holder the number of shares of Common Stock then outstanding. In any case, the number of outstanding Common Stock shall be determined after giving effect to the conversion or exercise of securities of the Company, including this Warrant, by the Holder or its Affiliates or Attribution Parties since the date as of which such number of outstanding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the shares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If the Company receives an Exercise Notice from the Holder at a time when the actual number of outstanding shares of Common Stock is less than the Reported Outstanding Share Number, the Company shall notify the Holder in writing of the number of shares of Common Stock then outstanding and, to the extent that such Exercise Notice would otherwise cause the beneficial ownership of Holder together with the Attribution Parties, as determined pursuant to this Section 2(e), to exceed the Beneficial Ownership Limitation, the Holder shall then notify the Company of a reduced number of Warrant Shares to be purchased pursuant to such Exercise Notice (such notice, the “Reduction Notice”). Such issuance shall not be deemed to have occurred until the Holder provides the Reduction Notice (or a notice that no reduction is needed) to the Company. In the event that the issuance of shares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provided, however, that to the extent that the Holder’s right to participate in any such Fundamental Transaction Rights would result in the Holder and its Attribution Parties, collectively, beneficially owning in excess of the Beneficial Ownership Limitation of the Common Stock that would be issued and outstanding following receipt of such Fundamental Transaction Rights (such excess amount of Common Shares, the “Excess Fundamental Transaction Rights”),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Stock in excess of the Beneficial Ownership Limitation and (2) the Holder so certifies in writing to the Company and specifies the number of shares of Common Stock it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Expense Reimbursement.</w:t>
      </w:r>
      <w:r>
        <w:rPr>
          <w:rFonts w:ascii="Times New Roman;Times;Serif" w:hAnsi="Times New Roman;Times;Serif"/>
          <w:b w:val="false"/>
          <w:i w:val="false"/>
          <w:caps w:val="false"/>
          <w:smallCaps w:val="false"/>
          <w:sz w:val="20"/>
        </w:rPr>
        <w:t xml:space="preserve"> The Holder shall in no way be required the pay, or to reimburse the Company for, any fees or expenses of the Company’s transfer agent in connection with the issuance or holding or sale of the Common Stock, Warrants and/or Warrant Shares. The Company shall solely be responsible for any and all such fees and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634"/>
        <w:gridCol w:w="2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50"/>
        <w:gridCol w:w="255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To:</w:t>
            </w:r>
          </w:p>
        </w:tc>
        <w:tc>
          <w:tcPr>
            <w:tcW w:w="255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Wrap Technologies,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4655"/>
        <w:gridCol w:w="1100"/>
      </w:tblGrid>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Signature:_____________________________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Address:______________________________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4" w:name="ex5-1.htm"/>
      <w:bookmarkStart w:id="25" w:name="ksex5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4515"/>
        <w:gridCol w:w="990"/>
      </w:tblGrid>
      <w:tr>
        <w:trPr/>
        <w:tc>
          <w:tcPr>
            <w:tcW w:w="4515" w:type="dxa"/>
            <w:tcBorders/>
            <w:vAlign w:val="center"/>
          </w:tcPr>
          <w:p>
            <w:pPr>
              <w:pStyle w:val="TableContents"/>
              <w:bidi w:val="0"/>
              <w:spacing w:before="0" w:after="283"/>
              <w:jc w:val="left"/>
              <w:rPr/>
            </w:pPr>
            <w:r>
              <w:rPr/>
              <w:drawing>
                <wp:inline distT="0" distB="0" distL="0" distR="0">
                  <wp:extent cx="28575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247650"/>
                          </a:xfrm>
                          <a:prstGeom prst="rect">
                            <a:avLst/>
                          </a:prstGeom>
                        </pic:spPr>
                      </pic:pic>
                    </a:graphicData>
                  </a:graphic>
                </wp:inline>
              </w:drawing>
            </w:r>
          </w:p>
        </w:tc>
        <w:tc>
          <w:tcPr>
            <w:tcW w:w="990" w:type="dxa"/>
            <w:tcBorders/>
            <w:vAlign w:val="center"/>
          </w:tcPr>
          <w:p>
            <w:pPr>
              <w:pStyle w:val="TableContents"/>
              <w:bidi w:val="0"/>
              <w:spacing w:before="0" w:after="283"/>
              <w:jc w:val="right"/>
              <w:rPr/>
            </w:pPr>
            <w:r>
              <w:rPr/>
              <w:drawing>
                <wp:inline distT="0" distB="0" distL="0" distR="0">
                  <wp:extent cx="61912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 cy="52387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 Main Hwy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 33133</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20"/>
        <w:gridCol w:w="540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Wrap Technologies, Inc.</w:t>
            </w:r>
          </w:p>
        </w:tc>
      </w:tr>
      <w:tr>
        <w:trPr/>
        <w:tc>
          <w:tcPr>
            <w:tcW w:w="32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on Form S-3, Registration No. 333-291707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Wrap Technologies, Inc., a Delaware corporation (the “Company”), in connection with the preparation and filing with the Securities and Exchange Commission (the “Commission”) on the date hereof, pursuant to Rule 424(b) under the Securities Act of 1933, as amended (the “Act”) of the Company’s prospectus supplement, dated August 16, 2026 (the “Prospectus Supplement”), forming part of the registration statement on Form S-3 (Registration No. 333-291707), initially filed by the Company with the Commission on November 21, 2025, as thereafter amended or supplemented, declared effective on December 18, 2025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acted as counsel to the Company in connection with an offering of (i) 5,771,519 shares (the “Shares”) of the Company’s common stock, par value $0.0001 per share (the “Common Stock”) and (ii) 2,800,090 registered pre-funded warrants (the “Pre-Funded Warrants”) to purchase up to an aggregate of 2,800,090 shares of Common Stock (the “Pre-Funded Warrant Shares”) issued and sold under that certain Securities Purchase Agreement executed by the Company and the purchasers identified on the signature pages thereto on August 16, 2026 (the “Purchase Agreement”). The Prospectus Supplement relates to the Shares, the Pre-Funded Warrants and the Pre-Funded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the originals, or photostatic or certified copies, of (i) the Amended and Restated Certificate of Incorporation and Amended and Restated Bylaws of the Company, each as amended and/or restated as of the date hereof, (ii) certain resolutions of the Board of Directors of the Company (the “Board”) related to the filing of the Prospectus Supplement, the authorization and issuance of the Shares, the Pre-Funded Warrants, the Pre-Funded Warrant Shares, and related matters, (iii) the Registration Statement and all exhibits thereto, (iv) the Prospectus Supplement and the base prospectus, dated December 18, 2025, included in the Registration Statement (the “Base Prospectus” and together with the Prospectus Supplement, the “Prospectus”), (v) the Purchase Agreement, (vi) the Pre-Funded Warrants, (vii) the specimen Common Stock certificate, (viii) a certificate executed by an officer of the Company, dated as of the date hereof, and (ix) such other records, documents and instruments as we deemed relevant and necessary for purposes of the opinion stated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such certificates of officers of the Company and of public officials and statements and information furnished by officers of the Company with respect to the accuracy of material factual matters contained therein which were not independently established by us. In such examination we have assumed the genuineness of all signatures, the authenticity of all documents submitted to us as originals, the conformity to original documents of all documents submitted to us as photostatic or certified copies, and the authenticity of the originals of such copies.</w:t>
      </w:r>
    </w:p>
    <w:p>
      <w:pPr>
        <w:pStyle w:val="TextBody"/>
        <w:bidi w:val="0"/>
        <w:spacing w:before="0" w:after="0"/>
        <w:jc w:val="center"/>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05"/>
        <w:gridCol w:w="60"/>
        <w:gridCol w:w="5480"/>
      </w:tblGrid>
      <w:tr>
        <w:trPr/>
        <w:tc>
          <w:tcPr>
            <w:tcW w:w="2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Haynes and Boone, LLP</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 Rockefeller Plaza | 26th Floor | New York, NY 10112</w:t>
            </w:r>
          </w:p>
        </w:tc>
      </w:tr>
      <w:tr>
        <w:trPr/>
        <w:tc>
          <w:tcPr>
            <w:tcW w:w="240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 212.659.7300 | haynesboone.com</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4515"/>
        <w:gridCol w:w="990"/>
      </w:tblGrid>
      <w:tr>
        <w:trPr/>
        <w:tc>
          <w:tcPr>
            <w:tcW w:w="4515" w:type="dxa"/>
            <w:tcBorders/>
            <w:vAlign w:val="center"/>
          </w:tcPr>
          <w:p>
            <w:pPr>
              <w:pStyle w:val="TableContents"/>
              <w:bidi w:val="0"/>
              <w:spacing w:before="0" w:after="283"/>
              <w:jc w:val="left"/>
              <w:rPr/>
            </w:pPr>
            <w:r>
              <w:rPr/>
              <w:drawing>
                <wp:inline distT="0" distB="0" distL="0" distR="0">
                  <wp:extent cx="2857500"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247650"/>
                          </a:xfrm>
                          <a:prstGeom prst="rect">
                            <a:avLst/>
                          </a:prstGeom>
                        </pic:spPr>
                      </pic:pic>
                    </a:graphicData>
                  </a:graphic>
                </wp:inline>
              </w:drawing>
            </w:r>
          </w:p>
        </w:tc>
        <w:tc>
          <w:tcPr>
            <w:tcW w:w="990" w:type="dxa"/>
            <w:tcBorders/>
            <w:vAlign w:val="center"/>
          </w:tcPr>
          <w:p>
            <w:pPr>
              <w:pStyle w:val="TableContents"/>
              <w:bidi w:val="0"/>
              <w:spacing w:before="0" w:after="283"/>
              <w:jc w:val="right"/>
              <w:rPr/>
            </w:pPr>
            <w:r>
              <w:rPr/>
              <w:drawing>
                <wp:inline distT="0" distB="0" distL="0" distR="0">
                  <wp:extent cx="619125"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9125" cy="5238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considered, and express no opinion herein as to, the laws of any states or jurisdictions other than the General Corporation Law of the State of Delaware and the internal laws of the State of New York, as currently in effect (all of the foregoing being referred to as the “</w:t>
      </w:r>
      <w:r>
        <w:rPr>
          <w:rFonts w:ascii="Times New Roman;Times;Serif" w:hAnsi="Times New Roman;Times;Serif"/>
          <w:b/>
          <w:i/>
          <w:caps w:val="false"/>
          <w:smallCaps w:val="false"/>
          <w:sz w:val="20"/>
        </w:rPr>
        <w:t>Opined on Law</w:t>
      </w:r>
      <w:r>
        <w:rPr>
          <w:rFonts w:ascii="Times New Roman;Times;Serif" w:hAnsi="Times New Roman;Times;Serif"/>
          <w:b w:val="false"/>
          <w:i w:val="false"/>
          <w:caps w:val="false"/>
          <w:smallCaps w:val="false"/>
          <w:sz w:val="20"/>
        </w:rPr>
        <w:t>”). We do not express any opinion with respect to any other laws, or the laws of any other jurisdiction (including, without limitation, any laws of any other jurisdiction which might be referenced by the choice-of-law rules of the Opined on Law), other than the Opined on Law or as to the effect of any such other laws on the opinions herein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have been duly authorized and, when issued and delivered in accordance with the Purchase Agreement against payment in full of the consideration payable therefor as contemplated by the Purchase Agreement, will be validly issued, fully paid and non-assessable.</w:t>
            </w:r>
          </w:p>
        </w:tc>
      </w:tr>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c>
          <w:tcPr>
            <w:tcW w:w="1000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Pre-Funded Warrants have been issued and delivered in accordance with the Purchase Agreement against payment in full of the consideration payable therefor as determined by the Board or a duly authorized committee thereof and as contemplated by the Purchase Agreement, the Pre-Funded Warrants will constitute valid and legally binding obligations of the Company.</w:t>
            </w:r>
          </w:p>
        </w:tc>
      </w:tr>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c>
          <w:tcPr>
            <w:tcW w:w="1000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Pre-Funded Warrant Shares have been duly authorized, and as of the date hereof, if, as and when issued against payment in full of the consideration payable therefor in accordance with the terms of the Pre-Funded Warrants, the Pre-Funded Warrant Shares will be validly issued, fully paid and non-assessable.</w:t>
            </w:r>
          </w:p>
        </w:tc>
      </w:tr>
    </w:tbl>
    <w:p>
      <w:pPr>
        <w:pStyle w:val="TextBody"/>
        <w:bidi w:val="0"/>
        <w:spacing w:before="0" w:after="0"/>
        <w:ind w:left="148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qualifications, limitations and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opinions are subject to (i) the effect of any applicable bankruptcy, insolvency, reorganization, moratorium, rearrangement, liquidation, conservatorship or other similar laws now or hereafter in effect relating to or affecting the rights of creditors generally, (ii) provisions of applicable law pertaining to the voidability of preferential or fraudulent transfers and conveyances and (iii) the fact that the remedy of specific performance and injunctive and other forms of equitable relief may be subject to equitable defenses and to the discretion of the court before which any proceeding therefor may be brought.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opinions are subject to the effect of (i) general principles of equity, including (without limitation) concepts of materiality, reasonableness, good faith and fair dealing, general matters of public policy and other similar doctrines generally affecting the enforceability of agreements (regardless of whether considered in a proceeding in equity or at law) (ii) obligations of good faith and fair dealing under New York law, and (iii) other commonly-recognized statutory and judicial constraints on enforceability, including statutes of limitation, limitations on rights to indemnification that contravene law or public policy and the effectiveness of waivers of rights or benefits that cannot be effectively waived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5.1 to the Company’s Current Report on Form 8-K to be filed with the Commission. We further consent to the reference to our firm under the caption “Legal Matters” in the Prospectus constituting a part of the Registration Statement. In giving this consent, we are not admitting that we are within the category of persons whose consent is required under Section 7 of the Act or the rules and regulations of the Commission thereunder.</w:t>
      </w:r>
    </w:p>
    <w:p>
      <w:pPr>
        <w:pStyle w:val="TextBody"/>
        <w:bidi w:val="0"/>
        <w:spacing w:before="0" w:after="0"/>
        <w:jc w:val="center"/>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Haynes and Boone, LLP</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Haynes and Boone, LLP</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720"/>
        <w:jc w:val="center"/>
        <w:rPr>
          <w:caps/>
        </w:rPr>
      </w:pPr>
      <w:bookmarkStart w:id="26" w:name="ex10-1.htm"/>
      <w:bookmarkStart w:id="27" w:name="ksex101"/>
      <w:bookmarkEnd w:id="26"/>
      <w:bookmarkEnd w:id="27"/>
      <w:r>
        <w:rPr>
          <w:caps/>
        </w:rPr>
        <w:t> </w:t>
      </w:r>
      <w:r>
        <w:br w:type="page"/>
      </w:r>
    </w:p>
    <w:p>
      <w:pPr>
        <w:pStyle w:val="TextBody"/>
        <w:bidi w:val="0"/>
        <w:spacing w:before="0" w:after="0"/>
        <w:ind w:left="720" w:right="0" w:hanging="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i w:val="false"/>
          <w:caps w:val="false"/>
          <w:smallCaps w:val="false"/>
          <w:sz w:val="20"/>
        </w:rPr>
        <w:t>xhibit</w:t>
      </w:r>
      <w:r>
        <w:rPr>
          <w:rFonts w:ascii="Times New Roman;Times;Serif" w:hAnsi="Times New Roman;Times;Serif"/>
          <w:b/>
          <w:i w:val="false"/>
          <w:caps w:val="false"/>
          <w:smallCaps w:val="false"/>
          <w:sz w:val="20"/>
        </w:rPr>
        <w:t xml:space="preserve"> 10.1</w:t>
      </w:r>
    </w:p>
    <w:p>
      <w:pPr>
        <w:pStyle w:val="TextBody"/>
        <w:bidi w:val="0"/>
        <w:spacing w:before="0" w:after="0"/>
        <w:ind w:left="720" w:right="0" w:hanging="72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720" w:right="0" w:hanging="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16, 2026, between Wrap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 if this Agreement is signed on a day that is not a Trading Day or after 4:00 p.m. (New York City time) and before midnight (New York City time) on a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Haynes and Boone, LLP, with offices located at 30 Rockefeller Plaza, 26th Floor, New York, New York 10102.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EGS</w:t>
      </w:r>
      <w:r>
        <w:rPr>
          <w:rFonts w:ascii="Times New Roman;Times;Serif" w:hAnsi="Times New Roman;Times;Serif"/>
          <w:b w:val="false"/>
          <w:i w:val="false"/>
          <w:caps w:val="false"/>
          <w:smallCaps w:val="false"/>
          <w:sz w:val="20"/>
        </w:rPr>
        <w:t>” means Ellenoff Grossman &amp; Schole LLP, with offices located at 1345 Avenue of the Americas, New York, New York 10105-0302.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issuances, entry into any agreement to issue or announcement of the issuance or proposed issuance of any shares of Common Stock or Common Stock Equivalents at an offering price above $2.00 per share of Common Stock and/or Common Stock Equivalent.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xml:space="preserve">” means the Lock-Up Agreement, dated as of the date hereof, by and among the Company and the directors and officers,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$1.40,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Maxim Group LLC.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w:t>
      </w:r>
      <w:r>
        <w:rPr>
          <w:rFonts w:ascii="Times New Roman;Times;Serif" w:hAnsi="Times New Roman;Times;Serif"/>
          <w:b w:val="false"/>
          <w:i w:val="false"/>
          <w:caps w:val="false"/>
          <w:smallCaps w:val="false"/>
          <w:sz w:val="20"/>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means the shares of Common Stock issuable upon exercise of the Pre-Funded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base prospectus filed for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each Purchaser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with Commission File No. 333-291707 which registers the sale of the Shares, the Pre-Funded Warrants and the Pre-Funded Warrant Shares to the Purchasers, and includes any Rule 462(b)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Pre-Funded Warrants and the Pre-Funded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on Exhibit 21.1 to the Company’s Annual Report on Form 10-K for the year ended December 31, 2025,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Lock-Up Agreement, the Pre-Funded Warrants,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Colonial Stock Transfer, the current transfer agent of the Company,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Purchasers, severally and not jointly, agree to purchase, up to an aggregate of $12,000,252.60 of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at the election of the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settlement with the Company or its designee. The Company shall deliver to each Purchaser its respective Shares and/or a Pre-Funded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 take place remotely by electronic transfer of the Closing documentation. In the event that the Closing does not occur within three (3) Business Days after the Closing Date, the Company shall promptly (but not later than one (1) Business Day thereafter) return the previously wired amounts to each respective Purchaser by wire transfer of United States dollars in immediately available funds to the account specified by each Purchaser, and any book entries for the Securities shall be deemed cancelled. Each Purchaser’s Subscription Amount as set forth on the signature page hereto executed by such Purchaser shall be made available for DVP settlement with the Company or its designee. The Company shall deliver to each Purchaser its respective Securities,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the Shares to be issued hereunder to such Purchaser at the Closing (collectively, the “</w:t>
      </w:r>
      <w:r>
        <w:rPr>
          <w:rFonts w:ascii="Times New Roman;Times;Serif" w:hAnsi="Times New Roman;Times;Serif"/>
          <w:b w:val="false"/>
          <w:i w:val="false"/>
          <w:caps w:val="false"/>
          <w:smallCaps w:val="false"/>
          <w:sz w:val="20"/>
          <w:u w:val="single"/>
        </w:rPr>
        <w:t>Pre-Settlement Shares</w:t>
      </w:r>
      <w:r>
        <w:rPr>
          <w:rFonts w:ascii="Times New Roman;Times;Serif" w:hAnsi="Times New Roman;Times;Serif"/>
          <w:b w:val="false"/>
          <w:i w:val="false"/>
          <w:caps w:val="false"/>
          <w:smallCaps w:val="false"/>
          <w:sz w:val="20"/>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On or prior to the Closing Date (except as indicated below), the Company shall deliver or cause to be delivered to each Purchaser the following:</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Company Counsel, directed to the Placement Agent and the Purchasers, in a form reasonably acceptable to the Placement Agent and the Purchasers;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Section 2.1, the Company shall have provided each Purchaser with the Company’s wire instructions, on Company letterhead and executed by the Chief Executive Officer or Chief Financial Officer;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Section 2.1,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Shares equal to such Purchaser’s Subscription Amount divided by the Per Share Purchase Price, registered in the name of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each Purchaser of Pre-Funded Warrants pursuant to Section 2.1, a Pre-Funded Warrant registered in the name of such Purchaser to purchase up to a number of shares of Common Stock equal to the portion of such Purchaser’s Subscription Amount applicable to the Pre-Funded Warrant divided by the Per Share Purchase Price minus $0.0001, with an exercise price equal to $0.0001,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date hereof, the duly executed Lock-Up Agreements;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Prospectus and Prospectus Supplement (which may be delivered in accordance with Rule 172 under the Securities Act).</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“Delivery Versus Payment” settlement with the Company or its designee.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obligations of the Company hereunder in connection with the Closing are subject to the following conditions being met:</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after giving effect to the issuance of the Securities pursuant this Agreement, on the Closing Date, no fewer than 61,776,482 shares of Common Stock of the Company will have been issued and outstanding, and all such issued and outstanding shares of Common Stock shall have been issued prior to or contemporaneously with the issuance of the Securities to the Purchasers.]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the Company hereby makes the following representations and warranties to each Purchaser: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Exhibit 21.1 to the Company’s Annual Report on Form 10-K for the year ended December 31, 2025.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hereof to conduct its business purpose in all material respects as described in the SEC Reports and to own or lease its properties.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46"/>
        <w:gridCol w:w="9559"/>
      </w:tblGrid>
      <w:tr>
        <w:trPr/>
        <w:tc>
          <w:tcPr>
            <w:tcW w:w="646" w:type="dxa"/>
            <w:tcBorders/>
            <w:vAlign w:val="center"/>
          </w:tcPr>
          <w:p>
            <w:pPr>
              <w:pStyle w:val="TableContents"/>
              <w:bidi w:val="0"/>
              <w:spacing w:before="0" w:after="283"/>
              <w:jc w:val="both"/>
              <w:rPr/>
            </w:pPr>
            <w:r>
              <w:rPr>
                <w:position w:val="8"/>
                <w:sz w:val="19"/>
              </w:rPr>
              <w:t>1</w:t>
            </w:r>
            <w:r>
              <w:rPr/>
              <w:t xml:space="preserve"> </w:t>
            </w:r>
            <w:r>
              <w:rPr>
                <w:rFonts w:ascii="Times New Roman;Times;Serif" w:hAnsi="Times New Roman;Times;Serif"/>
                <w:sz w:val="20"/>
              </w:rPr>
              <w:t>NTD:</w:t>
            </w:r>
          </w:p>
        </w:tc>
        <w:tc>
          <w:tcPr>
            <w:tcW w:w="9559" w:type="dxa"/>
            <w:tcBorders/>
            <w:vAlign w:val="center"/>
          </w:tcPr>
          <w:p>
            <w:pPr>
              <w:pStyle w:val="TableContents"/>
              <w:bidi w:val="0"/>
              <w:spacing w:before="0" w:after="283"/>
              <w:jc w:val="both"/>
              <w:rPr/>
            </w:pPr>
            <w:r>
              <w:rPr/>
              <w:t>Citadel’s firm-wide allocation must be less than or equal to 7.99% after giving effect to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Company has prepared and filed the Registration Statement in conformity with the requirements of the Securities Act, which became effective on December 18, 2025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pursuant to General Instruction I.B.1 of Form S-3.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Except as set forth in the SEC Reports,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and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HTL International, LLC.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best knowledge of the Company,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Stamp or Other Tax</w:t>
      </w:r>
      <w:r>
        <w:rPr>
          <w:rFonts w:ascii="Times New Roman;Times;Serif" w:hAnsi="Times New Roman;Times;Serif"/>
          <w:b w:val="false"/>
          <w:i w:val="false"/>
          <w:caps w:val="false"/>
          <w:smallCaps w:val="false"/>
          <w:sz w:val="20"/>
        </w:rPr>
        <w:t>. No stamp or other issuance or transfer taxes or duties and no capital gains, income, withholding or other taxes are payable by or on behalf of the Placements Agents or the Purchasers are payable in the United States or taxing authority thereof or therein in connection with the sale and delivery by the Company of the Securities to or for the sale and delivery by the Securities to the Purchasers.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or the Placement Agency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Pre-Funded Warrants, it will be an “accredited investor” as defined in Rule 501(a)(1), (a)(2), (a)(3), (a)(7), (a)(8), (a)(9), (a)(12), or (a)(13) under the Securities Act.</w:t>
      </w:r>
    </w:p>
    <w:p>
      <w:pPr>
        <w:pStyle w:val="TextBody"/>
        <w:bidi w:val="0"/>
        <w:spacing w:before="0" w:after="0"/>
        <w:ind w:left="4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the representations set forth above shall only apply to such walled-off trading personnel.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xml:space="preserve">. Until the earlier of the time that (i) no Purchaser owns Securities or (ii) the Pre-Funded Warrants have been exercised in full, the Company covenants to </w:t>
      </w:r>
      <w:r>
        <w:rPr>
          <w:rFonts w:ascii="Times New Roman;Times;Serif" w:hAnsi="Times New Roman;Times;Serif"/>
          <w:b w:val="false"/>
          <w:i w:val="false"/>
          <w:caps w:val="false"/>
          <w:smallCaps w:val="false"/>
          <w:sz w:val="20"/>
          <w:u w:val="single"/>
        </w:rPr>
        <w:t xml:space="preserve">maintain the registration of the Common Stock under Section 12(b) or 12(g) of the Exchange </w:t>
      </w:r>
      <w:r>
        <w:rPr>
          <w:rFonts w:ascii="Times New Roman;Times;Serif" w:hAnsi="Times New Roman;Times;Serif"/>
          <w:b w:val="false"/>
          <w:i w:val="false"/>
          <w:caps w:val="false"/>
          <w:smallCaps w:val="false"/>
          <w:sz w:val="20"/>
        </w:rPr>
        <w:t>Act and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Except as set forth in the Prospectus Supplement,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forty-five (45)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filing a registration statement on Form S-8 in connection with any employee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this Section 4.11 shall not apply in respect of an Exempt Issuance, except that no Variable Rate Transaction shall be an Exempt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(A)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this section 4.13 shall apply only with respect to activities of such walled-off trading personnel.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Capital Changes</w:t>
      </w:r>
      <w:r>
        <w:rPr>
          <w:rFonts w:ascii="Times New Roman;Times;Serif" w:hAnsi="Times New Roman;Times;Serif"/>
          <w:b w:val="false"/>
          <w:i w:val="false"/>
          <w:caps w:val="false"/>
          <w:smallCaps w:val="false"/>
          <w:sz w:val="20"/>
        </w:rPr>
        <w:t>. Until the one year anniversary of the Closing Date, the Company shall not undertake a reverse or forward stock split or reclassification of the Common Stock without the prior written consent of the Purchasers holding a majority in interest of the Shares and Pre-Funded Warrants other than a reverse stock split that is required, in the good faith determination of the Board of Directors, to maintain the listing of the Common Stock on the Trading Market.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w:t>
      </w:r>
      <w:r>
        <w:rPr>
          <w:rFonts w:ascii="Times New Roman;Times;Serif" w:hAnsi="Times New Roman;Times;Serif"/>
          <w:b w:val="false"/>
          <w:i w:val="false"/>
          <w:caps w:val="false"/>
          <w:smallCaps w:val="false"/>
          <w:sz w:val="20"/>
          <w:u w:val="single"/>
        </w:rPr>
        <w:t xml:space="preserve">(other than in </w:t>
      </w:r>
      <w:r>
        <w:rPr>
          <w:rFonts w:ascii="Times New Roman;Times;Serif" w:hAnsi="Times New Roman;Times;Serif"/>
          <w:b w:val="false"/>
          <w:i w:val="false"/>
          <w:caps w:val="false"/>
          <w:smallCaps w:val="false"/>
          <w:sz w:val="20"/>
        </w:rPr>
        <w:t>respect of a transfer pursuant to an effective registration statement).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69" w:type="dxa"/>
        <w:jc w:val="left"/>
        <w:tblInd w:w="0" w:type="dxa"/>
        <w:tblLayout w:type="fixed"/>
        <w:tblCellMar>
          <w:top w:w="0" w:type="dxa"/>
          <w:left w:w="0" w:type="dxa"/>
          <w:bottom w:w="0" w:type="dxa"/>
          <w:right w:w="0" w:type="dxa"/>
        </w:tblCellMar>
      </w:tblPr>
      <w:tblGrid>
        <w:gridCol w:w="809"/>
        <w:gridCol w:w="3305"/>
        <w:gridCol w:w="60"/>
        <w:gridCol w:w="1595"/>
      </w:tblGrid>
      <w:tr>
        <w:trPr/>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Wrap Technologies, Inc.</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Scot Cohen</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SIGNATURE PAGES TO </w:t>
      </w:r>
      <w:r>
        <w:rPr>
          <w:rFonts w:ascii="Times New Roman;Times;Serif" w:hAnsi="Times New Roman;Times;Serif"/>
          <w:b w:val="false"/>
          <w:i w:val="false"/>
          <w:caps/>
          <w:sz w:val="20"/>
        </w:rPr>
        <w:t>WRAP</w:t>
      </w:r>
      <w:r>
        <w:rPr>
          <w:rFonts w:ascii="Times New Roman;Times;Serif" w:hAnsi="Times New Roman;Times;Serif"/>
          <w:b w:val="false"/>
          <w:i w:val="false"/>
          <w:caps w:val="false"/>
          <w:smallCaps w:val="false"/>
          <w:sz w:val="20"/>
        </w:rPr>
        <w:t xml:space="preserv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 Shares: ___________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ex10-2.htm"/>
      <w:bookmarkStart w:id="29" w:name="ksex10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 Virginia Street, Suite 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 33133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Cohen: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constitutes the agreement between Maxim Group LLC (“</w:t>
      </w:r>
      <w:r>
        <w:rPr>
          <w:rFonts w:ascii="Times New Roman;Times;Serif" w:hAnsi="Times New Roman;Times;Serif"/>
          <w:b w:val="false"/>
          <w:i w:val="false"/>
          <w:caps w:val="false"/>
          <w:smallCaps w:val="false"/>
          <w:sz w:val="20"/>
          <w:u w:val="single"/>
        </w:rPr>
        <w:t>Maxim</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and Wrap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which Maxim shall serve as the exclusive placement agent for the Company, on a “commercially reasonable efforts” basis, in connection with the proposed placement (the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of registered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$0.0001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registered pre-funded warrants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together with the Common Stock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terms of the Placement and Securities shall be mutually agreed upon by the Company, Maxim and the purchasers of the Securities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and nothing herein constitutes that Maxim would have the power or authority to bind the Company or any Purchaser or an obligation for the Company to issue any Securities or complete the Placement. This Agreement and the documents executed and delivered by the Company and the Purchasers in connection with the Placement, including the Purchase Agreement, shall be collectively referred to herein as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The date of the closing of the Placement shall be referred to herein as a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Company expressly acknowledges and agrees that Maxim’s obligations hereunder are on a “reasonable best efforts” basis only and that the execution of this Agreement does not constitute a legal or binding commitment by Maxim to purchase the Securities or introduce the Company to investors and does not ensure the successful placement of the Securities or any portion thereof or the success of Maxim with respect to securing any other financing on behalf of the Company. The Placement Agent may retain other brokers or dealers to act as sub-agents or selected-dealers on its behalf in connection with the Placement. The sale of the Securities to any Purchaser will be evidenced by a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between the Company and such Purchaser in a form and substance reasonably acceptable to the Company and Maxim. Capitalized terms that are not otherwise defined herein have the meanings given to such terms in the Purchase Agreement. Prior to the signing of the Purchase Agreement, executive officers of the Company will be available to answer inquiries from prospective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THE COMPANY; COVENANTS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Each of the representations, warranties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There are no affiliations with any FINRA member firm among the Company’s officers, directors or, to the knowledge of the Company, any ten percent (10.0%) or greater stockholder of the Company, except as set forth in the Registration Statement and the other documents the Company has filed or furnished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has delivered, or made available, or will as promptly as practicable deliver or make available, to the Placement Agent materially complete conformed copies of the Registration Statement (without exhibits) and of each consent and certificate of experts, as applicable, filed as a part thereof, the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pursuant to the Placement other than the Prospectus, the Prospectus Supplement, the Registration Statement, copies of the documents incorporated by reference therein and any other materials permitted by the Securities Act.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FINRA, (ii) is registered as a broker/dealer under the Exchange Act, (iii) is licensed as a broker/dealer under the laws of the states applicable to the offers and sales of the Securities by such Placement Agent, (iv) is and will be a body corporate validly existing under the laws of its place of incorporation,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In consideration of the services to be provided for hereunder, the Company shall pay to the Placement Agent or their respective designees their pro rata portion (based on the Securities placed) of the following compensation with respect to the Securities which they are placing: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cash fee (the “</w:t>
      </w:r>
      <w:r>
        <w:rPr>
          <w:rFonts w:ascii="Times New Roman;Times;Serif" w:hAnsi="Times New Roman;Times;Serif"/>
          <w:b w:val="false"/>
          <w:i w:val="false"/>
          <w:caps w:val="false"/>
          <w:smallCaps w:val="false"/>
          <w:sz w:val="20"/>
          <w:u w:val="single"/>
        </w:rPr>
        <w:t>Cash Fee</w:t>
      </w:r>
      <w:r>
        <w:rPr>
          <w:rFonts w:ascii="Times New Roman;Times;Serif" w:hAnsi="Times New Roman;Times;Serif"/>
          <w:b w:val="false"/>
          <w:i w:val="false"/>
          <w:caps w:val="false"/>
          <w:smallCaps w:val="false"/>
          <w:sz w:val="20"/>
        </w:rPr>
        <w:t>”) equal to an aggregate of seven (7.0%) percent of the aggregate gross proceeds raised in the Placement, provided, however, that if the Excluded Investors (as defined below) are participating in such Placement, then such cash fee shall be reduced to 3.5% on the portion of such aggregate gross proceeds actually raised by the Company from the Excluded Investors. The Cash Fee shall be paid at the closing of the Placement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As used in this Agreement, “Excluded Investors” means (i) Iroquois Capital Investment Group LLC and (ii) Iroquois Master Fund Ltd and any affiliates of the foregoing.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compliance with FINRA Rule 5110(f)(2)(D), the Company also agrees, in case of Closing of the Placement, to reimburse the Placement Agent for all travel and other out-of-pocket expenses incurred and documented, including the reasonable fees, costs and disbursements of its legal counsel, in an amount not to exceed an aggregate of $75,000 (inclusive of any advances received by the Placement Agent from the Company). The Company will reimburse Placement Agent directly upon the Closing of the Placement from the gross proceeds raised in the Placement. In the event that this Agreement shall terminate prior to the consummation of the Placement, Maxim shall nevertheless still be entitled to reimbursement for its actual expenses; provided, however, that such expenses shall not exceed $25,000,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Placement Agent reserves the right to reduce any item of its compensation or adjust the terms thereof as specified herein in the event that a determination shall be made by FINRA to the effect that such Placement Agent’s aggregate compensation is in excess of FINRA rules or that the terms thereof require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the indemnification and other agreements set forth in the Indemnification Provisions (the “</w:t>
      </w:r>
      <w:r>
        <w:rPr>
          <w:rFonts w:ascii="Times New Roman;Times;Serif" w:hAnsi="Times New Roman;Times;Serif"/>
          <w:b w:val="false"/>
          <w:i w:val="false"/>
          <w:caps w:val="false"/>
          <w:smallCaps w:val="false"/>
          <w:sz w:val="20"/>
          <w:u w:val="single"/>
        </w:rPr>
        <w:t>Indemnification Provisions</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engagement agreement entered into by and between the Company and Maxim on August 16, 2026 (the “</w:t>
      </w:r>
      <w:r>
        <w:rPr>
          <w:rFonts w:ascii="Times New Roman;Times;Serif" w:hAnsi="Times New Roman;Times;Serif"/>
          <w:b w:val="false"/>
          <w:i w:val="false"/>
          <w:caps w:val="false"/>
          <w:smallCaps w:val="false"/>
          <w:sz w:val="20"/>
          <w:u w:val="single"/>
        </w:rPr>
        <w:t>Engagement Agreement</w:t>
      </w:r>
      <w:r>
        <w:rPr>
          <w:rFonts w:ascii="Times New Roman;Times;Serif" w:hAnsi="Times New Roman;Times;Serif"/>
          <w:b w:val="false"/>
          <w:i w:val="false"/>
          <w:caps w:val="false"/>
          <w:smallCaps w:val="false"/>
          <w:sz w:val="20"/>
        </w:rPr>
        <w:t>”), the provisions of which are incorporated herein by reference and shall survive the termination or expiration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ENGAGEMENT TERM</w:t>
      </w:r>
      <w:r>
        <w:rPr>
          <w:rFonts w:ascii="Times New Roman;Times;Serif" w:hAnsi="Times New Roman;Times;Serif"/>
          <w:b w:val="false"/>
          <w:i w:val="false"/>
          <w:caps w:val="false"/>
          <w:smallCaps w:val="false"/>
          <w:sz w:val="20"/>
        </w:rPr>
        <w:t>. The Placement Agent’s engagement hereunder shall be from the date hereof until the closing date of the Placement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Notwithstanding anything to the contrary contained herein, the provisions concerning confidentiality and indemnification and contribution contained herein and the Company’s obligations contained in the Indemnification Provisions will survive any expiration or termination of this Agreement. The Placement Agent agrees not to use any Confidential Information (as defined below) concerning the Company provided to the Placement Agent by the Company for any purposes other than those contemplated under this Agreement. If there is a Closing of the Placement, or if the Termination Date (as defined in the Engagement Agreement) occurs prior to Closing of the Placement (other than for “Cause” as defined in the Engagement Agreement), then if within twelve (12) months following such time, the Company completes any financing of equity, equity-linked, convertible or debt or other capital raising activity with, or receives any proceeds from, any of the investors who were contacted or introduced to the Company by Maxim during the Term and participated in the Placement, then the Company will pay Maxim upon the closing of such financing or receipt of such proceeds the compensation set forth in Section 3.A herein. For the avoidance of doubt, no compensation will be paid to the Placement Agent pursuant to the forgoing sentence for the receipt of proceeds from any investors that did not participate in the Placement or from Excluded Investors.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PLACEMENT AGENT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 provided, however, that the Company may share such information or advice with its directors, officers, employees, legal counsel and financial advisors on confidential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such Placement Agent hereunder, all of which are hereby expressly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Securities hereunder are subject to the accuracy, when made and on the Closing Date, of the representations and warranties on the part of the Company and its subsidiaries contained herein and in the Purchase Agreement, to the accuracy of the statements of the Company and its subsidiaries made in any certificates pursuant to the provisions hereof, to the performance by the Company and its subsidiaries of their obligations hereunder, and to each of the following additional terms and conditions, except as otherwise disclosed to and acknowledged and waived by the Placement Agent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shall not have discovered and disclosed to the Company on or prior to the Closing Date that the Registration Statement, the Prospectus, the Prospectus Supplement or any amendment or supplement thereto contains an untrue statement of a fact which, in the reasonable opinion of such counsel, is material and is required to be stated therein or is necessary to make the statements therein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corporate proceedings and other legal matters incident to the authorization, form, execution, delivery and validity of each of this Agreement, the Securities, the Registration Statement, the Prospectus and the Prospectus Supplement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Closing Date, the Placement Agent shall have received from Company Counsel such counsel’s written opinions, including, without limitation, a negative assurance letter, addressed to the Placement Agent and the Purchasers and dated as of the Closing Date, in form and substance reasonably satisfactory to the Placement Agent, the Purchasers, and Placement Agent’s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Closing Date, Placement Agent shall have received a certificate of the chief executive officer of the Company, dated, as applicable, as of the date of such Closing, to the effect that, as of the date of this Agreement and as of the applicable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pStyle w:val="TextBody"/>
        <w:bidi w:val="0"/>
        <w:spacing w:before="0" w:after="0"/>
        <w:ind w:left="72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Closing Date, the Placement Agent shall have received a “comfort” letter from HTL International, LLC as of such date, addressed to the Placement Agent and in form and substance satisfactory in all respects to the Placement Agent and Placement Agent’s legal counsel.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date hereof and the Closing Date, the Placement Agent shall have received a certificate of the principal financial officer of the Company, dated as of the date of such Closing, providing a customary certification as to such accounting or financial matters that are included or incorporated by reference in the Registration Statement, the Prospectus or the Prospectus Supplement, and with respect to the certificate delivered on the Closing Date, that HTL International, LLC is unable to provide assurances on in the letter contemplated by Section 8(F) above.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the Closing Date, Placement Agent shall have received a certificate of the Secretary of the Company, dated, as applicable, as of the date of such Closing, certifying to the organizational documents, good standing in the state of incorporation of the Company and board resolutions relating to the Placement of the Securities from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(i) shall have sustained since the date of the latest audited financial statements included or incorporated by reference in the Registration Statement, the Prospectus and the Prospectus Supplement, any loss or interference with its business from fire, explosion, flood, terrorist act or other calamity, whether or not covered by insurance, or from any labor dispute or court or governmental action, order or decree, otherwise than as set forth in or contemplated by the Registration Statement, the Prospectus and the Prospectus Supplement, (ii) since such date there shall not have been any change in the capital stock or long-term debt of the Company or any of its subsidiaries or any change, or any development involving a prospective change, in or affecting the business, general affairs, management, financial position, stockholders’ equity, results of operations or prospects of the Company and its subsidiaries, otherwise than as set forth in or contemplated by the Registration Statement, the Prospectus and the Prospectus Supplement, and (iii) since such date there shall not have been any new or renewed inquiries by the Commission, FINRA or any other regulatory body regarding the Company, otherwise than as set forth in or contemplated by the Registration Statement, the Prospectus and the Prospectus Supplement, the effect of which, in any such case described in clause (i), (ii) or (iii), is, in the judgment of the Placement Agent, so material and adverse as to make it impracticable or inadvisable to proceed with the sale or delivery of the Securities on the terms and in the manner contemplated by the Prospectus and Prospectus Supplement.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Common Stock is registered under the Exchange Act and, as of the Closing Date, the Shares shall be listed and admitted and authorized for trading on the Trading Market or other applicable U.S. national exchange, or an application for such listing shall have been submitted to the Trading Market, and satisfactory evidence of such action shall have been provided to the Placement Agent.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except as disclosed in the Prospectus and Prospectus Supplement, has the Company received any information suggesting that the Commission or the Trading Market or other U.S. applicable national exchange is contemplating terminating such registration or listing.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prepared and filed with the Commission a Form 8-K with respect to the Placement, including as an exhibit thereto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entered into a Purchase Agreement with each of the Purchasers and such agreements shall be in full force and effect and shall contain representations, warranties and covenants of the Company as agreed between the Company and the Purchasers.</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Prior to the Closing Date, the Company shall have furnished to the Placement Agent such further information, certificates and documents as the Placement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8 shall not have been fulfilled when and as required by this Agreement or waived by the Placement Agent, or if any of the certificates, opinions, written statements or letters furnished to the Placement Agent or to Placement Agent’s counsel pursuant to this Section 8 shall not be reasonably satisfactory in form and substance to the Placement Agent and to Placement Agent’s legal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From the date hereof until forty-five (45)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filing a registration statement on Form S-8 in connection with any employee benefit plan.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this Section 9 shall not apply in respect of an Exempt Issuance, except that no Variable Rate Transaction shall be an Exempt Issuance.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 This paragraph shall survive any termination of this Agreement, in whole or in part.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ENTIRE AGREEMENT/MISCELLANEOUS</w:t>
      </w:r>
      <w:r>
        <w:rPr>
          <w:rFonts w:ascii="Times New Roman;Times;Serif" w:hAnsi="Times New Roman;Times;Serif"/>
          <w:b w:val="false"/>
          <w:i w:val="false"/>
          <w:caps w:val="false"/>
          <w:smallCaps w:val="false"/>
          <w:sz w:val="20"/>
        </w:rPr>
        <w:t>. This Agreement (including the Indemnification Provisions)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Placement Agent (i) will keep the Confidential Information (as such term is defined below) confidential and will not (except as required by applicable law or stock exchange requirement, regulation or legal process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shall mean, all confidential, proprietary and non-public information (whether written, oral or electronic communications) furnished by the Company to the Placement Agent or its Representatives in connection with the Placement Agent’s evaluation of the Placement. The term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will not, however, include information which (i) is or becomes publicly available other than as a result of a disclosure by the Placement Agent or its Representatives in violation of this Agreement, (ii) is or becomes available to the Placement Agent or any of its Representatives on a non-confidential basis from a third-party, (iii) is known to the Placement Agent or any of its Representatives prior to disclosure by the Company or any of its Representatives, or (iv) is or has been independently developed by the Placement Agent and/or the Representatives without use of any Confidential Information furnished to it by the Company. The term “Representatives” shall mean the Placement Agent’s directors, board committees, officers, employees, financial advisors, attorneys and accountants. This provision shall be in full force until the earlier of (a) the date that the Confidential Information ceases to be confidential and (b) two (2) years from the date hereof. Notwithstanding any of the foregoing, in the event that the Placement Agent or any of their respective Representatives are required by Legal Requirement to disclose any of the Confidential Information, such Placement Agent and their respective Representatives will furnish only that portion of the Confidential Information which such Placement Agent or their respective Representative, as applicable, is required to disclose by Legal Requirement as advised by counsel, and will use reasonable efforts to obtain reliable assurance that confidential treatment will be accorded the Confidential Information so disclosed.</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u w:val="single"/>
        </w:rPr>
        <w:t>Press Announcements</w:t>
      </w:r>
      <w:r>
        <w:rPr>
          <w:rFonts w:ascii="Times New Roman;Times;Serif" w:hAnsi="Times New Roman;Times;Serif"/>
          <w:b w:val="false"/>
          <w:i w:val="false"/>
          <w:caps w:val="false"/>
          <w:smallCaps w:val="false"/>
          <w:sz w:val="20"/>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has been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Maxim the enclosed copy of this Agreement.</w:t>
      </w:r>
    </w:p>
    <w:p>
      <w:pPr>
        <w:pStyle w:val="TextBody"/>
        <w:bidi w:val="0"/>
        <w:spacing w:before="0" w:after="0"/>
        <w:ind w:left="0" w:right="0" w:firstLine="72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545"/>
        <w:gridCol w:w="2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Maxim GROUP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Larry Glassberg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Larry Glassberg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Co-Head of Investment Banking</w:t>
            </w:r>
          </w:p>
        </w:tc>
      </w:tr>
    </w:tbl>
    <w:p>
      <w:pPr>
        <w:pStyle w:val="TextBody"/>
        <w:bidi w:val="0"/>
        <w:spacing w:before="0" w:after="0"/>
        <w:ind w:left="0" w:right="0" w:firstLine="72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75"/>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Park Avenue,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Siegel, General Counsel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jsiegel@maximgrp.com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 the date first written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Wrap Technologies, inc.</w:t>
      </w:r>
    </w:p>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2630" w:type="dxa"/>
        <w:jc w:val="left"/>
        <w:tblInd w:w="0" w:type="dxa"/>
        <w:tblLayout w:type="fixed"/>
        <w:tblCellMar>
          <w:top w:w="0" w:type="dxa"/>
          <w:left w:w="0" w:type="dxa"/>
          <w:bottom w:w="0" w:type="dxa"/>
          <w:right w:w="0" w:type="dxa"/>
        </w:tblCellMar>
      </w:tblPr>
      <w:tblGrid>
        <w:gridCol w:w="2555"/>
        <w:gridCol w:w="75"/>
      </w:tblGrid>
      <w:tr>
        <w:trPr/>
        <w:tc>
          <w:tcPr>
            <w:tcW w:w="25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Wrap Technologies, Inc. </w:t>
            </w:r>
          </w:p>
        </w:tc>
        <w:tc>
          <w:tcPr>
            <w:tcW w:w="75" w:type="dxa"/>
            <w:tcBorders/>
            <w:vAlign w:val="center"/>
          </w:tcPr>
          <w:p>
            <w:pPr>
              <w:pStyle w:val="TableContents"/>
              <w:bidi w:val="0"/>
              <w:spacing w:before="0" w:after="283"/>
              <w:ind w:left="0" w:right="0" w:hanging="0"/>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 Virginia Street, Suite 200</w:t>
            </w:r>
          </w:p>
        </w:tc>
        <w:tc>
          <w:tcPr>
            <w:tcW w:w="75" w:type="dxa"/>
            <w:tcBorders/>
            <w:vAlign w:val="center"/>
          </w:tcPr>
          <w:p>
            <w:pPr>
              <w:pStyle w:val="TableContents"/>
              <w:bidi w:val="0"/>
              <w:spacing w:before="0" w:after="283"/>
              <w:ind w:left="0" w:right="0" w:hanging="0"/>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 33133</w:t>
            </w:r>
          </w:p>
        </w:tc>
        <w:tc>
          <w:tcPr>
            <w:tcW w:w="75" w:type="dxa"/>
            <w:tcBorders/>
            <w:vAlign w:val="center"/>
          </w:tcPr>
          <w:p>
            <w:pPr>
              <w:pStyle w:val="TableContents"/>
              <w:bidi w:val="0"/>
              <w:spacing w:before="0" w:after="283"/>
              <w:ind w:left="0" w:right="0" w:hanging="0"/>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scohen@wrap.com</w:t>
            </w:r>
          </w:p>
        </w:tc>
        <w:tc>
          <w:tcPr>
            <w:tcW w:w="75" w:type="dxa"/>
            <w:tcBorders/>
            <w:vAlign w:val="center"/>
          </w:tcPr>
          <w:p>
            <w:pPr>
              <w:pStyle w:val="TableContents"/>
              <w:bidi w:val="0"/>
              <w:spacing w:before="0" w:after="283"/>
              <w:ind w:left="0" w:right="0" w:hanging="0"/>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Scot Cohen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4115"/>
        <w:gridCol w:w="75"/>
      </w:tblGrid>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With a copy to (which shall not constitute notice):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 26th Floor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rick.werner@haynesboone.com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Rick Werner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to Placement Agency Agreement Between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Maxim Group LLC and Wrap Technologies,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ex99-1.htm"/>
      <w:bookmarkStart w:id="31" w:name="ksex99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Wrap Technologies Announces Pricing of $12.0 Million Registered Direct Offering of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August 17, 2026 (GLOBE NEWSWIRE) — Wrap Technologies, Inc. (Nasdaq: WRAP) (“WRAP” or the “Company”), a global public safety technology company delivering intelligent detection, orchestration and response solutions designed for the next generation of autonomous public safety, today announced the pricing of a registered direct offering (the “Offering”) with a fundamental institutional investor and an existing investor of the Company, consisting of 8,571,609 shares of the Company’s common stock (or pre-funded warrants in-lieu thereof) at an offering price of $1.40 per share. The gross proceeds to the Company from the Offering are estimated to be approximately $12.0 million before deducting placement agent fees and other Offering expenses. The Company intends to use the proceeds from the Offering for general corporate purposes and working capital, including for any future planned business expansion. The Offering is expected to close on or about August 18,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is acting as the sole placement agent in connection with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being offered pursuant to a shelf registration statement on Form S-3 (File No. 333-291707), which was declared effective by the U.S. Securities and Exchange Commission (the “SEC”) on December 18, 2025. The Offering will be made only by means of a prospectus supplement and the accompanying prospectus that form a part of such registration statement. A prospectus supplement relating to the Offering will be filed by the Company with the SEC. When available, copies of the prospectus supplement and accompanying prospectus can be obtained at the SEC’s website at www.sec.gov or from Maxim Group LLC, 300 Park Avenue, New York, NY 10022, Attention: Syndicate Department, via email at syndicate@maximgrp.com, or telephone at (212) 895-3500.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Wrap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(Nasdaq: WRAP) is a global public safety technology and training company focused on developing tools, training and capabilities designed to support awareness, earlier intervention and more appropriate responses to challenging encounters.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on Forward-Looking Statements - Safe Harbor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“safe harbor” provisions of the Private Securities Litigation Reform Act of 1995. Words such as “expect,” “anticipate,” “should”, “believe”, “target”, “project”, “goals”, “estimate”, “potential”, “predict”, “may”, “will”, “could”, “intend”, and variations of these terms or the negative of these terms and similar expressions are intended to identify these forward-looking statements. Forward-looking statements include, but are not limited to, statements relating to the satisfaction of customary closing conditions, the completion, timing and size of the Offering and the use of proceeds therefrom, including any statements regarding any future planned business expansion. The Company’s actual results could differ materially from those stated or implied in forward-looking statements due to a number of factors, including but not limited to: the Company’s ability to maintain compliance with the Nasdaq Capital Market’s listing standards; the Company’s ability to successfully implement training programs for the use of its products; the Company’s ability to manufacture and produce products for its customers; the Company’s ability to develop sales for its products; market acceptance of existing and future products; changes in law enforcement budgets, policies, procurement practices, and use-of-force standards; the availability of funding to continue to finance operations; the complexity, expense, and time associated with sales to law enforcement and government entities; the lengthy evaluation and sales cycle for the Company’s product solutions; product defects; litigation risks from alleged product-related injuries; risks of government regulations and changes in regulatory classifications or interpretations; the impact resulting from geopolitical conflicts and any resulting sanctions; the ability to obtain export licenses for countries outside of the United States; the ability to obtain patents and defend intellectual property against competitors; the impact of competitive products and solutions; and the Company’s ability to maintain and enhance its brand, as well as other risk factors mentioned in the Company’s most recent annual report on Form 10-K, subsequent quarterly reports on Form 10-Q, and other Securities and Exchange Commission filings. These forward-looking statements are made as of the date of this release and were based on current expectations, estimates, forecasts, and projections as well as the beliefs and assumptions of management. Except as required by law, the Company undertakes no duty or obligation to update any forward-looking statements contained in this release as a result of new information, future events, or changes in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583-2652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ir@wrap.com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36529</Words>
  <Characters>194288</Characters>
  <CharactersWithSpaces>231045</CharactersWithSpaces>
  <Paragraphs>1268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