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560705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184"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10-Q</w:t>
      </w:r>
    </w:p>
    <w:p>
      <w:pPr>
        <w:spacing w:after="0" w:line="239" w:lineRule="exact"/>
        <w:rPr>
          <w:sz w:val="24"/>
          <w:szCs w:val="24"/>
          <w:color w:val="auto"/>
        </w:rPr>
      </w:pPr>
    </w:p>
    <w:p>
      <w:pPr>
        <w:ind w:left="4120" w:right="2700" w:hanging="1273"/>
        <w:spacing w:after="0" w:line="277" w:lineRule="auto"/>
        <w:tabs>
          <w:tab w:leader="none" w:pos="3048"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QUARTERLY REPORT PURSUANT TO SECTION 13 OR 15(d) OF THE SECURITIES EXCHANGE ACT OF 1934</w:t>
      </w:r>
    </w:p>
    <w:p>
      <w:pPr>
        <w:spacing w:after="0" w:line="166"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 the quarterly period ended March 31, 2022</w:t>
      </w:r>
    </w:p>
    <w:p>
      <w:pPr>
        <w:spacing w:after="0" w:line="229" w:lineRule="exact"/>
        <w:rPr>
          <w:sz w:val="24"/>
          <w:szCs w:val="24"/>
          <w:color w:val="auto"/>
        </w:rPr>
      </w:pPr>
    </w:p>
    <w:p>
      <w:pPr>
        <w:ind w:left="4200" w:right="2620" w:hanging="1290"/>
        <w:spacing w:after="0" w:line="277" w:lineRule="auto"/>
        <w:tabs>
          <w:tab w:leader="none" w:pos="3119"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TRANSITION REPORT PURSUANT TO SECTION 13 OR 15(d) OF THE SECURITIES EXCHANGE ACT OF 1934</w:t>
      </w:r>
    </w:p>
    <w:p>
      <w:pPr>
        <w:spacing w:after="0" w:line="166" w:lineRule="exact"/>
        <w:rPr>
          <w:sz w:val="24"/>
          <w:szCs w:val="24"/>
          <w:color w:val="auto"/>
        </w:rPr>
      </w:pPr>
    </w:p>
    <w:p>
      <w:pPr>
        <w:ind w:left="3660"/>
        <w:spacing w:after="0"/>
        <w:rPr>
          <w:sz w:val="20"/>
          <w:szCs w:val="20"/>
          <w:color w:val="auto"/>
        </w:rPr>
      </w:pPr>
      <w:r>
        <w:rPr>
          <w:rFonts w:ascii="Arial" w:cs="Arial" w:eastAsia="Arial" w:hAnsi="Arial"/>
          <w:sz w:val="18"/>
          <w:szCs w:val="18"/>
          <w:b w:val="1"/>
          <w:bCs w:val="1"/>
          <w:color w:val="auto"/>
        </w:rPr>
        <w:t>For the transition period from _________ to _________</w:t>
      </w:r>
    </w:p>
    <w:p>
      <w:pPr>
        <w:spacing w:after="0" w:line="22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Commission File Number: 000-55838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2979420</wp:posOffset>
            </wp:positionH>
            <wp:positionV relativeFrom="paragraph">
              <wp:posOffset>151765</wp:posOffset>
            </wp:positionV>
            <wp:extent cx="1183005" cy="2400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83005" cy="2400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tbl>
      <w:tblPr>
        <w:tblLayout w:type="fixed"/>
        <w:tblInd w:w="1540" w:type="dxa"/>
        <w:tblCellMar>
          <w:top w:w="0" w:type="dxa"/>
          <w:left w:w="0" w:type="dxa"/>
          <w:bottom w:w="0" w:type="dxa"/>
          <w:right w:w="0" w:type="dxa"/>
        </w:tblCellMar>
      </w:tblPr>
      <w:tr>
        <w:trPr>
          <w:trHeight w:val="391"/>
        </w:trPr>
        <w:tc>
          <w:tcPr>
            <w:tcW w:w="7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80" w:type="dxa"/>
            <w:vAlign w:val="bottom"/>
            <w:gridSpan w:val="5"/>
          </w:tcPr>
          <w:p>
            <w:pPr>
              <w:jc w:val="center"/>
              <w:ind w:right="1840"/>
              <w:spacing w:after="0"/>
              <w:rPr>
                <w:sz w:val="20"/>
                <w:szCs w:val="20"/>
                <w:color w:val="auto"/>
              </w:rPr>
            </w:pPr>
            <w:r>
              <w:rPr>
                <w:rFonts w:ascii="Arial" w:cs="Arial" w:eastAsia="Arial" w:hAnsi="Arial"/>
                <w:sz w:val="32"/>
                <w:szCs w:val="32"/>
                <w:b w:val="1"/>
                <w:bCs w:val="1"/>
                <w:color w:val="auto"/>
                <w:w w:val="91"/>
              </w:rPr>
              <w:t>Wrap Technologies, Inc.</w:t>
            </w:r>
          </w:p>
        </w:tc>
      </w:tr>
      <w:tr>
        <w:trPr>
          <w:trHeight w:val="230"/>
        </w:trPr>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80" w:type="dxa"/>
            <w:vAlign w:val="bottom"/>
            <w:gridSpan w:val="5"/>
          </w:tcPr>
          <w:p>
            <w:pPr>
              <w:jc w:val="center"/>
              <w:ind w:right="1840"/>
              <w:spacing w:after="0"/>
              <w:rPr>
                <w:sz w:val="20"/>
                <w:szCs w:val="20"/>
                <w:color w:val="auto"/>
              </w:rPr>
            </w:pPr>
            <w:r>
              <w:rPr>
                <w:rFonts w:ascii="Arial" w:cs="Arial" w:eastAsia="Arial" w:hAnsi="Arial"/>
                <w:sz w:val="18"/>
                <w:szCs w:val="18"/>
                <w:color w:val="auto"/>
                <w:w w:val="90"/>
              </w:rPr>
              <w:t>(Exact name of registrant as specified in its charter)</w:t>
            </w:r>
          </w:p>
        </w:tc>
      </w:tr>
      <w:tr>
        <w:trPr>
          <w:trHeight w:val="391"/>
        </w:trPr>
        <w:tc>
          <w:tcPr>
            <w:tcW w:w="740" w:type="dxa"/>
            <w:vAlign w:val="bottom"/>
          </w:tcPr>
          <w:p>
            <w:pPr>
              <w:spacing w:after="0"/>
              <w:rPr>
                <w:sz w:val="24"/>
                <w:szCs w:val="24"/>
                <w:color w:val="auto"/>
              </w:rPr>
            </w:pPr>
          </w:p>
        </w:tc>
        <w:tc>
          <w:tcPr>
            <w:tcW w:w="1500" w:type="dxa"/>
            <w:vAlign w:val="bottom"/>
            <w:gridSpan w:val="2"/>
          </w:tcPr>
          <w:p>
            <w:pPr>
              <w:jc w:val="center"/>
              <w:ind w:right="820"/>
              <w:spacing w:after="0"/>
              <w:rPr>
                <w:sz w:val="20"/>
                <w:szCs w:val="20"/>
                <w:color w:val="auto"/>
              </w:rPr>
            </w:pPr>
            <w:r>
              <w:rPr>
                <w:rFonts w:ascii="Arial" w:cs="Arial" w:eastAsia="Arial" w:hAnsi="Arial"/>
                <w:sz w:val="18"/>
                <w:szCs w:val="18"/>
                <w:color w:val="auto"/>
                <w:w w:val="89"/>
              </w:rPr>
              <w:t>Delaware</w:t>
            </w:r>
          </w:p>
        </w:tc>
        <w:tc>
          <w:tcPr>
            <w:tcW w:w="5680" w:type="dxa"/>
            <w:vAlign w:val="bottom"/>
            <w:gridSpan w:val="5"/>
          </w:tcPr>
          <w:p>
            <w:pPr>
              <w:jc w:val="center"/>
              <w:ind w:left="3892"/>
              <w:spacing w:after="0"/>
              <w:rPr>
                <w:sz w:val="20"/>
                <w:szCs w:val="20"/>
                <w:color w:val="auto"/>
              </w:rPr>
            </w:pPr>
            <w:r>
              <w:rPr>
                <w:rFonts w:ascii="Arial" w:cs="Arial" w:eastAsia="Arial" w:hAnsi="Arial"/>
                <w:sz w:val="18"/>
                <w:szCs w:val="18"/>
                <w:color w:val="auto"/>
                <w:w w:val="91"/>
              </w:rPr>
              <w:t>98-0551945</w:t>
            </w:r>
          </w:p>
        </w:tc>
      </w:tr>
      <w:tr>
        <w:trPr>
          <w:trHeight w:val="20"/>
        </w:trPr>
        <w:tc>
          <w:tcPr>
            <w:tcW w:w="7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22"/>
        </w:trPr>
        <w:tc>
          <w:tcPr>
            <w:tcW w:w="2240" w:type="dxa"/>
            <w:vAlign w:val="bottom"/>
            <w:gridSpan w:val="3"/>
          </w:tcPr>
          <w:p>
            <w:pPr>
              <w:jc w:val="center"/>
              <w:ind w:right="80"/>
              <w:spacing w:after="0"/>
              <w:rPr>
                <w:sz w:val="20"/>
                <w:szCs w:val="20"/>
                <w:color w:val="auto"/>
              </w:rPr>
            </w:pPr>
            <w:r>
              <w:rPr>
                <w:rFonts w:ascii="Arial" w:cs="Arial" w:eastAsia="Arial" w:hAnsi="Arial"/>
                <w:sz w:val="18"/>
                <w:szCs w:val="18"/>
                <w:color w:val="auto"/>
                <w:w w:val="92"/>
              </w:rPr>
              <w:t>(State or other jurisdiction of</w:t>
            </w:r>
          </w:p>
        </w:tc>
        <w:tc>
          <w:tcPr>
            <w:tcW w:w="11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940" w:type="dxa"/>
            <w:vAlign w:val="bottom"/>
            <w:gridSpan w:val="3"/>
          </w:tcPr>
          <w:p>
            <w:pPr>
              <w:jc w:val="center"/>
              <w:ind w:left="1170"/>
              <w:spacing w:after="0"/>
              <w:rPr>
                <w:sz w:val="20"/>
                <w:szCs w:val="20"/>
                <w:color w:val="auto"/>
              </w:rPr>
            </w:pPr>
            <w:r>
              <w:rPr>
                <w:rFonts w:ascii="Arial" w:cs="Arial" w:eastAsia="Arial" w:hAnsi="Arial"/>
                <w:sz w:val="18"/>
                <w:szCs w:val="18"/>
                <w:color w:val="auto"/>
                <w:w w:val="93"/>
              </w:rPr>
              <w:t>(I.R.S. Employer</w:t>
            </w:r>
          </w:p>
        </w:tc>
      </w:tr>
      <w:tr>
        <w:trPr>
          <w:trHeight w:val="216"/>
        </w:trPr>
        <w:tc>
          <w:tcPr>
            <w:tcW w:w="2240" w:type="dxa"/>
            <w:vAlign w:val="bottom"/>
            <w:gridSpan w:val="3"/>
          </w:tcPr>
          <w:p>
            <w:pPr>
              <w:jc w:val="center"/>
              <w:ind w:right="80"/>
              <w:spacing w:after="0"/>
              <w:rPr>
                <w:sz w:val="20"/>
                <w:szCs w:val="20"/>
                <w:color w:val="auto"/>
              </w:rPr>
            </w:pPr>
            <w:r>
              <w:rPr>
                <w:rFonts w:ascii="Arial" w:cs="Arial" w:eastAsia="Arial" w:hAnsi="Arial"/>
                <w:sz w:val="18"/>
                <w:szCs w:val="18"/>
                <w:color w:val="auto"/>
                <w:w w:val="92"/>
              </w:rPr>
              <w:t>incorporation or organization)</w:t>
            </w:r>
          </w:p>
        </w:tc>
        <w:tc>
          <w:tcPr>
            <w:tcW w:w="11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940" w:type="dxa"/>
            <w:vAlign w:val="bottom"/>
            <w:gridSpan w:val="3"/>
          </w:tcPr>
          <w:p>
            <w:pPr>
              <w:jc w:val="center"/>
              <w:ind w:left="1170"/>
              <w:spacing w:after="0"/>
              <w:rPr>
                <w:sz w:val="20"/>
                <w:szCs w:val="20"/>
                <w:color w:val="auto"/>
              </w:rPr>
            </w:pPr>
            <w:r>
              <w:rPr>
                <w:rFonts w:ascii="Arial" w:cs="Arial" w:eastAsia="Arial" w:hAnsi="Arial"/>
                <w:sz w:val="18"/>
                <w:szCs w:val="18"/>
                <w:color w:val="auto"/>
                <w:w w:val="95"/>
              </w:rPr>
              <w:t>Identification Number)</w:t>
            </w:r>
          </w:p>
        </w:tc>
      </w:tr>
      <w:tr>
        <w:trPr>
          <w:trHeight w:val="216"/>
        </w:trPr>
        <w:tc>
          <w:tcPr>
            <w:tcW w:w="7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580" w:type="dxa"/>
            <w:vAlign w:val="bottom"/>
            <w:gridSpan w:val="4"/>
          </w:tcPr>
          <w:p>
            <w:pPr>
              <w:jc w:val="center"/>
              <w:ind w:right="2940"/>
              <w:spacing w:after="0"/>
              <w:rPr>
                <w:sz w:val="20"/>
                <w:szCs w:val="20"/>
                <w:color w:val="auto"/>
              </w:rPr>
            </w:pPr>
            <w:r>
              <w:rPr>
                <w:rFonts w:ascii="Arial" w:cs="Arial" w:eastAsia="Arial" w:hAnsi="Arial"/>
                <w:sz w:val="18"/>
                <w:szCs w:val="18"/>
                <w:color w:val="auto"/>
                <w:w w:val="90"/>
              </w:rPr>
              <w:t>1817 W 4th Street</w:t>
            </w:r>
          </w:p>
        </w:tc>
      </w:tr>
      <w:tr>
        <w:trPr>
          <w:trHeight w:val="190"/>
        </w:trPr>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580" w:type="dxa"/>
            <w:vAlign w:val="bottom"/>
            <w:gridSpan w:val="4"/>
          </w:tcPr>
          <w:p>
            <w:pPr>
              <w:jc w:val="center"/>
              <w:ind w:right="2940"/>
              <w:spacing w:after="0" w:line="190" w:lineRule="exact"/>
              <w:rPr>
                <w:sz w:val="20"/>
                <w:szCs w:val="20"/>
                <w:color w:val="auto"/>
              </w:rPr>
            </w:pPr>
            <w:r>
              <w:rPr>
                <w:rFonts w:ascii="Arial" w:cs="Arial" w:eastAsia="Arial" w:hAnsi="Arial"/>
                <w:sz w:val="18"/>
                <w:szCs w:val="18"/>
                <w:color w:val="auto"/>
                <w:w w:val="90"/>
              </w:rPr>
              <w:t>Tempe, Arizona 85281</w:t>
            </w:r>
          </w:p>
        </w:tc>
      </w:tr>
      <w:tr>
        <w:trPr>
          <w:trHeight w:val="20"/>
        </w:trPr>
        <w:tc>
          <w:tcPr>
            <w:tcW w:w="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940" w:type="dxa"/>
            <w:vAlign w:val="bottom"/>
            <w:gridSpan w:val="3"/>
          </w:tcPr>
          <w:p>
            <w:pPr>
              <w:spacing w:after="0" w:line="20" w:lineRule="exact"/>
              <w:rPr>
                <w:sz w:val="1"/>
                <w:szCs w:val="1"/>
                <w:color w:val="auto"/>
              </w:rPr>
            </w:pPr>
          </w:p>
        </w:tc>
      </w:tr>
      <w:tr>
        <w:trPr>
          <w:trHeight w:val="237"/>
        </w:trPr>
        <w:tc>
          <w:tcPr>
            <w:tcW w:w="7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680" w:type="dxa"/>
            <w:vAlign w:val="bottom"/>
            <w:gridSpan w:val="5"/>
          </w:tcPr>
          <w:p>
            <w:pPr>
              <w:jc w:val="center"/>
              <w:ind w:right="1860"/>
              <w:spacing w:after="0"/>
              <w:rPr>
                <w:sz w:val="20"/>
                <w:szCs w:val="20"/>
                <w:color w:val="auto"/>
              </w:rPr>
            </w:pPr>
            <w:r>
              <w:rPr>
                <w:rFonts w:ascii="Arial" w:cs="Arial" w:eastAsia="Arial" w:hAnsi="Arial"/>
                <w:sz w:val="18"/>
                <w:szCs w:val="18"/>
                <w:color w:val="auto"/>
                <w:w w:val="92"/>
              </w:rPr>
              <w:t>(Address of principal executive offices) (Zip Code)</w:t>
            </w:r>
          </w:p>
        </w:tc>
      </w:tr>
    </w:tbl>
    <w:p>
      <w:pPr>
        <w:spacing w:after="0" w:line="202" w:lineRule="exact"/>
        <w:rPr>
          <w:sz w:val="24"/>
          <w:szCs w:val="24"/>
          <w:color w:val="auto"/>
        </w:rPr>
      </w:pPr>
    </w:p>
    <w:p>
      <w:pPr>
        <w:jc w:val="center"/>
        <w:ind w:right="-159"/>
        <w:spacing w:after="0"/>
        <w:rPr>
          <w:sz w:val="20"/>
          <w:szCs w:val="20"/>
          <w:color w:val="auto"/>
        </w:rPr>
      </w:pPr>
      <w:r>
        <w:rPr>
          <w:rFonts w:ascii="Arial" w:cs="Arial" w:eastAsia="Arial" w:hAnsi="Arial"/>
          <w:sz w:val="18"/>
          <w:szCs w:val="18"/>
          <w:u w:val="single" w:color="auto"/>
          <w:color w:val="auto"/>
        </w:rPr>
        <w:t>(800) 583-2652</w:t>
      </w:r>
    </w:p>
    <w:p>
      <w:pPr>
        <w:spacing w:after="0" w:line="23"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tbl>
      <w:tblPr>
        <w:tblLayout w:type="fixed"/>
        <w:tblInd w:w="160" w:type="dxa"/>
        <w:tblCellMar>
          <w:top w:w="0" w:type="dxa"/>
          <w:left w:w="0" w:type="dxa"/>
          <w:bottom w:w="0" w:type="dxa"/>
          <w:right w:w="0" w:type="dxa"/>
        </w:tblCellMar>
      </w:tblPr>
      <w:tr>
        <w:trPr>
          <w:trHeight w:val="230"/>
        </w:trPr>
        <w:tc>
          <w:tcPr>
            <w:tcW w:w="4440" w:type="dxa"/>
            <w:vAlign w:val="bottom"/>
            <w:gridSpan w:val="3"/>
          </w:tcPr>
          <w:p>
            <w:pPr>
              <w:spacing w:after="0"/>
              <w:rPr>
                <w:sz w:val="20"/>
                <w:szCs w:val="20"/>
                <w:color w:val="auto"/>
              </w:rPr>
            </w:pPr>
            <w:r>
              <w:rPr>
                <w:rFonts w:ascii="Arial" w:cs="Arial" w:eastAsia="Arial" w:hAnsi="Arial"/>
                <w:sz w:val="18"/>
                <w:szCs w:val="18"/>
                <w:color w:val="auto"/>
                <w:w w:val="96"/>
              </w:rPr>
              <w:t>Securities registered pursuant to Section 12(b) of the Act:</w:t>
            </w:r>
          </w:p>
        </w:tc>
        <w:tc>
          <w:tcPr>
            <w:tcW w:w="28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200" w:type="dxa"/>
            <w:vAlign w:val="bottom"/>
          </w:tcPr>
          <w:p>
            <w:pPr>
              <w:spacing w:after="0"/>
              <w:rPr>
                <w:sz w:val="20"/>
                <w:szCs w:val="20"/>
                <w:color w:val="auto"/>
              </w:rPr>
            </w:pPr>
          </w:p>
        </w:tc>
      </w:tr>
      <w:tr>
        <w:trPr>
          <w:trHeight w:val="283"/>
        </w:trPr>
        <w:tc>
          <w:tcPr>
            <w:tcW w:w="134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90"/>
              </w:rPr>
              <w:t>Title of each class</w:t>
            </w:r>
          </w:p>
        </w:tc>
        <w:tc>
          <w:tcPr>
            <w:tcW w:w="1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60" w:type="dxa"/>
            <w:vAlign w:val="bottom"/>
            <w:gridSpan w:val="2"/>
          </w:tcPr>
          <w:p>
            <w:pPr>
              <w:jc w:val="center"/>
              <w:ind w:right="600"/>
              <w:spacing w:after="0"/>
              <w:rPr>
                <w:sz w:val="20"/>
                <w:szCs w:val="20"/>
                <w:color w:val="auto"/>
              </w:rPr>
            </w:pPr>
            <w:r>
              <w:rPr>
                <w:rFonts w:ascii="Arial" w:cs="Arial" w:eastAsia="Arial" w:hAnsi="Arial"/>
                <w:sz w:val="18"/>
                <w:szCs w:val="18"/>
                <w:color w:val="auto"/>
                <w:w w:val="92"/>
              </w:rPr>
              <w:t>Trading Symbol(s)</w:t>
            </w:r>
          </w:p>
        </w:tc>
        <w:tc>
          <w:tcPr>
            <w:tcW w:w="3800" w:type="dxa"/>
            <w:vAlign w:val="bottom"/>
            <w:gridSpan w:val="2"/>
          </w:tcPr>
          <w:p>
            <w:pPr>
              <w:jc w:val="center"/>
              <w:ind w:left="510"/>
              <w:spacing w:after="0"/>
              <w:rPr>
                <w:sz w:val="20"/>
                <w:szCs w:val="20"/>
                <w:color w:val="auto"/>
              </w:rPr>
            </w:pPr>
            <w:r>
              <w:rPr>
                <w:rFonts w:ascii="Arial" w:cs="Arial" w:eastAsia="Arial" w:hAnsi="Arial"/>
                <w:sz w:val="18"/>
                <w:szCs w:val="18"/>
                <w:color w:val="auto"/>
                <w:w w:val="89"/>
              </w:rPr>
              <w:t>Name of each exchange on which registered</w:t>
            </w:r>
          </w:p>
        </w:tc>
      </w:tr>
      <w:tr>
        <w:trPr>
          <w:trHeight w:val="20"/>
        </w:trPr>
        <w:tc>
          <w:tcPr>
            <w:tcW w:w="13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r>
      <w:tr>
        <w:trPr>
          <w:trHeight w:val="237"/>
        </w:trPr>
        <w:tc>
          <w:tcPr>
            <w:tcW w:w="4440" w:type="dxa"/>
            <w:vAlign w:val="bottom"/>
            <w:gridSpan w:val="3"/>
          </w:tcPr>
          <w:p>
            <w:pPr>
              <w:jc w:val="center"/>
              <w:ind w:right="460"/>
              <w:spacing w:after="0"/>
              <w:rPr>
                <w:sz w:val="20"/>
                <w:szCs w:val="20"/>
                <w:color w:val="auto"/>
              </w:rPr>
            </w:pPr>
            <w:r>
              <w:rPr>
                <w:rFonts w:ascii="Arial" w:cs="Arial" w:eastAsia="Arial" w:hAnsi="Arial"/>
                <w:sz w:val="18"/>
                <w:szCs w:val="18"/>
                <w:color w:val="auto"/>
                <w:w w:val="89"/>
              </w:rPr>
              <w:t>Common Stock, par value $0.0001 per share</w:t>
            </w:r>
          </w:p>
        </w:tc>
        <w:tc>
          <w:tcPr>
            <w:tcW w:w="280" w:type="dxa"/>
            <w:vAlign w:val="bottom"/>
          </w:tcPr>
          <w:p>
            <w:pPr>
              <w:spacing w:after="0"/>
              <w:rPr>
                <w:sz w:val="20"/>
                <w:szCs w:val="20"/>
                <w:color w:val="auto"/>
              </w:rPr>
            </w:pPr>
          </w:p>
        </w:tc>
        <w:tc>
          <w:tcPr>
            <w:tcW w:w="1960" w:type="dxa"/>
            <w:vAlign w:val="bottom"/>
            <w:gridSpan w:val="2"/>
          </w:tcPr>
          <w:p>
            <w:pPr>
              <w:jc w:val="center"/>
              <w:ind w:right="600"/>
              <w:spacing w:after="0"/>
              <w:rPr>
                <w:sz w:val="20"/>
                <w:szCs w:val="20"/>
                <w:color w:val="auto"/>
              </w:rPr>
            </w:pPr>
            <w:r>
              <w:rPr>
                <w:rFonts w:ascii="Arial" w:cs="Arial" w:eastAsia="Arial" w:hAnsi="Arial"/>
                <w:sz w:val="18"/>
                <w:szCs w:val="18"/>
                <w:color w:val="auto"/>
                <w:w w:val="96"/>
              </w:rPr>
              <w:t>WRAP</w:t>
            </w:r>
          </w:p>
        </w:tc>
        <w:tc>
          <w:tcPr>
            <w:tcW w:w="600" w:type="dxa"/>
            <w:vAlign w:val="bottom"/>
          </w:tcPr>
          <w:p>
            <w:pPr>
              <w:spacing w:after="0"/>
              <w:rPr>
                <w:sz w:val="20"/>
                <w:szCs w:val="20"/>
                <w:color w:val="auto"/>
              </w:rPr>
            </w:pPr>
          </w:p>
        </w:tc>
        <w:tc>
          <w:tcPr>
            <w:tcW w:w="3200" w:type="dxa"/>
            <w:vAlign w:val="bottom"/>
          </w:tcPr>
          <w:p>
            <w:pPr>
              <w:jc w:val="center"/>
              <w:spacing w:after="0"/>
              <w:rPr>
                <w:sz w:val="20"/>
                <w:szCs w:val="20"/>
                <w:color w:val="auto"/>
              </w:rPr>
            </w:pPr>
            <w:r>
              <w:rPr>
                <w:rFonts w:ascii="Arial" w:cs="Arial" w:eastAsia="Arial" w:hAnsi="Arial"/>
                <w:sz w:val="18"/>
                <w:szCs w:val="18"/>
                <w:color w:val="auto"/>
                <w:w w:val="91"/>
              </w:rPr>
              <w:t>Nasdaq Capital Market</w:t>
            </w:r>
          </w:p>
        </w:tc>
      </w:tr>
    </w:tbl>
    <w:p>
      <w:pPr>
        <w:spacing w:after="0" w:line="202" w:lineRule="exact"/>
        <w:rPr>
          <w:sz w:val="24"/>
          <w:szCs w:val="24"/>
          <w:color w:val="auto"/>
        </w:rPr>
      </w:pPr>
    </w:p>
    <w:p>
      <w:pPr>
        <w:jc w:val="both"/>
        <w:ind w:left="16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ind w:left="160"/>
        <w:spacing w:after="0" w:line="220" w:lineRule="exact"/>
        <w:rPr>
          <w:sz w:val="20"/>
          <w:szCs w:val="20"/>
          <w:color w:val="auto"/>
        </w:rPr>
      </w:pPr>
      <w:r>
        <w:rPr>
          <w:rFonts w:ascii="Arial" w:cs="Arial" w:eastAsia="Arial" w:hAnsi="Arial"/>
          <w:sz w:val="18"/>
          <w:szCs w:val="18"/>
          <w:color w:val="auto"/>
        </w:rPr>
        <w:t xml:space="preserve">Indicate by check mark whether the registrant has submitted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204" w:lineRule="exact"/>
        <w:rPr>
          <w:sz w:val="24"/>
          <w:szCs w:val="24"/>
          <w:color w:val="auto"/>
        </w:rPr>
      </w:pPr>
    </w:p>
    <w:p>
      <w:pPr>
        <w:jc w:val="both"/>
        <w:ind w:left="16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5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2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ind w:left="1920"/>
              <w:spacing w:after="0"/>
              <w:rPr>
                <w:sz w:val="20"/>
                <w:szCs w:val="20"/>
                <w:color w:val="auto"/>
              </w:rPr>
            </w:pPr>
            <w:r>
              <w:rPr>
                <w:rFonts w:ascii="Arial" w:cs="Arial" w:eastAsia="Arial" w:hAnsi="Arial"/>
                <w:sz w:val="18"/>
                <w:szCs w:val="18"/>
                <w:color w:val="auto"/>
              </w:rPr>
              <w:t>Accelerated filer</w:t>
            </w:r>
          </w:p>
        </w:tc>
        <w:tc>
          <w:tcPr>
            <w:tcW w:w="2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1900" w:type="dxa"/>
            <w:vAlign w:val="bottom"/>
          </w:tcPr>
          <w:p>
            <w:pPr>
              <w:spacing w:after="0"/>
              <w:rPr>
                <w:sz w:val="20"/>
                <w:szCs w:val="20"/>
                <w:color w:val="auto"/>
              </w:rPr>
            </w:pPr>
            <w:r>
              <w:rPr>
                <w:rFonts w:ascii="Arial" w:cs="Arial" w:eastAsia="Arial" w:hAnsi="Arial"/>
                <w:sz w:val="18"/>
                <w:szCs w:val="18"/>
                <w:color w:val="auto"/>
              </w:rPr>
              <w:t>Non-accelerated filer</w:t>
            </w:r>
          </w:p>
        </w:tc>
        <w:tc>
          <w:tcPr>
            <w:tcW w:w="22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980" w:type="dxa"/>
            <w:vAlign w:val="bottom"/>
          </w:tcPr>
          <w:p>
            <w:pPr>
              <w:ind w:left="1920"/>
              <w:spacing w:after="0"/>
              <w:rPr>
                <w:sz w:val="20"/>
                <w:szCs w:val="20"/>
                <w:color w:val="auto"/>
              </w:rPr>
            </w:pPr>
            <w:r>
              <w:rPr>
                <w:rFonts w:ascii="Arial" w:cs="Arial" w:eastAsia="Arial" w:hAnsi="Arial"/>
                <w:sz w:val="18"/>
                <w:szCs w:val="18"/>
                <w:color w:val="auto"/>
                <w:w w:val="94"/>
              </w:rPr>
              <w:t>Smaller reporting company</w:t>
            </w:r>
          </w:p>
        </w:tc>
        <w:tc>
          <w:tcPr>
            <w:tcW w:w="260" w:type="dxa"/>
            <w:vAlign w:val="bottom"/>
          </w:tcPr>
          <w:p>
            <w:pPr>
              <w:ind w:left="1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3980" w:type="dxa"/>
            <w:vAlign w:val="bottom"/>
          </w:tcPr>
          <w:p>
            <w:pPr>
              <w:ind w:left="1920"/>
              <w:spacing w:after="0"/>
              <w:rPr>
                <w:sz w:val="20"/>
                <w:szCs w:val="20"/>
                <w:color w:val="auto"/>
              </w:rPr>
            </w:pPr>
            <w:r>
              <w:rPr>
                <w:rFonts w:ascii="Arial" w:cs="Arial" w:eastAsia="Arial" w:hAnsi="Arial"/>
                <w:sz w:val="18"/>
                <w:szCs w:val="18"/>
                <w:color w:val="auto"/>
                <w:w w:val="95"/>
              </w:rPr>
              <w:t>Emerging growth company</w:t>
            </w:r>
          </w:p>
        </w:tc>
        <w:tc>
          <w:tcPr>
            <w:tcW w:w="260" w:type="dxa"/>
            <w:vAlign w:val="bottom"/>
          </w:tcPr>
          <w:p>
            <w:pPr>
              <w:ind w:left="80"/>
              <w:spacing w:after="0" w:line="181" w:lineRule="exact"/>
              <w:rPr>
                <w:sz w:val="20"/>
                <w:szCs w:val="20"/>
                <w:color w:val="auto"/>
              </w:rPr>
            </w:pPr>
            <w:r>
              <w:rPr>
                <w:rFonts w:ascii="MS PGothic" w:cs="MS PGothic" w:eastAsia="MS PGothic" w:hAnsi="MS PGothic"/>
                <w:sz w:val="18"/>
                <w:szCs w:val="18"/>
                <w:color w:val="auto"/>
                <w:w w:val="88"/>
              </w:rPr>
              <w:t>☒</w:t>
            </w:r>
          </w:p>
        </w:tc>
      </w:tr>
    </w:tbl>
    <w:p>
      <w:pPr>
        <w:spacing w:after="0" w:line="182" w:lineRule="exact"/>
        <w:rPr>
          <w:sz w:val="24"/>
          <w:szCs w:val="24"/>
          <w:color w:val="auto"/>
        </w:rPr>
      </w:pPr>
    </w:p>
    <w:p>
      <w:pPr>
        <w:ind w:lef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16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58" w:lineRule="exact"/>
        <w:rPr>
          <w:sz w:val="24"/>
          <w:szCs w:val="24"/>
          <w:color w:val="auto"/>
        </w:rPr>
      </w:pPr>
    </w:p>
    <w:p>
      <w:pPr>
        <w:ind w:left="160"/>
        <w:spacing w:after="0"/>
        <w:rPr>
          <w:sz w:val="20"/>
          <w:szCs w:val="20"/>
          <w:color w:val="auto"/>
        </w:rPr>
      </w:pPr>
      <w:r>
        <w:rPr>
          <w:rFonts w:ascii="Arial" w:cs="Arial" w:eastAsia="Arial" w:hAnsi="Arial"/>
          <w:sz w:val="16"/>
          <w:szCs w:val="16"/>
          <w:color w:val="auto"/>
        </w:rPr>
        <w:t>As of May 2, 2022 a total of 40,970,322 shares of the Registrant’s common stock, par value $0.0001, (“</w:t>
      </w:r>
      <w:r>
        <w:rPr>
          <w:rFonts w:ascii="Arial" w:cs="Arial" w:eastAsia="Arial" w:hAnsi="Arial"/>
          <w:sz w:val="16"/>
          <w:szCs w:val="16"/>
          <w:i w:val="1"/>
          <w:iCs w:val="1"/>
          <w:color w:val="auto"/>
        </w:rPr>
        <w:t>Common Stock</w:t>
      </w:r>
      <w:r>
        <w:rPr>
          <w:rFonts w:ascii="Arial" w:cs="Arial" w:eastAsia="Arial" w:hAnsi="Arial"/>
          <w:sz w:val="16"/>
          <w:szCs w:val="16"/>
          <w:color w:val="auto"/>
        </w:rPr>
        <w:t>”) were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243840</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526415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47"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380" w:type="dxa"/>
            <w:vAlign w:val="bottom"/>
            <w:gridSpan w:val="3"/>
          </w:tcPr>
          <w:p>
            <w:pPr>
              <w:spacing w:after="0"/>
              <w:rPr>
                <w:sz w:val="20"/>
                <w:szCs w:val="20"/>
                <w:color w:val="auto"/>
              </w:rPr>
            </w:pPr>
            <w:r>
              <w:rPr>
                <w:rFonts w:ascii="Arial" w:cs="Arial" w:eastAsia="Arial" w:hAnsi="Arial"/>
                <w:sz w:val="18"/>
                <w:szCs w:val="18"/>
                <w:color w:val="0000EE"/>
                <w:w w:val="95"/>
              </w:rPr>
              <w:t>Table of Contents</w:t>
            </w: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695"/>
        </w:trPr>
        <w:tc>
          <w:tcPr>
            <w:tcW w:w="1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700" w:type="dxa"/>
            <w:vAlign w:val="bottom"/>
            <w:gridSpan w:val="8"/>
          </w:tcPr>
          <w:p>
            <w:pPr>
              <w:jc w:val="center"/>
              <w:ind w:right="2860"/>
              <w:spacing w:after="0"/>
              <w:rPr>
                <w:sz w:val="20"/>
                <w:szCs w:val="20"/>
                <w:color w:val="auto"/>
              </w:rPr>
            </w:pPr>
            <w:r>
              <w:rPr>
                <w:rFonts w:ascii="Arial" w:cs="Arial" w:eastAsia="Arial" w:hAnsi="Arial"/>
                <w:sz w:val="18"/>
                <w:szCs w:val="18"/>
                <w:b w:val="1"/>
                <w:bCs w:val="1"/>
                <w:color w:val="auto"/>
              </w:rPr>
              <w:t>WRAP TECHNOLOGIES, INC.</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32"/>
        </w:trPr>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700" w:type="dxa"/>
            <w:vAlign w:val="bottom"/>
            <w:gridSpan w:val="8"/>
          </w:tcPr>
          <w:p>
            <w:pPr>
              <w:jc w:val="center"/>
              <w:ind w:right="2860"/>
              <w:spacing w:after="0"/>
              <w:rPr>
                <w:sz w:val="20"/>
                <w:szCs w:val="20"/>
                <w:color w:val="auto"/>
              </w:rPr>
            </w:pPr>
            <w:r>
              <w:rPr>
                <w:rFonts w:ascii="Arial" w:cs="Arial" w:eastAsia="Arial" w:hAnsi="Arial"/>
                <w:sz w:val="18"/>
                <w:szCs w:val="18"/>
                <w:color w:val="auto"/>
              </w:rPr>
              <w:t>INDEX</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91"/>
        </w:trPr>
        <w:tc>
          <w:tcPr>
            <w:tcW w:w="3020" w:type="dxa"/>
            <w:vAlign w:val="bottom"/>
            <w:tcBorders>
              <w:bottom w:val="single" w:sz="8" w:color="0000EE"/>
            </w:tcBorders>
            <w:gridSpan w:val="1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FINANCIAL INFORMATION</w:t>
              </w:r>
            </w:hyperlink>
          </w:p>
        </w:tc>
        <w:tc>
          <w:tcPr>
            <w:tcW w:w="6960" w:type="dxa"/>
            <w:vAlign w:val="bottom"/>
            <w:gridSpan w:val="11"/>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12"/>
        </w:trPr>
        <w:tc>
          <w:tcPr>
            <w:tcW w:w="1380" w:type="dxa"/>
            <w:vAlign w:val="bottom"/>
            <w:gridSpan w:val="3"/>
          </w:tcPr>
          <w:p>
            <w:pPr>
              <w:ind w:left="180"/>
              <w:spacing w:after="0"/>
              <w:rPr>
                <w:sz w:val="20"/>
                <w:szCs w:val="20"/>
                <w:color w:val="auto"/>
              </w:rPr>
            </w:pPr>
            <w:r>
              <w:rPr>
                <w:rFonts w:ascii="Arial" w:cs="Arial" w:eastAsia="Arial" w:hAnsi="Arial"/>
                <w:sz w:val="18"/>
                <w:szCs w:val="18"/>
                <w:color w:val="auto"/>
              </w:rPr>
              <w:t>Item 1.</w:t>
            </w:r>
          </w:p>
        </w:tc>
        <w:tc>
          <w:tcPr>
            <w:tcW w:w="156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7040" w:type="dxa"/>
            <w:vAlign w:val="bottom"/>
            <w:gridSpan w:val="12"/>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96"/>
        </w:trPr>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160" w:type="dxa"/>
            <w:vAlign w:val="bottom"/>
            <w:tcBorders>
              <w:bottom w:val="single" w:sz="8" w:color="0000EE"/>
            </w:tcBorders>
            <w:gridSpan w:val="15"/>
          </w:tcPr>
          <w:p>
            <w:pPr>
              <w:spacing w:after="0" w:line="196" w:lineRule="exact"/>
              <w:rPr>
                <w:rFonts w:ascii="Arial" w:cs="Arial" w:eastAsia="Arial" w:hAnsi="Arial"/>
                <w:sz w:val="18"/>
                <w:szCs w:val="18"/>
                <w:color w:val="0000EE"/>
                <w:w w:val="89"/>
              </w:rPr>
            </w:pPr>
            <w:hyperlink w:anchor="page3">
              <w:r>
                <w:rPr>
                  <w:rFonts w:ascii="Arial" w:cs="Arial" w:eastAsia="Arial" w:hAnsi="Arial"/>
                  <w:sz w:val="18"/>
                  <w:szCs w:val="18"/>
                  <w:color w:val="0000EE"/>
                  <w:w w:val="89"/>
                </w:rPr>
                <w:t>Condensed Consolidated Balance Sheets as of March 31, 2022 (unaudited) and December 31, 2021</w:t>
              </w:r>
            </w:hyperlink>
          </w:p>
        </w:tc>
        <w:tc>
          <w:tcPr>
            <w:tcW w:w="1280" w:type="dxa"/>
            <w:vAlign w:val="bottom"/>
            <w:gridSpan w:val="4"/>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Borders>
              <w:bottom w:val="single" w:sz="8" w:color="0000EE"/>
            </w:tcBorders>
          </w:tcPr>
          <w:p>
            <w:pPr>
              <w:jc w:val="center"/>
              <w:spacing w:after="0" w:line="196"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1</w:t>
              </w:r>
            </w:hyperlink>
          </w:p>
        </w:tc>
        <w:tc>
          <w:tcPr>
            <w:tcW w:w="50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40" w:type="dxa"/>
            <w:vAlign w:val="bottom"/>
            <w:gridSpan w:val="19"/>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Operations and Comprehensive Loss for the three months ended</w:t>
              </w:r>
            </w:hyperlink>
          </w:p>
        </w:tc>
        <w:tc>
          <w:tcPr>
            <w:tcW w:w="760" w:type="dxa"/>
            <w:vAlign w:val="bottom"/>
            <w:gridSpan w:val="2"/>
          </w:tcPr>
          <w:p>
            <w:pPr>
              <w:jc w:val="center"/>
              <w:ind w:left="570"/>
              <w:spacing w:after="0" w:line="196"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2</w:t>
              </w:r>
            </w:hyperlink>
          </w:p>
        </w:tc>
        <w:tc>
          <w:tcPr>
            <w:tcW w:w="50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7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March 31, 2022 and 2021 (unaudited)</w:t>
              </w:r>
            </w:hyperlink>
          </w:p>
        </w:tc>
        <w:tc>
          <w:tcPr>
            <w:tcW w:w="4760" w:type="dxa"/>
            <w:vAlign w:val="bottom"/>
            <w:tcBorders>
              <w:top w:val="single" w:sz="8" w:color="0000EE"/>
            </w:tcBorders>
            <w:gridSpan w:val="5"/>
          </w:tcPr>
          <w:p>
            <w:pPr>
              <w:spacing w:after="0"/>
              <w:rPr>
                <w:sz w:val="17"/>
                <w:szCs w:val="17"/>
                <w:color w:val="auto"/>
              </w:rPr>
            </w:pPr>
          </w:p>
        </w:tc>
        <w:tc>
          <w:tcPr>
            <w:tcW w:w="940" w:type="dxa"/>
            <w:vAlign w:val="bottom"/>
            <w:gridSpan w:val="3"/>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40" w:type="dxa"/>
            <w:vAlign w:val="bottom"/>
            <w:gridSpan w:val="19"/>
          </w:tcPr>
          <w:p>
            <w:pPr>
              <w:spacing w:after="0" w:line="196" w:lineRule="exact"/>
              <w:rPr>
                <w:rFonts w:ascii="Arial" w:cs="Arial" w:eastAsia="Arial" w:hAnsi="Arial"/>
                <w:sz w:val="18"/>
                <w:szCs w:val="18"/>
                <w:color w:val="0000EE"/>
                <w:w w:val="96"/>
              </w:rPr>
            </w:pPr>
            <w:hyperlink w:anchor="page5">
              <w:r>
                <w:rPr>
                  <w:rFonts w:ascii="Arial" w:cs="Arial" w:eastAsia="Arial" w:hAnsi="Arial"/>
                  <w:sz w:val="18"/>
                  <w:szCs w:val="18"/>
                  <w:color w:val="0000EE"/>
                  <w:w w:val="96"/>
                </w:rPr>
                <w:t>Condensed Consolidated Statements of Stockholders Equity for the three months ended March 31, 2022 and</w:t>
              </w:r>
            </w:hyperlink>
          </w:p>
        </w:tc>
        <w:tc>
          <w:tcPr>
            <w:tcW w:w="760" w:type="dxa"/>
            <w:vAlign w:val="bottom"/>
            <w:gridSpan w:val="2"/>
          </w:tcPr>
          <w:p>
            <w:pPr>
              <w:jc w:val="center"/>
              <w:ind w:left="570"/>
              <w:spacing w:after="0" w:line="196"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3</w:t>
              </w:r>
            </w:hyperlink>
          </w:p>
        </w:tc>
        <w:tc>
          <w:tcPr>
            <w:tcW w:w="50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2021 (unaudited)</w:t>
              </w:r>
            </w:hyperlink>
          </w:p>
        </w:tc>
        <w:tc>
          <w:tcPr>
            <w:tcW w:w="6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0" w:type="dxa"/>
            <w:vAlign w:val="bottom"/>
            <w:tcBorders>
              <w:bottom w:val="single" w:sz="8" w:color="0000EE"/>
            </w:tcBorders>
            <w:gridSpan w:val="17"/>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Condensed Consolidated Statements of Cash Flows for the three months ended March 31, 2022 and 2021</w:t>
              </w:r>
            </w:hyperlink>
          </w:p>
        </w:tc>
        <w:tc>
          <w:tcPr>
            <w:tcW w:w="840" w:type="dxa"/>
            <w:vAlign w:val="bottom"/>
            <w:gridSpan w:val="2"/>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Borders>
              <w:bottom w:val="single" w:sz="8" w:color="0000EE"/>
            </w:tcBorders>
          </w:tcPr>
          <w:p>
            <w:pPr>
              <w:jc w:val="center"/>
              <w:spacing w:after="0" w:line="196" w:lineRule="exact"/>
              <w:rPr>
                <w:rFonts w:ascii="Arial" w:cs="Arial" w:eastAsia="Arial" w:hAnsi="Arial"/>
                <w:sz w:val="18"/>
                <w:szCs w:val="18"/>
                <w:color w:val="0000EE"/>
                <w:w w:val="99"/>
              </w:rPr>
            </w:pPr>
            <w:hyperlink w:anchor="page6">
              <w:r>
                <w:rPr>
                  <w:rFonts w:ascii="Arial" w:cs="Arial" w:eastAsia="Arial" w:hAnsi="Arial"/>
                  <w:sz w:val="18"/>
                  <w:szCs w:val="18"/>
                  <w:color w:val="0000EE"/>
                  <w:w w:val="99"/>
                </w:rPr>
                <w:t>4</w:t>
              </w:r>
            </w:hyperlink>
          </w:p>
        </w:tc>
        <w:tc>
          <w:tcPr>
            <w:tcW w:w="50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Borders>
              <w:bottom w:val="single" w:sz="8" w:color="0000EE"/>
            </w:tcBorders>
            <w:gridSpan w:val="3"/>
          </w:tcPr>
          <w:p>
            <w:pPr>
              <w:spacing w:after="0" w:line="19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(unaudited)</w:t>
              </w:r>
            </w:hyperlink>
          </w:p>
        </w:tc>
        <w:tc>
          <w:tcPr>
            <w:tcW w:w="7600" w:type="dxa"/>
            <w:vAlign w:val="bottom"/>
            <w:gridSpan w:val="16"/>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196"/>
        </w:trPr>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40" w:type="dxa"/>
            <w:vAlign w:val="bottom"/>
            <w:gridSpan w:val="19"/>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Unaudited Condensed Consolidated Interim Financial Statements</w:t>
              </w:r>
            </w:hyperlink>
          </w:p>
        </w:tc>
        <w:tc>
          <w:tcPr>
            <w:tcW w:w="760" w:type="dxa"/>
            <w:vAlign w:val="bottom"/>
            <w:gridSpan w:val="2"/>
          </w:tcPr>
          <w:p>
            <w:pPr>
              <w:jc w:val="center"/>
              <w:ind w:left="570"/>
              <w:spacing w:after="0" w:line="196"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5</w:t>
              </w:r>
            </w:hyperlink>
          </w:p>
        </w:tc>
        <w:tc>
          <w:tcPr>
            <w:tcW w:w="500" w:type="dxa"/>
            <w:vAlign w:val="bottom"/>
          </w:tcPr>
          <w:p>
            <w:pPr>
              <w:spacing w:after="0"/>
              <w:rPr>
                <w:sz w:val="17"/>
                <w:szCs w:val="17"/>
                <w:color w:val="auto"/>
              </w:rPr>
            </w:pPr>
          </w:p>
        </w:tc>
      </w:tr>
      <w:tr>
        <w:trPr>
          <w:trHeight w:val="20"/>
        </w:trPr>
        <w:tc>
          <w:tcPr>
            <w:tcW w:w="1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4"/>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1160" w:type="dxa"/>
            <w:vAlign w:val="bottom"/>
            <w:tcBorders>
              <w:left w:val="single" w:sz="8" w:color="0000EE"/>
            </w:tcBorders>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196"/>
        </w:trPr>
        <w:tc>
          <w:tcPr>
            <w:tcW w:w="1380" w:type="dxa"/>
            <w:vAlign w:val="bottom"/>
            <w:gridSpan w:val="3"/>
          </w:tcPr>
          <w:p>
            <w:pPr>
              <w:ind w:left="180"/>
              <w:spacing w:after="0" w:line="196" w:lineRule="exact"/>
              <w:rPr>
                <w:sz w:val="20"/>
                <w:szCs w:val="20"/>
                <w:color w:val="auto"/>
              </w:rPr>
            </w:pPr>
            <w:r>
              <w:rPr>
                <w:rFonts w:ascii="Arial" w:cs="Arial" w:eastAsia="Arial" w:hAnsi="Arial"/>
                <w:sz w:val="18"/>
                <w:szCs w:val="18"/>
                <w:color w:val="auto"/>
              </w:rPr>
              <w:t>Item 2.</w:t>
            </w:r>
          </w:p>
        </w:tc>
        <w:tc>
          <w:tcPr>
            <w:tcW w:w="8600" w:type="dxa"/>
            <w:vAlign w:val="bottom"/>
            <w:gridSpan w:val="20"/>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Management’s Discussion and Analysis of Financial Condition and Results of Operations</w:t>
              </w:r>
            </w:hyperlink>
          </w:p>
        </w:tc>
        <w:tc>
          <w:tcPr>
            <w:tcW w:w="1260" w:type="dxa"/>
            <w:vAlign w:val="bottom"/>
            <w:gridSpan w:val="3"/>
          </w:tcPr>
          <w:p>
            <w:pPr>
              <w:jc w:val="center"/>
              <w:ind w:left="70"/>
              <w:spacing w:after="0" w:line="196" w:lineRule="exact"/>
              <w:rPr>
                <w:rFonts w:ascii="Arial" w:cs="Arial" w:eastAsia="Arial" w:hAnsi="Arial"/>
                <w:sz w:val="18"/>
                <w:szCs w:val="18"/>
                <w:color w:val="0000EE"/>
                <w:w w:val="89"/>
              </w:rPr>
            </w:pPr>
            <w:hyperlink w:anchor="page18">
              <w:r>
                <w:rPr>
                  <w:rFonts w:ascii="Arial" w:cs="Arial" w:eastAsia="Arial" w:hAnsi="Arial"/>
                  <w:sz w:val="18"/>
                  <w:szCs w:val="18"/>
                  <w:color w:val="0000EE"/>
                  <w:w w:val="89"/>
                </w:rPr>
                <w:t>16</w:t>
              </w:r>
            </w:hyperlink>
          </w:p>
        </w:tc>
      </w:tr>
      <w:tr>
        <w:trPr>
          <w:trHeight w:val="20"/>
        </w:trPr>
        <w:tc>
          <w:tcPr>
            <w:tcW w:w="1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4"/>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2100" w:type="dxa"/>
            <w:vAlign w:val="bottom"/>
            <w:tcBorders>
              <w:left w:val="single" w:sz="8" w:color="0000EE"/>
            </w:tcBorders>
            <w:gridSpan w:val="2"/>
            <w:shd w:val="clear" w:color="auto" w:fill="0000EE"/>
          </w:tcPr>
          <w:p>
            <w:pPr>
              <w:spacing w:after="0" w:line="20" w:lineRule="exact"/>
              <w:rPr>
                <w:sz w:val="1"/>
                <w:szCs w:val="1"/>
                <w:color w:val="auto"/>
              </w:rPr>
            </w:pPr>
          </w:p>
        </w:tc>
        <w:tc>
          <w:tcPr>
            <w:tcW w:w="2140" w:type="dxa"/>
            <w:vAlign w:val="bottom"/>
            <w:gridSpan w:val="5"/>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r>
      <w:tr>
        <w:trPr>
          <w:trHeight w:val="196"/>
        </w:trPr>
        <w:tc>
          <w:tcPr>
            <w:tcW w:w="1380" w:type="dxa"/>
            <w:vAlign w:val="bottom"/>
            <w:gridSpan w:val="3"/>
          </w:tcPr>
          <w:p>
            <w:pPr>
              <w:ind w:left="180"/>
              <w:spacing w:after="0" w:line="196" w:lineRule="exact"/>
              <w:rPr>
                <w:sz w:val="20"/>
                <w:szCs w:val="20"/>
                <w:color w:val="auto"/>
              </w:rPr>
            </w:pPr>
            <w:r>
              <w:rPr>
                <w:rFonts w:ascii="Arial" w:cs="Arial" w:eastAsia="Arial" w:hAnsi="Arial"/>
                <w:sz w:val="18"/>
                <w:szCs w:val="18"/>
                <w:color w:val="auto"/>
              </w:rPr>
              <w:t>Item 3.</w:t>
            </w:r>
          </w:p>
        </w:tc>
        <w:tc>
          <w:tcPr>
            <w:tcW w:w="4360" w:type="dxa"/>
            <w:vAlign w:val="bottom"/>
            <w:gridSpan w:val="13"/>
          </w:tcPr>
          <w:p>
            <w:pPr>
              <w:spacing w:after="0" w:line="196" w:lineRule="exact"/>
              <w:rPr>
                <w:rFonts w:ascii="Arial" w:cs="Arial" w:eastAsia="Arial" w:hAnsi="Arial"/>
                <w:sz w:val="18"/>
                <w:szCs w:val="18"/>
                <w:color w:val="0000EE"/>
                <w:w w:val="91"/>
              </w:rPr>
            </w:pPr>
            <w:hyperlink w:anchor="page25">
              <w:r>
                <w:rPr>
                  <w:rFonts w:ascii="Arial" w:cs="Arial" w:eastAsia="Arial" w:hAnsi="Arial"/>
                  <w:sz w:val="18"/>
                  <w:szCs w:val="18"/>
                  <w:color w:val="0000EE"/>
                  <w:w w:val="91"/>
                </w:rPr>
                <w:t>Quantitative and Qualitative Disclosures About Market Risk</w:t>
              </w:r>
            </w:hyperlink>
          </w:p>
        </w:tc>
        <w:tc>
          <w:tcPr>
            <w:tcW w:w="2100" w:type="dxa"/>
            <w:vAlign w:val="bottom"/>
            <w:gridSpan w:val="2"/>
          </w:tcPr>
          <w:p>
            <w:pPr>
              <w:spacing w:after="0"/>
              <w:rPr>
                <w:sz w:val="17"/>
                <w:szCs w:val="17"/>
                <w:color w:val="auto"/>
              </w:rPr>
            </w:pPr>
          </w:p>
        </w:tc>
        <w:tc>
          <w:tcPr>
            <w:tcW w:w="2140" w:type="dxa"/>
            <w:vAlign w:val="bottom"/>
            <w:gridSpan w:val="5"/>
          </w:tcPr>
          <w:p>
            <w:pPr>
              <w:spacing w:after="0"/>
              <w:rPr>
                <w:sz w:val="17"/>
                <w:szCs w:val="17"/>
                <w:color w:val="auto"/>
              </w:rPr>
            </w:pPr>
          </w:p>
        </w:tc>
        <w:tc>
          <w:tcPr>
            <w:tcW w:w="1260" w:type="dxa"/>
            <w:vAlign w:val="bottom"/>
            <w:gridSpan w:val="3"/>
          </w:tcPr>
          <w:p>
            <w:pPr>
              <w:jc w:val="center"/>
              <w:ind w:left="70"/>
              <w:spacing w:after="0" w:line="19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23</w:t>
              </w:r>
            </w:hyperlink>
          </w:p>
        </w:tc>
      </w:tr>
      <w:tr>
        <w:trPr>
          <w:trHeight w:val="20"/>
        </w:trPr>
        <w:tc>
          <w:tcPr>
            <w:tcW w:w="1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4"/>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4240" w:type="dxa"/>
            <w:vAlign w:val="bottom"/>
            <w:tcBorders>
              <w:left w:val="single" w:sz="8" w:color="0000EE"/>
            </w:tcBorders>
            <w:gridSpan w:val="7"/>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r>
      <w:tr>
        <w:trPr>
          <w:trHeight w:val="196"/>
        </w:trPr>
        <w:tc>
          <w:tcPr>
            <w:tcW w:w="1380" w:type="dxa"/>
            <w:vAlign w:val="bottom"/>
            <w:gridSpan w:val="3"/>
          </w:tcPr>
          <w:p>
            <w:pPr>
              <w:ind w:left="180"/>
              <w:spacing w:after="0" w:line="196" w:lineRule="exact"/>
              <w:rPr>
                <w:sz w:val="20"/>
                <w:szCs w:val="20"/>
                <w:color w:val="auto"/>
              </w:rPr>
            </w:pPr>
            <w:r>
              <w:rPr>
                <w:rFonts w:ascii="Arial" w:cs="Arial" w:eastAsia="Arial" w:hAnsi="Arial"/>
                <w:sz w:val="18"/>
                <w:szCs w:val="18"/>
                <w:color w:val="auto"/>
              </w:rPr>
              <w:t>Item 4.</w:t>
            </w:r>
          </w:p>
        </w:tc>
        <w:tc>
          <w:tcPr>
            <w:tcW w:w="1780" w:type="dxa"/>
            <w:vAlign w:val="bottom"/>
            <w:gridSpan w:val="10"/>
          </w:tcPr>
          <w:p>
            <w:pPr>
              <w:spacing w:after="0" w:line="196" w:lineRule="exact"/>
              <w:rPr>
                <w:rFonts w:ascii="Arial" w:cs="Arial" w:eastAsia="Arial" w:hAnsi="Arial"/>
                <w:sz w:val="18"/>
                <w:szCs w:val="18"/>
                <w:color w:val="0000EE"/>
                <w:w w:val="88"/>
              </w:rPr>
            </w:pPr>
            <w:hyperlink w:anchor="page25">
              <w:r>
                <w:rPr>
                  <w:rFonts w:ascii="Arial" w:cs="Arial" w:eastAsia="Arial" w:hAnsi="Arial"/>
                  <w:sz w:val="18"/>
                  <w:szCs w:val="18"/>
                  <w:color w:val="0000EE"/>
                  <w:w w:val="88"/>
                </w:rPr>
                <w:t>Controls and Procedures</w:t>
              </w:r>
            </w:hyperlink>
          </w:p>
        </w:tc>
        <w:tc>
          <w:tcPr>
            <w:tcW w:w="2580" w:type="dxa"/>
            <w:vAlign w:val="bottom"/>
            <w:gridSpan w:val="3"/>
          </w:tcPr>
          <w:p>
            <w:pPr>
              <w:spacing w:after="0"/>
              <w:rPr>
                <w:sz w:val="17"/>
                <w:szCs w:val="17"/>
                <w:color w:val="auto"/>
              </w:rPr>
            </w:pPr>
          </w:p>
        </w:tc>
        <w:tc>
          <w:tcPr>
            <w:tcW w:w="4240" w:type="dxa"/>
            <w:vAlign w:val="bottom"/>
            <w:gridSpan w:val="7"/>
          </w:tcPr>
          <w:p>
            <w:pPr>
              <w:spacing w:after="0"/>
              <w:rPr>
                <w:sz w:val="17"/>
                <w:szCs w:val="17"/>
                <w:color w:val="auto"/>
              </w:rPr>
            </w:pPr>
          </w:p>
        </w:tc>
        <w:tc>
          <w:tcPr>
            <w:tcW w:w="1260" w:type="dxa"/>
            <w:vAlign w:val="bottom"/>
            <w:gridSpan w:val="3"/>
          </w:tcPr>
          <w:p>
            <w:pPr>
              <w:jc w:val="center"/>
              <w:ind w:left="70"/>
              <w:spacing w:after="0" w:line="19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23</w:t>
              </w:r>
            </w:hyperlink>
          </w:p>
        </w:tc>
      </w:tr>
      <w:tr>
        <w:trPr>
          <w:trHeight w:val="20"/>
        </w:trPr>
        <w:tc>
          <w:tcPr>
            <w:tcW w:w="1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gridSpan w:val="4"/>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240" w:type="dxa"/>
            <w:vAlign w:val="bottom"/>
            <w:gridSpan w:val="7"/>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r>
      <w:tr>
        <w:trPr>
          <w:trHeight w:val="412"/>
        </w:trPr>
        <w:tc>
          <w:tcPr>
            <w:tcW w:w="2580" w:type="dxa"/>
            <w:vAlign w:val="bottom"/>
            <w:tcBorders>
              <w:bottom w:val="single" w:sz="8" w:color="0000EE"/>
            </w:tcBorders>
            <w:gridSpan w:val="8"/>
          </w:tcPr>
          <w:p>
            <w:pPr>
              <w:spacing w:after="0"/>
              <w:rPr>
                <w:rFonts w:ascii="Arial" w:cs="Arial" w:eastAsia="Arial" w:hAnsi="Arial"/>
                <w:sz w:val="18"/>
                <w:szCs w:val="18"/>
                <w:color w:val="0000EE"/>
                <w:w w:val="95"/>
              </w:rPr>
            </w:pPr>
            <w:hyperlink w:anchor="page26">
              <w:r>
                <w:rPr>
                  <w:rFonts w:ascii="Arial" w:cs="Arial" w:eastAsia="Arial" w:hAnsi="Arial"/>
                  <w:sz w:val="18"/>
                  <w:szCs w:val="18"/>
                  <w:color w:val="0000EE"/>
                  <w:w w:val="95"/>
                </w:rPr>
                <w:t>PART II. OTHER INFORMATION</w:t>
              </w:r>
            </w:hyperlink>
          </w:p>
        </w:tc>
        <w:tc>
          <w:tcPr>
            <w:tcW w:w="7400" w:type="dxa"/>
            <w:vAlign w:val="bottom"/>
            <w:gridSpan w:val="15"/>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12"/>
        </w:trPr>
        <w:tc>
          <w:tcPr>
            <w:tcW w:w="1380" w:type="dxa"/>
            <w:vAlign w:val="bottom"/>
            <w:gridSpan w:val="3"/>
          </w:tcPr>
          <w:p>
            <w:pPr>
              <w:ind w:left="180"/>
              <w:spacing w:after="0"/>
              <w:rPr>
                <w:sz w:val="20"/>
                <w:szCs w:val="20"/>
                <w:color w:val="auto"/>
              </w:rPr>
            </w:pPr>
            <w:r>
              <w:rPr>
                <w:rFonts w:ascii="Arial" w:cs="Arial" w:eastAsia="Arial" w:hAnsi="Arial"/>
                <w:sz w:val="18"/>
                <w:szCs w:val="18"/>
                <w:color w:val="auto"/>
              </w:rPr>
              <w:t>Item 1.</w:t>
            </w:r>
          </w:p>
        </w:tc>
        <w:tc>
          <w:tcPr>
            <w:tcW w:w="1320" w:type="dxa"/>
            <w:vAlign w:val="bottom"/>
            <w:gridSpan w:val="6"/>
          </w:tcPr>
          <w:p>
            <w:pPr>
              <w:spacing w:after="0"/>
              <w:rPr>
                <w:rFonts w:ascii="Arial" w:cs="Arial" w:eastAsia="Arial" w:hAnsi="Arial"/>
                <w:sz w:val="18"/>
                <w:szCs w:val="18"/>
                <w:color w:val="0000EE"/>
                <w:w w:val="85"/>
              </w:rPr>
            </w:pPr>
            <w:hyperlink w:anchor="page26">
              <w:r>
                <w:rPr>
                  <w:rFonts w:ascii="Arial" w:cs="Arial" w:eastAsia="Arial" w:hAnsi="Arial"/>
                  <w:sz w:val="18"/>
                  <w:szCs w:val="18"/>
                  <w:color w:val="0000EE"/>
                  <w:w w:val="85"/>
                </w:rPr>
                <w:t>Legal Proceedings</w:t>
              </w:r>
            </w:hyperlink>
          </w:p>
        </w:tc>
        <w:tc>
          <w:tcPr>
            <w:tcW w:w="7280" w:type="dxa"/>
            <w:vAlign w:val="bottom"/>
            <w:gridSpan w:val="14"/>
          </w:tcPr>
          <w:p>
            <w:pPr>
              <w:spacing w:after="0"/>
              <w:rPr>
                <w:sz w:val="24"/>
                <w:szCs w:val="24"/>
                <w:color w:val="auto"/>
              </w:rPr>
            </w:pPr>
          </w:p>
        </w:tc>
        <w:tc>
          <w:tcPr>
            <w:tcW w:w="1260" w:type="dxa"/>
            <w:vAlign w:val="bottom"/>
            <w:gridSpan w:val="3"/>
          </w:tcPr>
          <w:p>
            <w:pPr>
              <w:jc w:val="center"/>
              <w:ind w:left="70"/>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24</w:t>
              </w:r>
            </w:hyperlink>
          </w:p>
        </w:tc>
      </w:tr>
      <w:tr>
        <w:trPr>
          <w:trHeight w:val="20"/>
        </w:trPr>
        <w:tc>
          <w:tcPr>
            <w:tcW w:w="1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000" w:type="dxa"/>
            <w:vAlign w:val="bottom"/>
            <w:tcBorders>
              <w:left w:val="single" w:sz="8" w:color="0000EE"/>
            </w:tcBorders>
            <w:gridSpan w:val="5"/>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240" w:type="dxa"/>
            <w:vAlign w:val="bottom"/>
            <w:gridSpan w:val="7"/>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r>
      <w:tr>
        <w:trPr>
          <w:trHeight w:val="196"/>
        </w:trPr>
        <w:tc>
          <w:tcPr>
            <w:tcW w:w="1380" w:type="dxa"/>
            <w:vAlign w:val="bottom"/>
            <w:gridSpan w:val="3"/>
          </w:tcPr>
          <w:p>
            <w:pPr>
              <w:ind w:left="180"/>
              <w:spacing w:after="0" w:line="196" w:lineRule="exact"/>
              <w:rPr>
                <w:sz w:val="20"/>
                <w:szCs w:val="20"/>
                <w:color w:val="auto"/>
              </w:rPr>
            </w:pPr>
            <w:r>
              <w:rPr>
                <w:rFonts w:ascii="Arial" w:cs="Arial" w:eastAsia="Arial" w:hAnsi="Arial"/>
                <w:sz w:val="18"/>
                <w:szCs w:val="18"/>
                <w:color w:val="auto"/>
              </w:rPr>
              <w:t>Item 1A.</w:t>
            </w:r>
          </w:p>
        </w:tc>
        <w:tc>
          <w:tcPr>
            <w:tcW w:w="1320" w:type="dxa"/>
            <w:vAlign w:val="bottom"/>
            <w:gridSpan w:val="6"/>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Risk Factors</w:t>
              </w:r>
            </w:hyperlink>
          </w:p>
        </w:tc>
        <w:tc>
          <w:tcPr>
            <w:tcW w:w="7280" w:type="dxa"/>
            <w:vAlign w:val="bottom"/>
            <w:gridSpan w:val="14"/>
          </w:tcPr>
          <w:p>
            <w:pPr>
              <w:spacing w:after="0"/>
              <w:rPr>
                <w:sz w:val="17"/>
                <w:szCs w:val="17"/>
                <w:color w:val="auto"/>
              </w:rPr>
            </w:pPr>
          </w:p>
        </w:tc>
        <w:tc>
          <w:tcPr>
            <w:tcW w:w="1260" w:type="dxa"/>
            <w:vAlign w:val="bottom"/>
            <w:gridSpan w:val="3"/>
          </w:tcPr>
          <w:p>
            <w:pPr>
              <w:jc w:val="center"/>
              <w:ind w:left="70"/>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25</w:t>
              </w:r>
            </w:hyperlink>
          </w:p>
        </w:tc>
      </w:tr>
      <w:tr>
        <w:trPr>
          <w:trHeight w:val="20"/>
        </w:trPr>
        <w:tc>
          <w:tcPr>
            <w:tcW w:w="1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40" w:type="dxa"/>
            <w:vAlign w:val="bottom"/>
            <w:gridSpan w:val="2"/>
          </w:tcPr>
          <w:p>
            <w:pPr>
              <w:spacing w:after="0" w:line="20" w:lineRule="exact"/>
              <w:rPr>
                <w:sz w:val="1"/>
                <w:szCs w:val="1"/>
                <w:color w:val="auto"/>
              </w:rPr>
            </w:pPr>
          </w:p>
        </w:tc>
        <w:tc>
          <w:tcPr>
            <w:tcW w:w="4240" w:type="dxa"/>
            <w:vAlign w:val="bottom"/>
            <w:gridSpan w:val="7"/>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r>
      <w:tr>
        <w:trPr>
          <w:trHeight w:val="196"/>
        </w:trPr>
        <w:tc>
          <w:tcPr>
            <w:tcW w:w="1380" w:type="dxa"/>
            <w:vAlign w:val="bottom"/>
            <w:gridSpan w:val="3"/>
          </w:tcPr>
          <w:p>
            <w:pPr>
              <w:ind w:left="180"/>
              <w:spacing w:after="0" w:line="196" w:lineRule="exact"/>
              <w:rPr>
                <w:sz w:val="20"/>
                <w:szCs w:val="20"/>
                <w:color w:val="auto"/>
              </w:rPr>
            </w:pPr>
            <w:r>
              <w:rPr>
                <w:rFonts w:ascii="Arial" w:cs="Arial" w:eastAsia="Arial" w:hAnsi="Arial"/>
                <w:sz w:val="18"/>
                <w:szCs w:val="18"/>
                <w:color w:val="auto"/>
              </w:rPr>
              <w:t>Item 2.</w:t>
            </w:r>
          </w:p>
        </w:tc>
        <w:tc>
          <w:tcPr>
            <w:tcW w:w="4360" w:type="dxa"/>
            <w:vAlign w:val="bottom"/>
            <w:gridSpan w:val="13"/>
          </w:tcPr>
          <w:p>
            <w:pPr>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Unregistered Sales of Equity Securities and Use of Proceeds</w:t>
              </w:r>
            </w:hyperlink>
          </w:p>
        </w:tc>
        <w:tc>
          <w:tcPr>
            <w:tcW w:w="4240" w:type="dxa"/>
            <w:vAlign w:val="bottom"/>
            <w:gridSpan w:val="7"/>
          </w:tcPr>
          <w:p>
            <w:pPr>
              <w:spacing w:after="0"/>
              <w:rPr>
                <w:sz w:val="17"/>
                <w:szCs w:val="17"/>
                <w:color w:val="auto"/>
              </w:rPr>
            </w:pPr>
          </w:p>
        </w:tc>
        <w:tc>
          <w:tcPr>
            <w:tcW w:w="1260" w:type="dxa"/>
            <w:vAlign w:val="bottom"/>
            <w:gridSpan w:val="3"/>
          </w:tcPr>
          <w:p>
            <w:pPr>
              <w:jc w:val="center"/>
              <w:ind w:left="70"/>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25</w:t>
              </w:r>
            </w:hyperlink>
          </w:p>
        </w:tc>
      </w:tr>
      <w:tr>
        <w:trPr>
          <w:trHeight w:val="20"/>
        </w:trPr>
        <w:tc>
          <w:tcPr>
            <w:tcW w:w="1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000" w:type="dxa"/>
            <w:vAlign w:val="bottom"/>
            <w:tcBorders>
              <w:left w:val="single" w:sz="8" w:color="0000EE"/>
            </w:tcBorders>
            <w:gridSpan w:val="5"/>
            <w:shd w:val="clear" w:color="auto" w:fill="0000EE"/>
          </w:tcPr>
          <w:p>
            <w:pPr>
              <w:spacing w:after="0" w:line="20" w:lineRule="exact"/>
              <w:rPr>
                <w:sz w:val="1"/>
                <w:szCs w:val="1"/>
                <w:color w:val="auto"/>
              </w:rPr>
            </w:pPr>
          </w:p>
        </w:tc>
        <w:tc>
          <w:tcPr>
            <w:tcW w:w="2040" w:type="dxa"/>
            <w:vAlign w:val="bottom"/>
            <w:gridSpan w:val="2"/>
            <w:shd w:val="clear" w:color="auto" w:fill="0000EE"/>
          </w:tcPr>
          <w:p>
            <w:pPr>
              <w:spacing w:after="0" w:line="20" w:lineRule="exact"/>
              <w:rPr>
                <w:sz w:val="1"/>
                <w:szCs w:val="1"/>
                <w:color w:val="auto"/>
              </w:rPr>
            </w:pPr>
          </w:p>
        </w:tc>
        <w:tc>
          <w:tcPr>
            <w:tcW w:w="4240" w:type="dxa"/>
            <w:vAlign w:val="bottom"/>
            <w:gridSpan w:val="7"/>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r>
      <w:tr>
        <w:trPr>
          <w:trHeight w:val="196"/>
        </w:trPr>
        <w:tc>
          <w:tcPr>
            <w:tcW w:w="1380" w:type="dxa"/>
            <w:vAlign w:val="bottom"/>
            <w:gridSpan w:val="3"/>
          </w:tcPr>
          <w:p>
            <w:pPr>
              <w:ind w:left="180"/>
              <w:spacing w:after="0" w:line="196" w:lineRule="exact"/>
              <w:rPr>
                <w:sz w:val="20"/>
                <w:szCs w:val="20"/>
                <w:color w:val="auto"/>
              </w:rPr>
            </w:pPr>
            <w:r>
              <w:rPr>
                <w:rFonts w:ascii="Arial" w:cs="Arial" w:eastAsia="Arial" w:hAnsi="Arial"/>
                <w:sz w:val="18"/>
                <w:szCs w:val="18"/>
                <w:color w:val="auto"/>
              </w:rPr>
              <w:t>Item 3.</w:t>
            </w:r>
          </w:p>
        </w:tc>
        <w:tc>
          <w:tcPr>
            <w:tcW w:w="4360" w:type="dxa"/>
            <w:vAlign w:val="bottom"/>
            <w:gridSpan w:val="13"/>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Defaults Upon Senior Securities</w:t>
              </w:r>
            </w:hyperlink>
          </w:p>
        </w:tc>
        <w:tc>
          <w:tcPr>
            <w:tcW w:w="4240" w:type="dxa"/>
            <w:vAlign w:val="bottom"/>
            <w:gridSpan w:val="7"/>
          </w:tcPr>
          <w:p>
            <w:pPr>
              <w:spacing w:after="0"/>
              <w:rPr>
                <w:sz w:val="17"/>
                <w:szCs w:val="17"/>
                <w:color w:val="auto"/>
              </w:rPr>
            </w:pPr>
          </w:p>
        </w:tc>
        <w:tc>
          <w:tcPr>
            <w:tcW w:w="1260" w:type="dxa"/>
            <w:vAlign w:val="bottom"/>
            <w:gridSpan w:val="3"/>
          </w:tcPr>
          <w:p>
            <w:pPr>
              <w:jc w:val="center"/>
              <w:ind w:left="70"/>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25</w:t>
              </w:r>
            </w:hyperlink>
          </w:p>
        </w:tc>
      </w:tr>
      <w:tr>
        <w:trPr>
          <w:trHeight w:val="20"/>
        </w:trPr>
        <w:tc>
          <w:tcPr>
            <w:tcW w:w="1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1000" w:type="dxa"/>
            <w:vAlign w:val="bottom"/>
            <w:tcBorders>
              <w:left w:val="single" w:sz="8" w:color="0000EE"/>
            </w:tcBorders>
            <w:gridSpan w:val="5"/>
            <w:shd w:val="clear" w:color="auto" w:fill="0000EE"/>
          </w:tcPr>
          <w:p>
            <w:pPr>
              <w:spacing w:after="0" w:line="20" w:lineRule="exact"/>
              <w:rPr>
                <w:sz w:val="1"/>
                <w:szCs w:val="1"/>
                <w:color w:val="auto"/>
              </w:rPr>
            </w:pPr>
          </w:p>
        </w:tc>
        <w:tc>
          <w:tcPr>
            <w:tcW w:w="6280" w:type="dxa"/>
            <w:vAlign w:val="bottom"/>
            <w:gridSpan w:val="9"/>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r>
      <w:tr>
        <w:trPr>
          <w:trHeight w:val="196"/>
        </w:trPr>
        <w:tc>
          <w:tcPr>
            <w:tcW w:w="1380" w:type="dxa"/>
            <w:vAlign w:val="bottom"/>
            <w:gridSpan w:val="3"/>
          </w:tcPr>
          <w:p>
            <w:pPr>
              <w:ind w:left="180"/>
              <w:spacing w:after="0" w:line="196" w:lineRule="exact"/>
              <w:rPr>
                <w:sz w:val="20"/>
                <w:szCs w:val="20"/>
                <w:color w:val="auto"/>
              </w:rPr>
            </w:pPr>
            <w:r>
              <w:rPr>
                <w:rFonts w:ascii="Arial" w:cs="Arial" w:eastAsia="Arial" w:hAnsi="Arial"/>
                <w:sz w:val="18"/>
                <w:szCs w:val="18"/>
                <w:color w:val="auto"/>
              </w:rPr>
              <w:t>Item 4.</w:t>
            </w:r>
          </w:p>
        </w:tc>
        <w:tc>
          <w:tcPr>
            <w:tcW w:w="1780" w:type="dxa"/>
            <w:vAlign w:val="bottom"/>
            <w:gridSpan w:val="10"/>
          </w:tcPr>
          <w:p>
            <w:pPr>
              <w:spacing w:after="0" w:line="196" w:lineRule="exact"/>
              <w:rPr>
                <w:rFonts w:ascii="Arial" w:cs="Arial" w:eastAsia="Arial" w:hAnsi="Arial"/>
                <w:sz w:val="18"/>
                <w:szCs w:val="18"/>
                <w:color w:val="0000EE"/>
                <w:w w:val="91"/>
              </w:rPr>
            </w:pPr>
            <w:hyperlink w:anchor="page27">
              <w:r>
                <w:rPr>
                  <w:rFonts w:ascii="Arial" w:cs="Arial" w:eastAsia="Arial" w:hAnsi="Arial"/>
                  <w:sz w:val="18"/>
                  <w:szCs w:val="18"/>
                  <w:color w:val="0000EE"/>
                  <w:w w:val="91"/>
                </w:rPr>
                <w:t>Mine Safety Disclosures</w:t>
              </w:r>
            </w:hyperlink>
          </w:p>
        </w:tc>
        <w:tc>
          <w:tcPr>
            <w:tcW w:w="540" w:type="dxa"/>
            <w:vAlign w:val="bottom"/>
          </w:tcPr>
          <w:p>
            <w:pPr>
              <w:spacing w:after="0"/>
              <w:rPr>
                <w:sz w:val="17"/>
                <w:szCs w:val="17"/>
                <w:color w:val="auto"/>
              </w:rPr>
            </w:pPr>
          </w:p>
        </w:tc>
        <w:tc>
          <w:tcPr>
            <w:tcW w:w="6280" w:type="dxa"/>
            <w:vAlign w:val="bottom"/>
            <w:gridSpan w:val="9"/>
          </w:tcPr>
          <w:p>
            <w:pPr>
              <w:spacing w:after="0"/>
              <w:rPr>
                <w:sz w:val="17"/>
                <w:szCs w:val="17"/>
                <w:color w:val="auto"/>
              </w:rPr>
            </w:pPr>
          </w:p>
        </w:tc>
        <w:tc>
          <w:tcPr>
            <w:tcW w:w="1260" w:type="dxa"/>
            <w:vAlign w:val="bottom"/>
            <w:gridSpan w:val="3"/>
          </w:tcPr>
          <w:p>
            <w:pPr>
              <w:jc w:val="center"/>
              <w:ind w:left="70"/>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25</w:t>
              </w:r>
            </w:hyperlink>
          </w:p>
        </w:tc>
      </w:tr>
      <w:tr>
        <w:trPr>
          <w:trHeight w:val="20"/>
        </w:trPr>
        <w:tc>
          <w:tcPr>
            <w:tcW w:w="1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460" w:type="dxa"/>
            <w:vAlign w:val="bottom"/>
            <w:tcBorders>
              <w:left w:val="single" w:sz="8" w:color="0000EE"/>
            </w:tcBorders>
            <w:gridSpan w:val="4"/>
            <w:shd w:val="clear" w:color="auto" w:fill="0000EE"/>
          </w:tcPr>
          <w:p>
            <w:pPr>
              <w:spacing w:after="0" w:line="20" w:lineRule="exact"/>
              <w:rPr>
                <w:sz w:val="1"/>
                <w:szCs w:val="1"/>
                <w:color w:val="auto"/>
              </w:rPr>
            </w:pPr>
          </w:p>
        </w:tc>
        <w:tc>
          <w:tcPr>
            <w:tcW w:w="6820" w:type="dxa"/>
            <w:vAlign w:val="bottom"/>
            <w:gridSpan w:val="10"/>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r>
      <w:tr>
        <w:trPr>
          <w:trHeight w:val="196"/>
        </w:trPr>
        <w:tc>
          <w:tcPr>
            <w:tcW w:w="1380" w:type="dxa"/>
            <w:vAlign w:val="bottom"/>
            <w:gridSpan w:val="3"/>
          </w:tcPr>
          <w:p>
            <w:pPr>
              <w:ind w:left="180"/>
              <w:spacing w:after="0" w:line="196" w:lineRule="exact"/>
              <w:rPr>
                <w:sz w:val="20"/>
                <w:szCs w:val="20"/>
                <w:color w:val="auto"/>
              </w:rPr>
            </w:pPr>
            <w:r>
              <w:rPr>
                <w:rFonts w:ascii="Arial" w:cs="Arial" w:eastAsia="Arial" w:hAnsi="Arial"/>
                <w:sz w:val="18"/>
                <w:szCs w:val="18"/>
                <w:color w:val="auto"/>
              </w:rPr>
              <w:t>Item 5.</w:t>
            </w:r>
          </w:p>
        </w:tc>
        <w:tc>
          <w:tcPr>
            <w:tcW w:w="1320" w:type="dxa"/>
            <w:vAlign w:val="bottom"/>
            <w:gridSpan w:val="6"/>
          </w:tcPr>
          <w:p>
            <w:pPr>
              <w:spacing w:after="0" w:line="196" w:lineRule="exact"/>
              <w:rPr>
                <w:rFonts w:ascii="Arial" w:cs="Arial" w:eastAsia="Arial" w:hAnsi="Arial"/>
                <w:sz w:val="18"/>
                <w:szCs w:val="18"/>
                <w:color w:val="0000EE"/>
                <w:w w:val="91"/>
              </w:rPr>
            </w:pPr>
            <w:hyperlink w:anchor="page27">
              <w:r>
                <w:rPr>
                  <w:rFonts w:ascii="Arial" w:cs="Arial" w:eastAsia="Arial" w:hAnsi="Arial"/>
                  <w:sz w:val="18"/>
                  <w:szCs w:val="18"/>
                  <w:color w:val="0000EE"/>
                  <w:w w:val="91"/>
                </w:rPr>
                <w:t>Other Information</w:t>
              </w:r>
            </w:hyperlink>
          </w:p>
        </w:tc>
        <w:tc>
          <w:tcPr>
            <w:tcW w:w="460" w:type="dxa"/>
            <w:vAlign w:val="bottom"/>
            <w:gridSpan w:val="4"/>
          </w:tcPr>
          <w:p>
            <w:pPr>
              <w:spacing w:after="0"/>
              <w:rPr>
                <w:sz w:val="17"/>
                <w:szCs w:val="17"/>
                <w:color w:val="auto"/>
              </w:rPr>
            </w:pPr>
          </w:p>
        </w:tc>
        <w:tc>
          <w:tcPr>
            <w:tcW w:w="6820" w:type="dxa"/>
            <w:vAlign w:val="bottom"/>
            <w:gridSpan w:val="10"/>
          </w:tcPr>
          <w:p>
            <w:pPr>
              <w:spacing w:after="0"/>
              <w:rPr>
                <w:sz w:val="17"/>
                <w:szCs w:val="17"/>
                <w:color w:val="auto"/>
              </w:rPr>
            </w:pPr>
          </w:p>
        </w:tc>
        <w:tc>
          <w:tcPr>
            <w:tcW w:w="1260" w:type="dxa"/>
            <w:vAlign w:val="bottom"/>
            <w:gridSpan w:val="3"/>
          </w:tcPr>
          <w:p>
            <w:pPr>
              <w:jc w:val="center"/>
              <w:ind w:left="70"/>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25</w:t>
              </w:r>
            </w:hyperlink>
          </w:p>
        </w:tc>
      </w:tr>
      <w:tr>
        <w:trPr>
          <w:trHeight w:val="20"/>
        </w:trPr>
        <w:tc>
          <w:tcPr>
            <w:tcW w:w="1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20" w:type="dxa"/>
            <w:vAlign w:val="bottom"/>
            <w:gridSpan w:val="4"/>
            <w:shd w:val="clear" w:color="auto" w:fill="0000EE"/>
          </w:tcPr>
          <w:p>
            <w:pPr>
              <w:spacing w:after="0" w:line="20" w:lineRule="exact"/>
              <w:rPr>
                <w:sz w:val="1"/>
                <w:szCs w:val="1"/>
                <w:color w:val="auto"/>
              </w:rPr>
            </w:pPr>
          </w:p>
        </w:tc>
        <w:tc>
          <w:tcPr>
            <w:tcW w:w="7280" w:type="dxa"/>
            <w:vAlign w:val="bottom"/>
            <w:gridSpan w:val="14"/>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r>
      <w:tr>
        <w:trPr>
          <w:trHeight w:val="196"/>
        </w:trPr>
        <w:tc>
          <w:tcPr>
            <w:tcW w:w="1380" w:type="dxa"/>
            <w:vAlign w:val="bottom"/>
            <w:gridSpan w:val="3"/>
          </w:tcPr>
          <w:p>
            <w:pPr>
              <w:ind w:left="180"/>
              <w:spacing w:after="0" w:line="196" w:lineRule="exact"/>
              <w:rPr>
                <w:sz w:val="20"/>
                <w:szCs w:val="20"/>
                <w:color w:val="auto"/>
              </w:rPr>
            </w:pPr>
            <w:r>
              <w:rPr>
                <w:rFonts w:ascii="Arial" w:cs="Arial" w:eastAsia="Arial" w:hAnsi="Arial"/>
                <w:sz w:val="18"/>
                <w:szCs w:val="18"/>
                <w:color w:val="auto"/>
              </w:rPr>
              <w:t>Item 6.</w:t>
            </w:r>
          </w:p>
        </w:tc>
        <w:tc>
          <w:tcPr>
            <w:tcW w:w="1320" w:type="dxa"/>
            <w:vAlign w:val="bottom"/>
            <w:gridSpan w:val="6"/>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Exhibits</w:t>
              </w:r>
            </w:hyperlink>
          </w:p>
        </w:tc>
        <w:tc>
          <w:tcPr>
            <w:tcW w:w="7280" w:type="dxa"/>
            <w:vAlign w:val="bottom"/>
            <w:gridSpan w:val="14"/>
          </w:tcPr>
          <w:p>
            <w:pPr>
              <w:spacing w:after="0"/>
              <w:rPr>
                <w:sz w:val="17"/>
                <w:szCs w:val="17"/>
                <w:color w:val="auto"/>
              </w:rPr>
            </w:pPr>
          </w:p>
        </w:tc>
        <w:tc>
          <w:tcPr>
            <w:tcW w:w="1260" w:type="dxa"/>
            <w:vAlign w:val="bottom"/>
            <w:gridSpan w:val="3"/>
          </w:tcPr>
          <w:p>
            <w:pPr>
              <w:jc w:val="center"/>
              <w:ind w:left="70"/>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25</w:t>
              </w:r>
            </w:hyperlink>
          </w:p>
        </w:tc>
      </w:tr>
      <w:tr>
        <w:trPr>
          <w:trHeight w:val="20"/>
        </w:trPr>
        <w:tc>
          <w:tcPr>
            <w:tcW w:w="1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left w:val="single" w:sz="8" w:color="0000EE"/>
            </w:tcBorders>
          </w:tcPr>
          <w:p>
            <w:pPr>
              <w:spacing w:after="0" w:line="20" w:lineRule="exact"/>
              <w:rPr>
                <w:sz w:val="1"/>
                <w:szCs w:val="1"/>
                <w:color w:val="auto"/>
              </w:rPr>
            </w:pPr>
          </w:p>
        </w:tc>
      </w:tr>
      <w:tr>
        <w:trPr>
          <w:trHeight w:val="412"/>
        </w:trPr>
        <w:tc>
          <w:tcPr>
            <w:tcW w:w="1380" w:type="dxa"/>
            <w:vAlign w:val="bottom"/>
            <w:gridSpan w:val="3"/>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SIGNATURES</w:t>
              </w:r>
            </w:hyperlink>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60" w:type="dxa"/>
            <w:vAlign w:val="bottom"/>
            <w:gridSpan w:val="3"/>
          </w:tcPr>
          <w:p>
            <w:pPr>
              <w:jc w:val="center"/>
              <w:ind w:left="70"/>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26</w:t>
              </w:r>
            </w:hyperlink>
          </w:p>
        </w:tc>
      </w:tr>
      <w:tr>
        <w:trPr>
          <w:trHeight w:val="595"/>
        </w:trPr>
        <w:tc>
          <w:tcPr>
            <w:tcW w:w="1100" w:type="dxa"/>
            <w:vAlign w:val="bottom"/>
            <w:tcBorders>
              <w:top w:val="single" w:sz="8" w:color="0000EE"/>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51"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5"/>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PART I. FINANCIAL INFORMATION</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1"/>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b w:val="1"/>
                <w:bCs w:val="1"/>
                <w:color w:val="auto"/>
                <w:w w:val="89"/>
              </w:rPr>
              <w:t>Wrap Technologies, Inc.</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280" w:type="dxa"/>
            <w:vAlign w:val="bottom"/>
          </w:tcPr>
          <w:p>
            <w:pPr>
              <w:spacing w:after="0"/>
              <w:rPr>
                <w:sz w:val="19"/>
                <w:szCs w:val="19"/>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b w:val="1"/>
                <w:bCs w:val="1"/>
                <w:color w:val="auto"/>
                <w:w w:val="87"/>
              </w:rPr>
              <w:t>Condensed Consolidated Balance Sheets</w:t>
            </w: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color w:val="auto"/>
                <w:w w:val="88"/>
              </w:rPr>
              <w:t>(in thousands, except par value and share amounts)</w:t>
            </w:r>
          </w:p>
        </w:tc>
        <w:tc>
          <w:tcPr>
            <w:tcW w:w="180" w:type="dxa"/>
            <w:vAlign w:val="bottom"/>
          </w:tcPr>
          <w:p>
            <w:pPr>
              <w:spacing w:after="0"/>
              <w:rPr>
                <w:sz w:val="20"/>
                <w:szCs w:val="20"/>
                <w:color w:val="auto"/>
              </w:rPr>
            </w:pPr>
          </w:p>
        </w:tc>
        <w:tc>
          <w:tcPr>
            <w:tcW w:w="1420" w:type="dxa"/>
            <w:vAlign w:val="bottom"/>
            <w:gridSpan w:val="2"/>
            <w:vMerge w:val="restart"/>
          </w:tcPr>
          <w:p>
            <w:pPr>
              <w:jc w:val="center"/>
              <w:ind w:right="320"/>
              <w:spacing w:after="0"/>
              <w:rPr>
                <w:sz w:val="20"/>
                <w:szCs w:val="20"/>
                <w:color w:val="auto"/>
              </w:rPr>
            </w:pPr>
            <w:r>
              <w:rPr>
                <w:rFonts w:ascii="Arial" w:cs="Arial" w:eastAsia="Arial" w:hAnsi="Arial"/>
                <w:sz w:val="18"/>
                <w:szCs w:val="18"/>
                <w:b w:val="1"/>
                <w:bCs w:val="1"/>
                <w:color w:val="auto"/>
                <w:w w:val="93"/>
              </w:rPr>
              <w:t>March 31,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28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2022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234"/>
        </w:trPr>
        <w:tc>
          <w:tcPr>
            <w:tcW w:w="8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20"/>
                <w:szCs w:val="20"/>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(unaudited)</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8000" w:type="dxa"/>
            <w:vAlign w:val="bottom"/>
            <w:gridSpan w:val="2"/>
            <w:vMerge w:val="continue"/>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5,014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4,937</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Short-term investments</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24,956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29,983</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4,239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3,859</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Inventories, net</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1,870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1,566</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868</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36,814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41,213</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Property and equipment, net</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976</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Operating lease right-of-use asset, net</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362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Intangible assets, net</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1,981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1,982</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Other assets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40,112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44,231</w:t>
            </w:r>
          </w:p>
        </w:tc>
        <w:tc>
          <w:tcPr>
            <w:tcW w:w="0" w:type="dxa"/>
            <w:vAlign w:val="bottom"/>
          </w:tcPr>
          <w:p>
            <w:pPr>
              <w:spacing w:after="0"/>
              <w:rPr>
                <w:sz w:val="1"/>
                <w:szCs w:val="1"/>
                <w:color w:val="auto"/>
              </w:rPr>
            </w:pPr>
          </w:p>
        </w:tc>
      </w:tr>
      <w:tr>
        <w:trPr>
          <w:trHeight w:val="197"/>
        </w:trPr>
        <w:tc>
          <w:tcPr>
            <w:tcW w:w="1280" w:type="dxa"/>
            <w:vAlign w:val="bottom"/>
            <w:tcBorders>
              <w:top w:val="single" w:sz="8" w:color="CCEEFF"/>
            </w:tcBorders>
          </w:tcPr>
          <w:p>
            <w:pPr>
              <w:spacing w:after="0"/>
              <w:rPr>
                <w:sz w:val="17"/>
                <w:szCs w:val="17"/>
                <w:color w:val="auto"/>
              </w:rPr>
            </w:pPr>
          </w:p>
        </w:tc>
        <w:tc>
          <w:tcPr>
            <w:tcW w:w="67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1,779</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Accrued liabilities</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819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824</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Customer deposits</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Deferred revenue- short term</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121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Operating lease liability - short term</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2,763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2,857</w:t>
            </w:r>
          </w:p>
        </w:tc>
        <w:tc>
          <w:tcPr>
            <w:tcW w:w="0" w:type="dxa"/>
            <w:vAlign w:val="bottom"/>
          </w:tcPr>
          <w:p>
            <w:pPr>
              <w:spacing w:after="0"/>
              <w:rPr>
                <w:sz w:val="1"/>
                <w:szCs w:val="1"/>
                <w:color w:val="auto"/>
              </w:rPr>
            </w:pPr>
          </w:p>
        </w:tc>
      </w:tr>
      <w:tr>
        <w:trPr>
          <w:trHeight w:val="209"/>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Long-term liabilities:</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revenue- long term</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Operating lease liability - long term</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long-term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3,199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2,967</w:t>
            </w: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Commitments and contingencies (Note 12)</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Stockholders' equity:</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Preferred stock - 5,000,000 authorized; par value $0.0001 per share; none issued and outstanding</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8000" w:type="dxa"/>
            <w:vAlign w:val="bottom"/>
            <w:gridSpan w:val="2"/>
          </w:tcPr>
          <w:p>
            <w:pPr>
              <w:ind w:left="180"/>
              <w:spacing w:after="0" w:line="201" w:lineRule="exact"/>
              <w:rPr>
                <w:sz w:val="20"/>
                <w:szCs w:val="20"/>
                <w:color w:val="auto"/>
              </w:rPr>
            </w:pPr>
            <w:r>
              <w:rPr>
                <w:rFonts w:ascii="Arial" w:cs="Arial" w:eastAsia="Arial" w:hAnsi="Arial"/>
                <w:sz w:val="18"/>
                <w:szCs w:val="18"/>
                <w:color w:val="auto"/>
                <w:w w:val="91"/>
              </w:rPr>
              <w:t>Common stock - 150,000,000 authorized; par value $0.0001 per share; 40,951,197 and 40,851,945 shares</w:t>
            </w: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issued and outstanding each period, respectively</w:t>
            </w:r>
          </w:p>
        </w:tc>
        <w:tc>
          <w:tcPr>
            <w:tcW w:w="180" w:type="dxa"/>
            <w:vAlign w:val="bottom"/>
          </w:tcPr>
          <w:p>
            <w:pPr>
              <w:spacing w:after="0"/>
              <w:rPr>
                <w:sz w:val="20"/>
                <w:szCs w:val="20"/>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92,129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91,025</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(55,191)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(49,759)</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income</w:t>
            </w:r>
          </w:p>
        </w:tc>
        <w:tc>
          <w:tcPr>
            <w:tcW w:w="1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Total stockholders' equity</w:t>
            </w:r>
          </w:p>
        </w:tc>
        <w:tc>
          <w:tcPr>
            <w:tcW w:w="18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36,913</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41,264</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40,112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44,231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See accompanying notes to condensed consolidated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EE"/>
        </w:rPr>
        <w:t>Table of Contents</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Wrap Technologies, Inc.</w:t>
      </w:r>
    </w:p>
    <w:p>
      <w:pPr>
        <w:spacing w:after="0" w:line="19" w:lineRule="exact"/>
        <w:rPr>
          <w:sz w:val="20"/>
          <w:szCs w:val="20"/>
          <w:color w:val="auto"/>
        </w:rPr>
      </w:pPr>
    </w:p>
    <w:p>
      <w:pPr>
        <w:jc w:val="center"/>
        <w:spacing w:after="0" w:line="254" w:lineRule="auto"/>
        <w:rPr>
          <w:sz w:val="20"/>
          <w:szCs w:val="20"/>
          <w:color w:val="auto"/>
        </w:rPr>
      </w:pPr>
      <w:r>
        <w:rPr>
          <w:rFonts w:ascii="Arial" w:cs="Arial" w:eastAsia="Arial" w:hAnsi="Arial"/>
          <w:sz w:val="18"/>
          <w:szCs w:val="18"/>
          <w:b w:val="1"/>
          <w:bCs w:val="1"/>
          <w:color w:val="auto"/>
        </w:rPr>
        <w:t xml:space="preserve">Condensed Consolidated Statements of Operations and Comprehensive Loss </w:t>
      </w:r>
      <w:r>
        <w:rPr>
          <w:rFonts w:ascii="Arial" w:cs="Arial" w:eastAsia="Arial" w:hAnsi="Arial"/>
          <w:sz w:val="18"/>
          <w:szCs w:val="18"/>
          <w:color w:val="auto"/>
        </w:rPr>
        <w:t>(in thousands, except share and per share amounts) (unaudited)</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20" w:type="dxa"/>
            <w:vAlign w:val="bottom"/>
            <w:gridSpan w:val="6"/>
          </w:tcPr>
          <w:p>
            <w:pPr>
              <w:jc w:val="right"/>
              <w:ind w:right="440"/>
              <w:spacing w:after="0"/>
              <w:rPr>
                <w:sz w:val="20"/>
                <w:szCs w:val="20"/>
                <w:color w:val="auto"/>
              </w:rPr>
            </w:pPr>
            <w:r>
              <w:rPr>
                <w:rFonts w:ascii="Arial" w:cs="Arial" w:eastAsia="Arial" w:hAnsi="Arial"/>
                <w:sz w:val="18"/>
                <w:szCs w:val="18"/>
                <w:b w:val="1"/>
                <w:bCs w:val="1"/>
                <w:color w:val="auto"/>
                <w:w w:val="96"/>
              </w:rPr>
              <w:t>Three Months Ended March 31,</w:t>
            </w:r>
          </w:p>
        </w:tc>
        <w:tc>
          <w:tcPr>
            <w:tcW w:w="0" w:type="dxa"/>
            <w:vAlign w:val="bottom"/>
          </w:tcPr>
          <w:p>
            <w:pPr>
              <w:spacing w:after="0"/>
              <w:rPr>
                <w:sz w:val="1"/>
                <w:szCs w:val="1"/>
                <w:color w:val="auto"/>
              </w:rPr>
            </w:pPr>
          </w:p>
        </w:tc>
      </w:tr>
      <w:tr>
        <w:trPr>
          <w:trHeight w:val="234"/>
        </w:trPr>
        <w:tc>
          <w:tcPr>
            <w:tcW w:w="8000" w:type="dxa"/>
            <w:vAlign w:val="bottom"/>
            <w:vMerge w:val="restart"/>
          </w:tcPr>
          <w:p>
            <w:pPr>
              <w:spacing w:after="0"/>
              <w:rPr>
                <w:sz w:val="20"/>
                <w:szCs w:val="20"/>
                <w:color w:val="auto"/>
              </w:rPr>
            </w:pPr>
            <w:r>
              <w:rPr>
                <w:rFonts w:ascii="Arial" w:cs="Arial" w:eastAsia="Arial" w:hAnsi="Arial"/>
                <w:sz w:val="18"/>
                <w:szCs w:val="18"/>
                <w:b w:val="1"/>
                <w:bCs w:val="1"/>
                <w:color w:val="auto"/>
              </w:rPr>
              <w:t>Revenues:</w:t>
            </w: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 sales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1,462</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Other revenue</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1,542</w:t>
            </w: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Cost of revenues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667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4,606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4,978</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(5,434)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(5,438)</w:t>
            </w:r>
          </w:p>
        </w:tc>
        <w:tc>
          <w:tcPr>
            <w:tcW w:w="0" w:type="dxa"/>
            <w:vAlign w:val="bottom"/>
          </w:tcPr>
          <w:p>
            <w:pPr>
              <w:spacing w:after="0"/>
              <w:rPr>
                <w:sz w:val="1"/>
                <w:szCs w:val="1"/>
                <w:color w:val="auto"/>
              </w:rPr>
            </w:pPr>
          </w:p>
        </w:tc>
      </w:tr>
      <w:tr>
        <w:trPr>
          <w:trHeight w:val="209"/>
        </w:trPr>
        <w:tc>
          <w:tcPr>
            <w:tcW w:w="8000" w:type="dxa"/>
            <w:vAlign w:val="bottom"/>
            <w:tcBorders>
              <w:top w:val="single" w:sz="8" w:color="CCEEFF"/>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income (expense):</w:t>
            </w: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(5,432)</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(5,429)</w:t>
            </w:r>
          </w:p>
        </w:tc>
        <w:tc>
          <w:tcPr>
            <w:tcW w:w="0" w:type="dxa"/>
            <w:vAlign w:val="bottom"/>
          </w:tcPr>
          <w:p>
            <w:pPr>
              <w:spacing w:after="0"/>
              <w:rPr>
                <w:sz w:val="1"/>
                <w:szCs w:val="1"/>
                <w:color w:val="auto"/>
              </w:rPr>
            </w:pPr>
          </w:p>
        </w:tc>
      </w:tr>
      <w:tr>
        <w:trPr>
          <w:trHeight w:val="197"/>
        </w:trPr>
        <w:tc>
          <w:tcPr>
            <w:tcW w:w="80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loss per basic and diluted common share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(0.13)</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196"/>
        </w:trPr>
        <w:tc>
          <w:tcPr>
            <w:tcW w:w="8000" w:type="dxa"/>
            <w:vAlign w:val="bottom"/>
            <w:tcBorders>
              <w:top w:val="single" w:sz="8" w:color="CCEEFF"/>
            </w:tcBorders>
          </w:tcPr>
          <w:p>
            <w:pPr>
              <w:spacing w:after="0" w:line="196" w:lineRule="exact"/>
              <w:rPr>
                <w:sz w:val="20"/>
                <w:szCs w:val="20"/>
                <w:color w:val="auto"/>
              </w:rPr>
            </w:pPr>
            <w:r>
              <w:rPr>
                <w:rFonts w:ascii="Arial" w:cs="Arial" w:eastAsia="Arial" w:hAnsi="Arial"/>
                <w:sz w:val="18"/>
                <w:szCs w:val="18"/>
                <w:color w:val="auto"/>
              </w:rPr>
              <w:t>Weighted average common shares used to compute net loss per basic and diluted common share</w:t>
            </w:r>
          </w:p>
        </w:tc>
        <w:tc>
          <w:tcPr>
            <w:tcW w:w="22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40,907,266</w:t>
            </w: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37,618,629</w:t>
            </w: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b w:val="1"/>
                <w:bCs w:val="1"/>
                <w:color w:val="auto"/>
              </w:rPr>
              <w:t>Comprehensive loss: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(5,432)</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(5,429)</w:t>
            </w:r>
          </w:p>
        </w:tc>
        <w:tc>
          <w:tcPr>
            <w:tcW w:w="0" w:type="dxa"/>
            <w:vAlign w:val="bottom"/>
          </w:tcPr>
          <w:p>
            <w:pPr>
              <w:spacing w:after="0"/>
              <w:rPr>
                <w:sz w:val="1"/>
                <w:szCs w:val="1"/>
                <w:color w:val="auto"/>
              </w:rPr>
            </w:pP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Net unrealized gain (loss) on short-term investments</w:t>
            </w: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(5,455)</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(5,427)</w:t>
            </w:r>
          </w:p>
        </w:tc>
        <w:tc>
          <w:tcPr>
            <w:tcW w:w="0" w:type="dxa"/>
            <w:vAlign w:val="bottom"/>
          </w:tcPr>
          <w:p>
            <w:pPr>
              <w:spacing w:after="0"/>
              <w:rPr>
                <w:sz w:val="1"/>
                <w:szCs w:val="1"/>
                <w:color w:val="auto"/>
              </w:rPr>
            </w:pPr>
          </w:p>
        </w:tc>
      </w:tr>
      <w:tr>
        <w:trPr>
          <w:trHeight w:val="20"/>
        </w:trPr>
        <w:tc>
          <w:tcPr>
            <w:tcW w:w="80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See accompanying notes to condensed consolidated interim financial statements.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Wrap Technologies,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Accumulated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20" w:type="dxa"/>
            <w:vAlign w:val="bottom"/>
          </w:tcPr>
          <w:p>
            <w:pPr>
              <w:spacing w:after="0"/>
              <w:rPr>
                <w:sz w:val="19"/>
                <w:szCs w:val="19"/>
                <w:color w:val="auto"/>
              </w:rPr>
            </w:pPr>
          </w:p>
        </w:tc>
        <w:tc>
          <w:tcPr>
            <w:tcW w:w="2300" w:type="dxa"/>
            <w:vAlign w:val="bottom"/>
            <w:gridSpan w:val="3"/>
            <w:vMerge w:val="restart"/>
          </w:tcPr>
          <w:p>
            <w:pPr>
              <w:jc w:val="right"/>
              <w:ind w:right="370"/>
              <w:spacing w:after="0"/>
              <w:rPr>
                <w:sz w:val="20"/>
                <w:szCs w:val="20"/>
                <w:color w:val="auto"/>
              </w:rPr>
            </w:pPr>
            <w:r>
              <w:rPr>
                <w:rFonts w:ascii="Arial" w:cs="Arial" w:eastAsia="Arial" w:hAnsi="Arial"/>
                <w:sz w:val="18"/>
                <w:szCs w:val="18"/>
                <w:b w:val="1"/>
                <w:bCs w:val="1"/>
                <w:color w:val="auto"/>
              </w:rPr>
              <w:t>Common Stock</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w w:val="95"/>
              </w:rPr>
              <w:t>Additional</w:t>
            </w: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5"/>
              </w:rPr>
              <w:t>Other</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21"/>
        </w:trPr>
        <w:tc>
          <w:tcPr>
            <w:tcW w:w="3120" w:type="dxa"/>
            <w:vAlign w:val="bottom"/>
          </w:tcPr>
          <w:p>
            <w:pPr>
              <w:spacing w:after="0"/>
              <w:rPr>
                <w:sz w:val="19"/>
                <w:szCs w:val="19"/>
                <w:color w:val="auto"/>
              </w:rPr>
            </w:pPr>
          </w:p>
        </w:tc>
        <w:tc>
          <w:tcPr>
            <w:tcW w:w="2300" w:type="dxa"/>
            <w:vAlign w:val="bottom"/>
            <w:tcBorders>
              <w:bottom w:val="single" w:sz="8" w:color="auto"/>
            </w:tcBorders>
            <w:gridSpan w:val="3"/>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Paid-In</w:t>
            </w:r>
          </w:p>
        </w:tc>
        <w:tc>
          <w:tcPr>
            <w:tcW w:w="136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w w:val="93"/>
              </w:rPr>
              <w:t>Accumulated</w:t>
            </w:r>
          </w:p>
        </w:tc>
        <w:tc>
          <w:tcPr>
            <w:tcW w:w="1360" w:type="dxa"/>
            <w:vAlign w:val="bottom"/>
            <w:gridSpan w:val="3"/>
          </w:tcPr>
          <w:p>
            <w:pPr>
              <w:spacing w:after="0"/>
              <w:rPr>
                <w:sz w:val="20"/>
                <w:szCs w:val="20"/>
                <w:color w:val="auto"/>
              </w:rPr>
            </w:pPr>
            <w:r>
              <w:rPr>
                <w:rFonts w:ascii="Arial" w:cs="Arial" w:eastAsia="Arial" w:hAnsi="Arial"/>
                <w:sz w:val="18"/>
                <w:szCs w:val="18"/>
                <w:b w:val="1"/>
                <w:bCs w:val="1"/>
                <w:color w:val="auto"/>
                <w:w w:val="99"/>
              </w:rPr>
              <w:t>Comprehensive</w:t>
            </w:r>
          </w:p>
        </w:tc>
        <w:tc>
          <w:tcPr>
            <w:tcW w:w="80" w:type="dxa"/>
            <w:vAlign w:val="bottom"/>
          </w:tcPr>
          <w:p>
            <w:pPr>
              <w:spacing w:after="0"/>
              <w:rPr>
                <w:sz w:val="19"/>
                <w:szCs w:val="19"/>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10"/>
        </w:trPr>
        <w:tc>
          <w:tcPr>
            <w:tcW w:w="3120" w:type="dxa"/>
            <w:vAlign w:val="bottom"/>
          </w:tcPr>
          <w:p>
            <w:pPr>
              <w:spacing w:after="0"/>
              <w:rPr>
                <w:sz w:val="18"/>
                <w:szCs w:val="18"/>
                <w:color w:val="auto"/>
              </w:rPr>
            </w:pP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Amount</w:t>
            </w:r>
          </w:p>
        </w:tc>
        <w:tc>
          <w:tcPr>
            <w:tcW w:w="1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Capital</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Deficit</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Income</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4"/>
              </w:rPr>
              <w:t>Equity</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2022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40,851,945</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91,025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(49,759)</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41,264</w:t>
            </w:r>
          </w:p>
        </w:tc>
        <w:tc>
          <w:tcPr>
            <w:tcW w:w="0" w:type="dxa"/>
            <w:vAlign w:val="bottom"/>
          </w:tcPr>
          <w:p>
            <w:pPr>
              <w:spacing w:after="0"/>
              <w:rPr>
                <w:sz w:val="1"/>
                <w:szCs w:val="1"/>
                <w:color w:val="auto"/>
              </w:rPr>
            </w:pPr>
          </w:p>
        </w:tc>
      </w:tr>
      <w:tr>
        <w:trPr>
          <w:trHeight w:val="202"/>
        </w:trPr>
        <w:tc>
          <w:tcPr>
            <w:tcW w:w="3120" w:type="dxa"/>
            <w:vAlign w:val="bottom"/>
          </w:tcPr>
          <w:p>
            <w:pPr>
              <w:spacing w:after="0" w:line="201" w:lineRule="exact"/>
              <w:rPr>
                <w:sz w:val="20"/>
                <w:szCs w:val="20"/>
                <w:color w:val="auto"/>
              </w:rPr>
            </w:pPr>
            <w:r>
              <w:rPr>
                <w:rFonts w:ascii="Arial" w:cs="Arial" w:eastAsia="Arial" w:hAnsi="Arial"/>
                <w:sz w:val="18"/>
                <w:szCs w:val="18"/>
                <w:color w:val="auto"/>
                <w:w w:val="95"/>
              </w:rPr>
              <w:t>Common shares issued upon exercise of</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stock options</w:t>
            </w:r>
          </w:p>
        </w:tc>
        <w:tc>
          <w:tcPr>
            <w:tcW w:w="1120" w:type="dxa"/>
            <w:vAlign w:val="bottom"/>
          </w:tcPr>
          <w:p>
            <w:pPr>
              <w:jc w:val="right"/>
              <w:spacing w:after="0"/>
              <w:rPr>
                <w:sz w:val="20"/>
                <w:szCs w:val="20"/>
                <w:color w:val="auto"/>
              </w:rPr>
            </w:pPr>
            <w:r>
              <w:rPr>
                <w:rFonts w:ascii="Arial" w:cs="Arial" w:eastAsia="Arial" w:hAnsi="Arial"/>
                <w:sz w:val="18"/>
                <w:szCs w:val="18"/>
                <w:color w:val="auto"/>
              </w:rPr>
              <w:t>50,000</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1,029</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1,029</w:t>
            </w:r>
          </w:p>
        </w:tc>
        <w:tc>
          <w:tcPr>
            <w:tcW w:w="0" w:type="dxa"/>
            <w:vAlign w:val="bottom"/>
          </w:tcPr>
          <w:p>
            <w:pPr>
              <w:spacing w:after="0"/>
              <w:rPr>
                <w:sz w:val="1"/>
                <w:szCs w:val="1"/>
                <w:color w:val="auto"/>
              </w:rPr>
            </w:pPr>
          </w:p>
        </w:tc>
      </w:tr>
      <w:tr>
        <w:trPr>
          <w:trHeight w:val="202"/>
        </w:trPr>
        <w:tc>
          <w:tcPr>
            <w:tcW w:w="3120" w:type="dxa"/>
            <w:vAlign w:val="bottom"/>
          </w:tcPr>
          <w:p>
            <w:pPr>
              <w:spacing w:after="0" w:line="201" w:lineRule="exact"/>
              <w:rPr>
                <w:sz w:val="20"/>
                <w:szCs w:val="20"/>
                <w:color w:val="auto"/>
              </w:rPr>
            </w:pPr>
            <w:r>
              <w:rPr>
                <w:rFonts w:ascii="Arial" w:cs="Arial" w:eastAsia="Arial" w:hAnsi="Arial"/>
                <w:sz w:val="18"/>
                <w:szCs w:val="18"/>
                <w:color w:val="auto"/>
                <w:w w:val="98"/>
              </w:rPr>
              <w:t>Common shares issued upon vesting of</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120" w:type="dxa"/>
            <w:vAlign w:val="bottom"/>
          </w:tcPr>
          <w:p>
            <w:pPr>
              <w:jc w:val="right"/>
              <w:spacing w:after="0"/>
              <w:rPr>
                <w:sz w:val="20"/>
                <w:szCs w:val="20"/>
                <w:color w:val="auto"/>
              </w:rPr>
            </w:pPr>
            <w:r>
              <w:rPr>
                <w:rFonts w:ascii="Arial" w:cs="Arial" w:eastAsia="Arial" w:hAnsi="Arial"/>
                <w:sz w:val="18"/>
                <w:szCs w:val="18"/>
                <w:color w:val="auto"/>
              </w:rPr>
              <w:t>49,252</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unrealized gain on short-term</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Net loss for the period</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(5,432)</w:t>
            </w:r>
          </w:p>
        </w:tc>
        <w:tc>
          <w:tcPr>
            <w:tcW w:w="1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(5,432)</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March 31, 2022</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40,951,197</w:t>
            </w: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92,129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(55,191)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36,913</w:t>
            </w:r>
          </w:p>
        </w:tc>
        <w:tc>
          <w:tcPr>
            <w:tcW w:w="0" w:type="dxa"/>
            <w:vAlign w:val="bottom"/>
          </w:tcPr>
          <w:p>
            <w:pPr>
              <w:spacing w:after="0"/>
              <w:rPr>
                <w:sz w:val="1"/>
                <w:szCs w:val="1"/>
                <w:color w:val="auto"/>
              </w:rPr>
            </w:pPr>
          </w:p>
        </w:tc>
      </w:tr>
      <w:tr>
        <w:trPr>
          <w:trHeight w:val="197"/>
        </w:trPr>
        <w:tc>
          <w:tcPr>
            <w:tcW w:w="3120" w:type="dxa"/>
            <w:vAlign w:val="bottom"/>
            <w:tcBorders>
              <w:top w:val="single" w:sz="8" w:color="CCEEFF"/>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January 1, 2021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37,554,162</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0"/>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71,705</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(25,310)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w:t>
            </w: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46,414</w:t>
            </w:r>
          </w:p>
        </w:tc>
        <w:tc>
          <w:tcPr>
            <w:tcW w:w="0" w:type="dxa"/>
            <w:vAlign w:val="bottom"/>
          </w:tcPr>
          <w:p>
            <w:pPr>
              <w:spacing w:after="0"/>
              <w:rPr>
                <w:sz w:val="1"/>
                <w:szCs w:val="1"/>
                <w:color w:val="auto"/>
              </w:rPr>
            </w:pPr>
          </w:p>
        </w:tc>
      </w:tr>
      <w:tr>
        <w:trPr>
          <w:trHeight w:val="202"/>
        </w:trPr>
        <w:tc>
          <w:tcPr>
            <w:tcW w:w="3120" w:type="dxa"/>
            <w:vAlign w:val="bottom"/>
          </w:tcPr>
          <w:p>
            <w:pPr>
              <w:spacing w:after="0" w:line="201" w:lineRule="exact"/>
              <w:rPr>
                <w:sz w:val="20"/>
                <w:szCs w:val="20"/>
                <w:color w:val="auto"/>
              </w:rPr>
            </w:pPr>
            <w:r>
              <w:rPr>
                <w:rFonts w:ascii="Arial" w:cs="Arial" w:eastAsia="Arial" w:hAnsi="Arial"/>
                <w:sz w:val="18"/>
                <w:szCs w:val="18"/>
                <w:color w:val="auto"/>
                <w:w w:val="95"/>
              </w:rPr>
              <w:t>Common shares issued upon exercise of</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stock options</w:t>
            </w:r>
          </w:p>
        </w:tc>
        <w:tc>
          <w:tcPr>
            <w:tcW w:w="1120" w:type="dxa"/>
            <w:vAlign w:val="bottom"/>
          </w:tcPr>
          <w:p>
            <w:pPr>
              <w:jc w:val="right"/>
              <w:spacing w:after="0"/>
              <w:rPr>
                <w:sz w:val="20"/>
                <w:szCs w:val="20"/>
                <w:color w:val="auto"/>
              </w:rPr>
            </w:pPr>
            <w:r>
              <w:rPr>
                <w:rFonts w:ascii="Arial" w:cs="Arial" w:eastAsia="Arial" w:hAnsi="Arial"/>
                <w:sz w:val="18"/>
                <w:szCs w:val="18"/>
                <w:color w:val="auto"/>
              </w:rPr>
              <w:t>75,000</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113</w:t>
            </w: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Share-based compensation expense</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859</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02"/>
        </w:trPr>
        <w:tc>
          <w:tcPr>
            <w:tcW w:w="3120" w:type="dxa"/>
            <w:vAlign w:val="bottom"/>
          </w:tcPr>
          <w:p>
            <w:pPr>
              <w:spacing w:after="0" w:line="201" w:lineRule="exact"/>
              <w:rPr>
                <w:sz w:val="20"/>
                <w:szCs w:val="20"/>
                <w:color w:val="auto"/>
              </w:rPr>
            </w:pPr>
            <w:r>
              <w:rPr>
                <w:rFonts w:ascii="Arial" w:cs="Arial" w:eastAsia="Arial" w:hAnsi="Arial"/>
                <w:sz w:val="18"/>
                <w:szCs w:val="18"/>
                <w:color w:val="auto"/>
                <w:w w:val="98"/>
              </w:rPr>
              <w:t>Common shares issued upon vesting of</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tcPr>
          <w:p>
            <w:pPr>
              <w:spacing w:after="0"/>
              <w:rPr>
                <w:sz w:val="20"/>
                <w:szCs w:val="20"/>
                <w:color w:val="auto"/>
              </w:rPr>
            </w:pPr>
            <w:r>
              <w:rPr>
                <w:rFonts w:ascii="Arial" w:cs="Arial" w:eastAsia="Arial" w:hAnsi="Arial"/>
                <w:sz w:val="18"/>
                <w:szCs w:val="18"/>
                <w:color w:val="auto"/>
              </w:rPr>
              <w:t>restricted stock units</w:t>
            </w:r>
          </w:p>
        </w:tc>
        <w:tc>
          <w:tcPr>
            <w:tcW w:w="1120" w:type="dxa"/>
            <w:vAlign w:val="bottom"/>
          </w:tcPr>
          <w:p>
            <w:pPr>
              <w:jc w:val="right"/>
              <w:spacing w:after="0"/>
              <w:rPr>
                <w:sz w:val="20"/>
                <w:szCs w:val="20"/>
                <w:color w:val="auto"/>
              </w:rPr>
            </w:pPr>
            <w:r>
              <w:rPr>
                <w:rFonts w:ascii="Arial" w:cs="Arial" w:eastAsia="Arial" w:hAnsi="Arial"/>
                <w:sz w:val="18"/>
                <w:szCs w:val="18"/>
                <w:color w:val="auto"/>
              </w:rPr>
              <w:t>64,660</w:t>
            </w: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unrealized gain on short-term</w:t>
            </w: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Common shares issued for services</w:t>
            </w:r>
          </w:p>
        </w:tc>
        <w:tc>
          <w:tcPr>
            <w:tcW w:w="1120" w:type="dxa"/>
            <w:vAlign w:val="bottom"/>
          </w:tcPr>
          <w:p>
            <w:pPr>
              <w:jc w:val="right"/>
              <w:spacing w:after="0"/>
              <w:rPr>
                <w:sz w:val="20"/>
                <w:szCs w:val="20"/>
                <w:color w:val="auto"/>
              </w:rPr>
            </w:pPr>
            <w:r>
              <w:rPr>
                <w:rFonts w:ascii="Arial" w:cs="Arial" w:eastAsia="Arial" w:hAnsi="Arial"/>
                <w:sz w:val="18"/>
                <w:szCs w:val="18"/>
                <w:color w:val="auto"/>
              </w:rPr>
              <w:t>17,876</w:t>
            </w: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100</w:t>
            </w: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Net loss for the period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(5,429)</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(5,429)</w:t>
            </w:r>
          </w:p>
        </w:tc>
        <w:tc>
          <w:tcPr>
            <w:tcW w:w="0" w:type="dxa"/>
            <w:vAlign w:val="bottom"/>
          </w:tcPr>
          <w:p>
            <w:pPr>
              <w:spacing w:after="0"/>
              <w:rPr>
                <w:sz w:val="1"/>
                <w:szCs w:val="1"/>
                <w:color w:val="auto"/>
              </w:rPr>
            </w:pPr>
          </w:p>
        </w:tc>
      </w:tr>
      <w:tr>
        <w:trPr>
          <w:trHeight w:val="20"/>
        </w:trPr>
        <w:tc>
          <w:tcPr>
            <w:tcW w:w="312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120" w:type="dxa"/>
            <w:vAlign w:val="bottom"/>
          </w:tcPr>
          <w:p>
            <w:pPr>
              <w:spacing w:after="0"/>
              <w:rPr>
                <w:sz w:val="20"/>
                <w:szCs w:val="20"/>
                <w:color w:val="auto"/>
              </w:rPr>
            </w:pPr>
            <w:r>
              <w:rPr>
                <w:rFonts w:ascii="Arial" w:cs="Arial" w:eastAsia="Arial" w:hAnsi="Arial"/>
                <w:sz w:val="18"/>
                <w:szCs w:val="18"/>
                <w:b w:val="1"/>
                <w:bCs w:val="1"/>
                <w:color w:val="auto"/>
              </w:rPr>
              <w:t>Balance at March 31, 2021</w:t>
            </w:r>
          </w:p>
        </w:tc>
        <w:tc>
          <w:tcPr>
            <w:tcW w:w="1120" w:type="dxa"/>
            <w:vAlign w:val="bottom"/>
          </w:tcPr>
          <w:p>
            <w:pPr>
              <w:jc w:val="right"/>
              <w:spacing w:after="0"/>
              <w:rPr>
                <w:sz w:val="20"/>
                <w:szCs w:val="20"/>
                <w:color w:val="auto"/>
              </w:rPr>
            </w:pPr>
            <w:r>
              <w:rPr>
                <w:rFonts w:ascii="Arial" w:cs="Arial" w:eastAsia="Arial" w:hAnsi="Arial"/>
                <w:sz w:val="18"/>
                <w:szCs w:val="18"/>
                <w:color w:val="auto"/>
              </w:rPr>
              <w:t>37,711,698</w:t>
            </w:r>
          </w:p>
        </w:tc>
        <w:tc>
          <w:tcPr>
            <w:tcW w:w="220" w:type="dxa"/>
            <w:vAlign w:val="bottom"/>
          </w:tcPr>
          <w:p>
            <w:pPr>
              <w:spacing w:after="0"/>
              <w:rPr>
                <w:sz w:val="18"/>
                <w:szCs w:val="18"/>
                <w:color w:val="auto"/>
              </w:rPr>
            </w:pPr>
          </w:p>
        </w:tc>
        <w:tc>
          <w:tcPr>
            <w:tcW w:w="960" w:type="dxa"/>
            <w:vAlign w:val="bottom"/>
          </w:tcPr>
          <w:p>
            <w:pPr>
              <w:jc w:val="right"/>
              <w:ind w:right="770"/>
              <w:spacing w:after="0"/>
              <w:rPr>
                <w:sz w:val="20"/>
                <w:szCs w:val="20"/>
                <w:color w:val="auto"/>
              </w:rPr>
            </w:pPr>
            <w:r>
              <w:rPr>
                <w:rFonts w:ascii="Arial" w:cs="Arial" w:eastAsia="Arial" w:hAnsi="Arial"/>
                <w:sz w:val="18"/>
                <w:szCs w:val="18"/>
                <w:color w:val="auto"/>
                <w:w w:val="79"/>
              </w:rPr>
              <w:t>$</w:t>
            </w:r>
          </w:p>
        </w:tc>
        <w:tc>
          <w:tcPr>
            <w:tcW w:w="18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72,777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(30,739)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2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42,059</w:t>
            </w: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interim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1"/>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b w:val="1"/>
                <w:bCs w:val="1"/>
                <w:color w:val="auto"/>
                <w:w w:val="89"/>
              </w:rPr>
              <w:t>Wrap Technologies, Inc.</w:t>
            </w: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280" w:type="dxa"/>
            <w:vAlign w:val="bottom"/>
          </w:tcPr>
          <w:p>
            <w:pPr>
              <w:spacing w:after="0"/>
              <w:rPr>
                <w:sz w:val="19"/>
                <w:szCs w:val="19"/>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88"/>
              </w:rPr>
              <w:t>Consolidated Statements of Cash Flows</w:t>
            </w:r>
          </w:p>
        </w:tc>
        <w:tc>
          <w:tcPr>
            <w:tcW w:w="9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color w:val="auto"/>
                <w:w w:val="89"/>
              </w:rPr>
              <w:t>(in thousands)</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color w:val="auto"/>
                <w:w w:val="92"/>
              </w:rPr>
              <w:t>(unaudited)</w:t>
            </w:r>
          </w:p>
        </w:tc>
        <w:tc>
          <w:tcPr>
            <w:tcW w:w="9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3240" w:type="dxa"/>
            <w:vAlign w:val="bottom"/>
            <w:gridSpan w:val="7"/>
          </w:tcPr>
          <w:p>
            <w:pPr>
              <w:jc w:val="right"/>
              <w:ind w:right="440"/>
              <w:spacing w:after="0"/>
              <w:rPr>
                <w:sz w:val="20"/>
                <w:szCs w:val="20"/>
                <w:color w:val="auto"/>
              </w:rPr>
            </w:pPr>
            <w:r>
              <w:rPr>
                <w:rFonts w:ascii="Arial" w:cs="Arial" w:eastAsia="Arial" w:hAnsi="Arial"/>
                <w:sz w:val="18"/>
                <w:szCs w:val="18"/>
                <w:b w:val="1"/>
                <w:bCs w:val="1"/>
                <w:color w:val="auto"/>
              </w:rPr>
              <w:t>Three Months Ended March 31,</w:t>
            </w:r>
          </w:p>
        </w:tc>
        <w:tc>
          <w:tcPr>
            <w:tcW w:w="0" w:type="dxa"/>
            <w:vAlign w:val="bottom"/>
          </w:tcPr>
          <w:p>
            <w:pPr>
              <w:spacing w:after="0"/>
              <w:rPr>
                <w:sz w:val="1"/>
                <w:szCs w:val="1"/>
                <w:color w:val="auto"/>
              </w:rPr>
            </w:pPr>
          </w:p>
        </w:tc>
      </w:tr>
      <w:tr>
        <w:trPr>
          <w:trHeight w:val="234"/>
        </w:trPr>
        <w:tc>
          <w:tcPr>
            <w:tcW w:w="8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8000" w:type="dxa"/>
            <w:vAlign w:val="bottom"/>
            <w:gridSpan w:val="2"/>
            <w:vMerge w:val="continue"/>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(5,432)</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(5,429)</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Depreciation and amortization</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Gain on sale of assets</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Warranty provision</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Non-cash lease expense</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Share-based compensation</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Common shares issued for services</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Provision for doubtful accounts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Changes in assets and liabilities:</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Inventories</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(304)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Accounts payable</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1,168</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Operating lease liability</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Customer deposits</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Accrued liabilities and other</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8000" w:type="dxa"/>
            <w:vAlign w:val="bottom"/>
            <w:gridSpan w:val="2"/>
          </w:tcPr>
          <w:p>
            <w:pPr>
              <w:ind w:left="340"/>
              <w:spacing w:after="0"/>
              <w:rPr>
                <w:sz w:val="20"/>
                <w:szCs w:val="20"/>
                <w:color w:val="auto"/>
              </w:rPr>
            </w:pPr>
            <w:r>
              <w:rPr>
                <w:rFonts w:ascii="Arial" w:cs="Arial" w:eastAsia="Arial" w:hAnsi="Arial"/>
                <w:sz w:val="18"/>
                <w:szCs w:val="18"/>
                <w:color w:val="auto"/>
              </w:rPr>
              <w:t>Warranty settlement</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Deferred revenue</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gridSpan w:val="2"/>
          </w:tcPr>
          <w:p>
            <w:pPr>
              <w:spacing w:after="0"/>
              <w:rPr>
                <w:sz w:val="20"/>
                <w:szCs w:val="20"/>
                <w:color w:val="auto"/>
              </w:rPr>
            </w:pPr>
            <w:r>
              <w:rPr>
                <w:rFonts w:ascii="Arial" w:cs="Arial" w:eastAsia="Arial" w:hAnsi="Arial"/>
                <w:sz w:val="18"/>
                <w:szCs w:val="18"/>
                <w:color w:val="auto"/>
              </w:rPr>
              <w:t>Net cash used in operating activities</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(4,850)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(4,444)</w:t>
            </w: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short-term investments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(4,996)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(25,003)</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Proceeds from maturities of short-term investments</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w w:val="94"/>
              </w:rPr>
              <w:t>10,000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15,000</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expenditures for property and equipment</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Investment in patents and trademarks</w:t>
            </w:r>
          </w:p>
        </w:tc>
        <w:tc>
          <w:tcPr>
            <w:tcW w:w="9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 long-term deposits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Proceeds from long-term deposits</w:t>
            </w:r>
          </w:p>
        </w:tc>
        <w:tc>
          <w:tcPr>
            <w:tcW w:w="9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9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4,852</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(10,216)</w:t>
            </w:r>
          </w:p>
        </w:tc>
        <w:tc>
          <w:tcPr>
            <w:tcW w:w="0" w:type="dxa"/>
            <w:vAlign w:val="bottom"/>
          </w:tcPr>
          <w:p>
            <w:pPr>
              <w:spacing w:after="0"/>
              <w:rPr>
                <w:sz w:val="1"/>
                <w:szCs w:val="1"/>
                <w:color w:val="auto"/>
              </w:rPr>
            </w:pPr>
          </w:p>
        </w:tc>
      </w:tr>
      <w:tr>
        <w:trPr>
          <w:trHeight w:val="210"/>
        </w:trPr>
        <w:tc>
          <w:tcPr>
            <w:tcW w:w="1280" w:type="dxa"/>
            <w:vAlign w:val="bottom"/>
            <w:tcBorders>
              <w:top w:val="single" w:sz="8" w:color="CCEEFF"/>
            </w:tcBorders>
          </w:tcPr>
          <w:p>
            <w:pPr>
              <w:spacing w:after="0"/>
              <w:rPr>
                <w:sz w:val="18"/>
                <w:szCs w:val="18"/>
                <w:color w:val="auto"/>
              </w:rPr>
            </w:pPr>
          </w:p>
        </w:tc>
        <w:tc>
          <w:tcPr>
            <w:tcW w:w="6720" w:type="dxa"/>
            <w:vAlign w:val="bottom"/>
            <w:tcBorders>
              <w:top w:val="single" w:sz="8" w:color="CCEEFF"/>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Proceeds from exercise of stock options</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Repayment of debt</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9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9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(14,647)</w:t>
            </w:r>
          </w:p>
        </w:tc>
        <w:tc>
          <w:tcPr>
            <w:tcW w:w="0" w:type="dxa"/>
            <w:vAlign w:val="bottom"/>
          </w:tcPr>
          <w:p>
            <w:pPr>
              <w:spacing w:after="0"/>
              <w:rPr>
                <w:sz w:val="1"/>
                <w:szCs w:val="1"/>
                <w:color w:val="auto"/>
              </w:rPr>
            </w:pP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9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4,937</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5,014</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Supplemental Disclosure of Non-Cash Investing</w:t>
            </w: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and Financing Activities:</w:t>
            </w:r>
          </w:p>
        </w:tc>
        <w:tc>
          <w:tcPr>
            <w:tcW w:w="9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Change in unrealized gain on short-term investments</w:t>
            </w: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Right-of-use asset and liability recorded during period</w:t>
            </w:r>
          </w:p>
        </w:tc>
        <w:tc>
          <w:tcPr>
            <w:tcW w:w="94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335</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interim financial statements.</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Wrap Technologies, Inc.</w:t>
      </w:r>
    </w:p>
    <w:p>
      <w:pPr>
        <w:spacing w:after="0" w:line="27" w:lineRule="exact"/>
        <w:rPr>
          <w:sz w:val="20"/>
          <w:szCs w:val="20"/>
          <w:color w:val="auto"/>
        </w:rPr>
      </w:pPr>
    </w:p>
    <w:p>
      <w:pPr>
        <w:ind w:right="5500"/>
        <w:spacing w:after="0" w:line="260" w:lineRule="auto"/>
        <w:rPr>
          <w:sz w:val="20"/>
          <w:szCs w:val="20"/>
          <w:color w:val="auto"/>
        </w:rPr>
      </w:pPr>
      <w:r>
        <w:rPr>
          <w:rFonts w:ascii="Arial" w:cs="Arial" w:eastAsia="Arial" w:hAnsi="Arial"/>
          <w:sz w:val="18"/>
          <w:szCs w:val="18"/>
          <w:b w:val="1"/>
          <w:bCs w:val="1"/>
          <w:color w:val="auto"/>
        </w:rPr>
        <w:t>Notes to Unaudited Condensed Consolidated Interim Financial Statements (in thousands, except per share and share amounts)</w:t>
      </w:r>
    </w:p>
    <w:p>
      <w:pPr>
        <w:spacing w:after="0" w:line="200" w:lineRule="exact"/>
        <w:rPr>
          <w:sz w:val="20"/>
          <w:szCs w:val="20"/>
          <w:color w:val="auto"/>
        </w:rPr>
      </w:pPr>
    </w:p>
    <w:p>
      <w:pPr>
        <w:spacing w:after="0" w:line="224"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Organization and Business Description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Wrap Technologies, Inc., a Delaware corporation (the “</w:t>
      </w:r>
      <w:r>
        <w:rPr>
          <w:rFonts w:ascii="Arial" w:cs="Arial" w:eastAsia="Arial" w:hAnsi="Arial"/>
          <w:sz w:val="18"/>
          <w:szCs w:val="18"/>
          <w:i w:val="1"/>
          <w:iCs w:val="1"/>
          <w:color w:val="auto"/>
        </w:rPr>
        <w:t>Company</w:t>
      </w:r>
      <w:r>
        <w:rPr>
          <w:rFonts w:ascii="Arial" w:cs="Arial" w:eastAsia="Arial" w:hAnsi="Arial"/>
          <w:sz w:val="18"/>
          <w:szCs w:val="18"/>
          <w:color w:val="auto"/>
        </w:rPr>
        <w:t>”, “</w:t>
      </w:r>
      <w:r>
        <w:rPr>
          <w:rFonts w:ascii="Arial" w:cs="Arial" w:eastAsia="Arial" w:hAnsi="Arial"/>
          <w:sz w:val="18"/>
          <w:szCs w:val="18"/>
          <w:i w:val="1"/>
          <w:iCs w:val="1"/>
          <w:color w:val="auto"/>
        </w:rPr>
        <w:t>we</w:t>
      </w:r>
      <w:r>
        <w:rPr>
          <w:rFonts w:ascii="Arial" w:cs="Arial" w:eastAsia="Arial" w:hAnsi="Arial"/>
          <w:sz w:val="18"/>
          <w:szCs w:val="18"/>
          <w:color w:val="auto"/>
        </w:rPr>
        <w:t>”, “</w:t>
      </w:r>
      <w:r>
        <w:rPr>
          <w:rFonts w:ascii="Arial" w:cs="Arial" w:eastAsia="Arial" w:hAnsi="Arial"/>
          <w:sz w:val="18"/>
          <w:szCs w:val="18"/>
          <w:i w:val="1"/>
          <w:iCs w:val="1"/>
          <w:color w:val="auto"/>
        </w:rPr>
        <w:t>us</w:t>
      </w:r>
      <w:r>
        <w:rPr>
          <w:rFonts w:ascii="Arial" w:cs="Arial" w:eastAsia="Arial" w:hAnsi="Arial"/>
          <w:sz w:val="18"/>
          <w:szCs w:val="18"/>
          <w:color w:val="auto"/>
        </w:rPr>
        <w:t>”, and “</w:t>
      </w:r>
      <w:r>
        <w:rPr>
          <w:rFonts w:ascii="Arial" w:cs="Arial" w:eastAsia="Arial" w:hAnsi="Arial"/>
          <w:sz w:val="18"/>
          <w:szCs w:val="18"/>
          <w:i w:val="1"/>
          <w:iCs w:val="1"/>
          <w:color w:val="auto"/>
        </w:rPr>
        <w:t>our</w:t>
      </w:r>
      <w:r>
        <w:rPr>
          <w:rFonts w:ascii="Arial" w:cs="Arial" w:eastAsia="Arial" w:hAnsi="Arial"/>
          <w:sz w:val="18"/>
          <w:szCs w:val="18"/>
          <w:color w:val="auto"/>
        </w:rPr>
        <w:t>”), is a publicly traded company with our Common Stock, par value $0.0001 per share (“</w:t>
      </w:r>
      <w:r>
        <w:rPr>
          <w:rFonts w:ascii="Arial" w:cs="Arial" w:eastAsia="Arial" w:hAnsi="Arial"/>
          <w:sz w:val="18"/>
          <w:szCs w:val="18"/>
          <w:i w:val="1"/>
          <w:iCs w:val="1"/>
          <w:color w:val="auto"/>
        </w:rPr>
        <w:t>Common Stock</w:t>
      </w:r>
      <w:r>
        <w:rPr>
          <w:rFonts w:ascii="Arial" w:cs="Arial" w:eastAsia="Arial" w:hAnsi="Arial"/>
          <w:sz w:val="18"/>
          <w:szCs w:val="18"/>
          <w:color w:val="auto"/>
        </w:rPr>
        <w:t>”), listed on the Nasdaq Capital Market (“</w:t>
      </w:r>
      <w:r>
        <w:rPr>
          <w:rFonts w:ascii="Arial" w:cs="Arial" w:eastAsia="Arial" w:hAnsi="Arial"/>
          <w:sz w:val="18"/>
          <w:szCs w:val="18"/>
          <w:i w:val="1"/>
          <w:iCs w:val="1"/>
          <w:color w:val="auto"/>
        </w:rPr>
        <w:t>Nasdaq</w:t>
      </w:r>
      <w:r>
        <w:rPr>
          <w:rFonts w:ascii="Arial" w:cs="Arial" w:eastAsia="Arial" w:hAnsi="Arial"/>
          <w:sz w:val="18"/>
          <w:szCs w:val="18"/>
          <w:color w:val="auto"/>
        </w:rPr>
        <w:t>”) under the trading symbol “WRAP”. The Company is a developer and supplier of public safety products and training services for law enforcement and security personnel. The Company’s primary product is the BolaWrap® remote restraint device. The principal markets for the Company’s proprietary products and services are in North and South America, Europe, Middle East and Asia.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Company’s unaudited interim condensed consolidated financial statements included herein have been prepared in accordance with the instructions to Form 10-Q and Article 8 of Regulation S-X and the rules and regulations of the Securities and Exchange Commission (“</w:t>
      </w:r>
      <w:r>
        <w:rPr>
          <w:rFonts w:ascii="Arial" w:cs="Arial" w:eastAsia="Arial" w:hAnsi="Arial"/>
          <w:sz w:val="17"/>
          <w:szCs w:val="17"/>
          <w:i w:val="1"/>
          <w:iCs w:val="1"/>
          <w:color w:val="auto"/>
        </w:rPr>
        <w:t>SEC</w:t>
      </w:r>
      <w:r>
        <w:rPr>
          <w:rFonts w:ascii="Arial" w:cs="Arial" w:eastAsia="Arial" w:hAnsi="Arial"/>
          <w:sz w:val="17"/>
          <w:szCs w:val="17"/>
          <w:color w:val="auto"/>
        </w:rPr>
        <w:t xml:space="preserve">”). Certain information and footnote disclosures normally included in financial statements prepared in accordance with U.S. generally accepted accounting principles </w:t>
      </w:r>
      <w:r>
        <w:rPr>
          <w:rFonts w:ascii="Arial" w:cs="Arial" w:eastAsia="Arial" w:hAnsi="Arial"/>
          <w:sz w:val="17"/>
          <w:szCs w:val="17"/>
          <w:i w:val="1"/>
          <w:iCs w:val="1"/>
          <w:color w:val="auto"/>
        </w:rPr>
        <w:t>(</w:t>
      </w:r>
      <w:r>
        <w:rPr>
          <w:rFonts w:ascii="Arial" w:cs="Arial" w:eastAsia="Arial" w:hAnsi="Arial"/>
          <w:sz w:val="17"/>
          <w:szCs w:val="17"/>
          <w:color w:val="auto"/>
        </w:rPr>
        <w:t>“</w:t>
      </w:r>
      <w:r>
        <w:rPr>
          <w:rFonts w:ascii="Arial" w:cs="Arial" w:eastAsia="Arial" w:hAnsi="Arial"/>
          <w:sz w:val="17"/>
          <w:szCs w:val="17"/>
          <w:i w:val="1"/>
          <w:iCs w:val="1"/>
          <w:color w:val="auto"/>
        </w:rPr>
        <w:t>U.S. GAAP</w:t>
      </w:r>
      <w:r>
        <w:rPr>
          <w:rFonts w:ascii="Arial" w:cs="Arial" w:eastAsia="Arial" w:hAnsi="Arial"/>
          <w:sz w:val="17"/>
          <w:szCs w:val="17"/>
          <w:color w:val="auto"/>
        </w:rPr>
        <w:t>”) have been condensed or omitted pursuant to such rules and regulations. In management’s opinion, the accompanying financial statements reflect adjustments necessary to present fairly the financial position, results of operations, and cash flows for those periods indicated, and contain adequate disclosure to make the information presented not misleading. Adjustments included herein are of a normal, recurring nature unless otherwise disclosed in the footnotes. The condensed consolidated financial statements and notes thereto should be read in conjunction with the Company’s audited financial statements and notes thereto for the year ended December 31, 2021, included in the Company’s Annual Report on Form 10-K, as filed with the SEC on March 10, 2022. The accompanying condensed consolidated balance sheet at December 31, 2021, has been derived from the audited consolidated balance sheet at December 31, 2021, contained in the above referenced Form 10-K. Results of operations for interim periods are not necessarily indicative of the results of operations for a full year.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Where necessary, the prior year’s information has been reclassified to conform to the current year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has one wholly-owned subsidiary, Wrap Reality, Inc. formed in December 2020 that sells a virtual reality training system primarily targeting law enforcement agencies. The consolidated financial statements include the accounts of this subsidiary after elimination of intercompany transactions and accounts.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(e.g., stock-based compensation valuation, allowance for doubtful accounts, valuation of inventory and intangible assets, warranty reserve, accrued expense and recognition and measurement of contingencies) that affect the reported amounts of assets and liabilities, and disclosure of contingent assets and liabilities at the date of the financial statements and affect the reported amounts of revenue and expense during the reporting period. Actual results could materially differ from those estimates.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Loss per Share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Basic loss per common share is computed by dividing net loss for the period by the weighted-average number of shares of Common Stock outstanding during the period. Diluted net loss per Common Share reflects the potential dilution of securities that could share in the earnings of an entity. The Company’s losses for the periods presented cause the inclusion of potential Common Stock instruments outstanding to be antidilutive. Stock options, restricted stock units and warrants exercisable or issuable for a total of 5,350,111 shares of Common Stock were outstanding at March 31, 2022. These securities are not included in the computation of diluted net loss per common share for the periods presented as their inclusion would be antidilutive due to losses incurred by the Company.</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Wrap Technologies, Inc.</w:t>
      </w:r>
    </w:p>
    <w:p>
      <w:pPr>
        <w:spacing w:after="0" w:line="27" w:lineRule="exact"/>
        <w:rPr>
          <w:sz w:val="20"/>
          <w:szCs w:val="20"/>
          <w:color w:val="auto"/>
        </w:rPr>
      </w:pPr>
    </w:p>
    <w:p>
      <w:pPr>
        <w:ind w:right="5500"/>
        <w:spacing w:after="0" w:line="260" w:lineRule="auto"/>
        <w:rPr>
          <w:sz w:val="20"/>
          <w:szCs w:val="20"/>
          <w:color w:val="auto"/>
        </w:rPr>
      </w:pPr>
      <w:r>
        <w:rPr>
          <w:rFonts w:ascii="Arial" w:cs="Arial" w:eastAsia="Arial" w:hAnsi="Arial"/>
          <w:sz w:val="18"/>
          <w:szCs w:val="18"/>
          <w:b w:val="1"/>
          <w:bCs w:val="1"/>
          <w:color w:val="auto"/>
        </w:rPr>
        <w:t>Notes to Unaudited Condensed Consolidated Interim Financial Statements (in thousands, except per share and share amounts)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 Issued Accounting Guidance</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October 2021</w:t>
      </w:r>
      <w:r>
        <w:rPr>
          <w:rFonts w:ascii="Arial" w:cs="Arial" w:eastAsia="Arial" w:hAnsi="Arial"/>
          <w:sz w:val="17"/>
          <w:szCs w:val="17"/>
          <w:i w:val="1"/>
          <w:iCs w:val="1"/>
          <w:color w:val="auto"/>
        </w:rPr>
        <w:t>,</w:t>
      </w:r>
      <w:r>
        <w:rPr>
          <w:rFonts w:ascii="Arial" w:cs="Arial" w:eastAsia="Arial" w:hAnsi="Arial"/>
          <w:sz w:val="17"/>
          <w:szCs w:val="17"/>
          <w:color w:val="auto"/>
        </w:rPr>
        <w:t xml:space="preserve"> the FASB issued ASU </w:t>
      </w:r>
      <w:r>
        <w:rPr>
          <w:rFonts w:ascii="Arial" w:cs="Arial" w:eastAsia="Arial" w:hAnsi="Arial"/>
          <w:sz w:val="17"/>
          <w:szCs w:val="17"/>
          <w:i w:val="1"/>
          <w:iCs w:val="1"/>
          <w:color w:val="auto"/>
        </w:rPr>
        <w:t>2021</w:t>
      </w:r>
      <w:r>
        <w:rPr>
          <w:rFonts w:ascii="Arial" w:cs="Arial" w:eastAsia="Arial" w:hAnsi="Arial"/>
          <w:sz w:val="17"/>
          <w:szCs w:val="17"/>
          <w:color w:val="auto"/>
        </w:rPr>
        <w:t>-</w:t>
      </w:r>
      <w:r>
        <w:rPr>
          <w:rFonts w:ascii="Arial" w:cs="Arial" w:eastAsia="Arial" w:hAnsi="Arial"/>
          <w:sz w:val="17"/>
          <w:szCs w:val="17"/>
          <w:i w:val="1"/>
          <w:iCs w:val="1"/>
          <w:color w:val="auto"/>
        </w:rPr>
        <w:t>08</w:t>
      </w:r>
      <w:r>
        <w:rPr>
          <w:rFonts w:ascii="Arial" w:cs="Arial" w:eastAsia="Arial" w:hAnsi="Arial"/>
          <w:sz w:val="17"/>
          <w:szCs w:val="17"/>
          <w:color w:val="auto"/>
        </w:rPr>
        <w:t xml:space="preserve"> (“ASU </w:t>
      </w:r>
      <w:r>
        <w:rPr>
          <w:rFonts w:ascii="Arial" w:cs="Arial" w:eastAsia="Arial" w:hAnsi="Arial"/>
          <w:sz w:val="17"/>
          <w:szCs w:val="17"/>
          <w:i w:val="1"/>
          <w:iCs w:val="1"/>
          <w:color w:val="auto"/>
        </w:rPr>
        <w:t>No. 2021</w:t>
      </w:r>
      <w:r>
        <w:rPr>
          <w:rFonts w:ascii="Arial" w:cs="Arial" w:eastAsia="Arial" w:hAnsi="Arial"/>
          <w:sz w:val="17"/>
          <w:szCs w:val="17"/>
          <w:color w:val="auto"/>
        </w:rPr>
        <w:t>-</w:t>
      </w:r>
      <w:r>
        <w:rPr>
          <w:rFonts w:ascii="Arial" w:cs="Arial" w:eastAsia="Arial" w:hAnsi="Arial"/>
          <w:sz w:val="17"/>
          <w:szCs w:val="17"/>
          <w:i w:val="1"/>
          <w:iCs w:val="1"/>
          <w:color w:val="auto"/>
        </w:rPr>
        <w:t>08</w:t>
      </w:r>
      <w:r>
        <w:rPr>
          <w:rFonts w:ascii="Arial" w:cs="Arial" w:eastAsia="Arial" w:hAnsi="Arial"/>
          <w:sz w:val="17"/>
          <w:szCs w:val="17"/>
          <w:color w:val="auto"/>
        </w:rPr>
        <w:t xml:space="preserve">”), Business Combinations (Topic </w:t>
      </w:r>
      <w:r>
        <w:rPr>
          <w:rFonts w:ascii="Arial" w:cs="Arial" w:eastAsia="Arial" w:hAnsi="Arial"/>
          <w:sz w:val="17"/>
          <w:szCs w:val="17"/>
          <w:i w:val="1"/>
          <w:iCs w:val="1"/>
          <w:color w:val="auto"/>
        </w:rPr>
        <w:t>805</w:t>
      </w:r>
      <w:r>
        <w:rPr>
          <w:rFonts w:ascii="Arial" w:cs="Arial" w:eastAsia="Arial" w:hAnsi="Arial"/>
          <w:sz w:val="17"/>
          <w:szCs w:val="17"/>
          <w:color w:val="auto"/>
        </w:rPr>
        <w:t xml:space="preserve">): Accounting for Contract Assets and Contract Liabilities from Contracts with Customers, to require that an acquirer recognize, and measure contract assets and contract liabilities acquired in a business combination in accordance with Topic </w:t>
      </w:r>
      <w:r>
        <w:rPr>
          <w:rFonts w:ascii="Arial" w:cs="Arial" w:eastAsia="Arial" w:hAnsi="Arial"/>
          <w:sz w:val="17"/>
          <w:szCs w:val="17"/>
          <w:i w:val="1"/>
          <w:iCs w:val="1"/>
          <w:color w:val="auto"/>
        </w:rPr>
        <w:t>606,</w:t>
      </w:r>
      <w:r>
        <w:rPr>
          <w:rFonts w:ascii="Arial" w:cs="Arial" w:eastAsia="Arial" w:hAnsi="Arial"/>
          <w:sz w:val="17"/>
          <w:szCs w:val="17"/>
          <w:color w:val="auto"/>
        </w:rPr>
        <w:t xml:space="preserve"> Revenue from Contracts with Customers. At the acquisition date, an acquirer should account for the related revenue contracts in accordance with Topic </w:t>
      </w:r>
      <w:r>
        <w:rPr>
          <w:rFonts w:ascii="Arial" w:cs="Arial" w:eastAsia="Arial" w:hAnsi="Arial"/>
          <w:sz w:val="17"/>
          <w:szCs w:val="17"/>
          <w:i w:val="1"/>
          <w:iCs w:val="1"/>
          <w:color w:val="auto"/>
        </w:rPr>
        <w:t>606</w:t>
      </w:r>
      <w:r>
        <w:rPr>
          <w:rFonts w:ascii="Arial" w:cs="Arial" w:eastAsia="Arial" w:hAnsi="Arial"/>
          <w:sz w:val="17"/>
          <w:szCs w:val="17"/>
          <w:color w:val="auto"/>
        </w:rPr>
        <w:t xml:space="preserve"> as if it had originated the contracts. The amendments in this update should be applied prospectively and are effective for fiscal years beginning after December 15, 2022</w:t>
      </w:r>
      <w:r>
        <w:rPr>
          <w:rFonts w:ascii="Arial" w:cs="Arial" w:eastAsia="Arial" w:hAnsi="Arial"/>
          <w:sz w:val="17"/>
          <w:szCs w:val="17"/>
          <w:i w:val="1"/>
          <w:iCs w:val="1"/>
          <w:color w:val="auto"/>
        </w:rPr>
        <w:t>,</w:t>
      </w:r>
      <w:r>
        <w:rPr>
          <w:rFonts w:ascii="Arial" w:cs="Arial" w:eastAsia="Arial" w:hAnsi="Arial"/>
          <w:sz w:val="17"/>
          <w:szCs w:val="17"/>
          <w:color w:val="auto"/>
        </w:rPr>
        <w:t xml:space="preserve"> including interim periods within those fiscal years. We do not expect the adoption of this standard to have a material impact on our consolidated financial statements and related disclosures.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reviewed other recently issued, but not yet effective, accounting pronouncements and does not believe the future adoptions of any such pronouncements will be expected to cause a material impact on its financial condition or the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REVENUE AND PRODUCT COSTS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On January 1, 2018, the Company adopted FASB ASC Topic </w:t>
      </w:r>
      <w:r>
        <w:rPr>
          <w:rFonts w:ascii="Arial" w:cs="Arial" w:eastAsia="Arial" w:hAnsi="Arial"/>
          <w:sz w:val="18"/>
          <w:szCs w:val="18"/>
          <w:i w:val="1"/>
          <w:iCs w:val="1"/>
          <w:color w:val="auto"/>
        </w:rPr>
        <w:t>606,</w:t>
      </w:r>
      <w:r>
        <w:rPr>
          <w:rFonts w:ascii="Arial" w:cs="Arial" w:eastAsia="Arial" w:hAnsi="Arial"/>
          <w:sz w:val="18"/>
          <w:szCs w:val="18"/>
          <w:color w:val="auto"/>
        </w:rPr>
        <w:t xml:space="preserve"> Revenue from contracts with customers </w:t>
      </w:r>
      <w:r>
        <w:rPr>
          <w:rFonts w:ascii="Arial" w:cs="Arial" w:eastAsia="Arial" w:hAnsi="Arial"/>
          <w:sz w:val="18"/>
          <w:szCs w:val="18"/>
          <w:i w:val="1"/>
          <w:iCs w:val="1"/>
          <w:color w:val="auto"/>
        </w:rPr>
        <w:t>(</w:t>
      </w:r>
      <w:r>
        <w:rPr>
          <w:rFonts w:ascii="Arial" w:cs="Arial" w:eastAsia="Arial" w:hAnsi="Arial"/>
          <w:sz w:val="18"/>
          <w:szCs w:val="18"/>
          <w:color w:val="auto"/>
        </w:rPr>
        <w:t>“</w:t>
      </w:r>
      <w:r>
        <w:rPr>
          <w:rFonts w:ascii="Arial" w:cs="Arial" w:eastAsia="Arial" w:hAnsi="Arial"/>
          <w:sz w:val="18"/>
          <w:szCs w:val="18"/>
          <w:i w:val="1"/>
          <w:iCs w:val="1"/>
          <w:color w:val="auto"/>
        </w:rPr>
        <w:t>Topic 606</w:t>
      </w:r>
      <w:r>
        <w:rPr>
          <w:rFonts w:ascii="Arial" w:cs="Arial" w:eastAsia="Arial" w:hAnsi="Arial"/>
          <w:sz w:val="18"/>
          <w:szCs w:val="18"/>
          <w:color w:val="auto"/>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and, as it had no prior revenue or contracts with customers, there was </w:t>
      </w:r>
      <w:r>
        <w:rPr>
          <w:rFonts w:ascii="Arial" w:cs="Arial" w:eastAsia="Arial" w:hAnsi="Arial"/>
          <w:sz w:val="18"/>
          <w:szCs w:val="18"/>
          <w:i w:val="1"/>
          <w:iCs w:val="1"/>
          <w:color w:val="auto"/>
        </w:rPr>
        <w:t>no</w:t>
      </w:r>
      <w:r>
        <w:rPr>
          <w:rFonts w:ascii="Arial" w:cs="Arial" w:eastAsia="Arial" w:hAnsi="Arial"/>
          <w:sz w:val="18"/>
          <w:szCs w:val="18"/>
          <w:color w:val="auto"/>
        </w:rPr>
        <w:t xml:space="preserve"> transition required nor any impact on prior results. </w:t>
      </w:r>
      <w:r>
        <w:rPr>
          <w:rFonts w:ascii="Arial" w:cs="Arial" w:eastAsia="Arial" w:hAnsi="Arial"/>
          <w:sz w:val="18"/>
          <w:szCs w:val="18"/>
          <w:i w:val="1"/>
          <w:iCs w:val="1"/>
          <w:color w:val="auto"/>
        </w:rPr>
        <w:t>Topic 606</w:t>
      </w:r>
      <w:r>
        <w:rPr>
          <w:rFonts w:ascii="Arial" w:cs="Arial" w:eastAsia="Arial" w:hAnsi="Arial"/>
          <w:sz w:val="18"/>
          <w:szCs w:val="18"/>
          <w:color w:val="auto"/>
        </w:rPr>
        <w:t xml:space="preserve"> requires entities to recognize revenue through the application of a five-step model, which includes identification of the contract, identification of the performance obligations, determination of the transaction price, allocation of the transaction price to the performance obligations and recognition of revenue as the entity satisfies the performance obligations.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enters into contracts that include various combinations of products, accessories, software and services, each of which are generally distinct and are accounted for as separate performance obligations.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A performance obligation is a promise in a contract to transfer a distinct good or service to a customer and is the unit of account in </w:t>
      </w:r>
      <w:r>
        <w:rPr>
          <w:rFonts w:ascii="Arial" w:cs="Arial" w:eastAsia="Arial" w:hAnsi="Arial"/>
          <w:sz w:val="18"/>
          <w:szCs w:val="18"/>
          <w:i w:val="1"/>
          <w:iCs w:val="1"/>
          <w:color w:val="auto"/>
        </w:rPr>
        <w:t>Topic 606.</w:t>
      </w:r>
      <w:r>
        <w:rPr>
          <w:rFonts w:ascii="Arial" w:cs="Arial" w:eastAsia="Arial" w:hAnsi="Arial"/>
          <w:sz w:val="18"/>
          <w:szCs w:val="18"/>
          <w:color w:val="auto"/>
        </w:rPr>
        <w:t xml:space="preserve"> For contracts with a single performance obligation, the entire transaction price is allocated to the single performance obligation. For contracts with multiple performance obligations, the Company allocates the contract transaction price to each performance obligation using the Company’s estimate of the standalone selling price (“</w:t>
      </w:r>
      <w:r>
        <w:rPr>
          <w:rFonts w:ascii="Arial" w:cs="Arial" w:eastAsia="Arial" w:hAnsi="Arial"/>
          <w:sz w:val="18"/>
          <w:szCs w:val="18"/>
          <w:i w:val="1"/>
          <w:iCs w:val="1"/>
          <w:color w:val="auto"/>
        </w:rPr>
        <w:t>SSP</w:t>
      </w:r>
      <w:r>
        <w:rPr>
          <w:rFonts w:ascii="Arial" w:cs="Arial" w:eastAsia="Arial" w:hAnsi="Arial"/>
          <w:sz w:val="18"/>
          <w:szCs w:val="18"/>
          <w:color w:val="auto"/>
        </w:rPr>
        <w:t>” or “</w:t>
      </w:r>
      <w:r>
        <w:rPr>
          <w:rFonts w:ascii="Arial" w:cs="Arial" w:eastAsia="Arial" w:hAnsi="Arial"/>
          <w:sz w:val="18"/>
          <w:szCs w:val="18"/>
          <w:i w:val="1"/>
          <w:iCs w:val="1"/>
          <w:color w:val="auto"/>
        </w:rPr>
        <w:t>SSPs</w:t>
      </w:r>
      <w:r>
        <w:rPr>
          <w:rFonts w:ascii="Arial" w:cs="Arial" w:eastAsia="Arial" w:hAnsi="Arial"/>
          <w:sz w:val="18"/>
          <w:szCs w:val="18"/>
          <w:color w:val="auto"/>
        </w:rPr>
        <w:t xml:space="preserve">”) of each distinct good or service in a contract. The Company determines SSPs based on the relative SSP. If the SSP is </w:t>
      </w:r>
      <w:r>
        <w:rPr>
          <w:rFonts w:ascii="Arial" w:cs="Arial" w:eastAsia="Arial" w:hAnsi="Arial"/>
          <w:sz w:val="18"/>
          <w:szCs w:val="18"/>
          <w:i w:val="1"/>
          <w:iCs w:val="1"/>
          <w:color w:val="auto"/>
        </w:rPr>
        <w:t>not</w:t>
      </w:r>
      <w:r>
        <w:rPr>
          <w:rFonts w:ascii="Arial" w:cs="Arial" w:eastAsia="Arial" w:hAnsi="Arial"/>
          <w:sz w:val="18"/>
          <w:szCs w:val="18"/>
          <w:color w:val="auto"/>
        </w:rPr>
        <w:t xml:space="preserve"> observable through past transactions, the Company estimates the SSP considering available information such as market conditions and internally approved pricing guidelines related to the performance obligations.</w:t>
      </w:r>
    </w:p>
    <w:p>
      <w:pPr>
        <w:spacing w:after="0" w:line="192"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Most of the Company’s products and accessories are sold through domestic and international distributors. Performance obligations to deliver products and accessories are generally satisfied at the point in time the Company ships the product, as this is when the customer obtains control of the asset under our standard terms and conditions. Periodically, certain customers request bill and hold transactions for future delivery as scheduled and designated by them. In such cases, revenue is not recognized until after control, title and risk of ownership has transferred which is generally when the customer has requested such transaction under normal billing and payment terms and has been notified that the product (i) has been completed according to customer specifications, (ii) has passed quality control inspections, and (iii) has been tagged and packed for shipment, separated from other inventory and ready for physical transfer to the customer. The value associated with custodial storage services is deemed immaterial in the context of such contracts and in total, and accordingly, </w:t>
      </w:r>
      <w:r>
        <w:rPr>
          <w:rFonts w:ascii="Arial" w:cs="Arial" w:eastAsia="Arial" w:hAnsi="Arial"/>
          <w:sz w:val="17"/>
          <w:szCs w:val="17"/>
          <w:i w:val="1"/>
          <w:iCs w:val="1"/>
          <w:color w:val="auto"/>
        </w:rPr>
        <w:t>none</w:t>
      </w:r>
      <w:r>
        <w:rPr>
          <w:rFonts w:ascii="Arial" w:cs="Arial" w:eastAsia="Arial" w:hAnsi="Arial"/>
          <w:sz w:val="17"/>
          <w:szCs w:val="17"/>
          <w:color w:val="auto"/>
        </w:rPr>
        <w:t xml:space="preserve"> of the transaction price is allocated to such service.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elected to recognize shipping costs as an expense in cost of revenue when control has transferred to the customer.</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Time-based virtual reality system contracts generally include setup, training and the use of software and hardware for a fixed term, generally one to five years and support and upgrade services during the same period. The Company does not sell time-based arrangements without setup, training and support services and therefore revenues for the entire arrangement are recognized on a straight-line basis over the term. When hardware is bundled and not sold separately the Company allocates the contract transaction price to each performance obligation using the SSP of each distinct good and service in the contract.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Wrap Technologies, Inc.</w:t>
      </w:r>
    </w:p>
    <w:p>
      <w:pPr>
        <w:spacing w:after="0" w:line="27" w:lineRule="exact"/>
        <w:rPr>
          <w:sz w:val="20"/>
          <w:szCs w:val="20"/>
          <w:color w:val="auto"/>
        </w:rPr>
      </w:pPr>
    </w:p>
    <w:p>
      <w:pPr>
        <w:ind w:right="5500"/>
        <w:spacing w:after="0" w:line="260" w:lineRule="auto"/>
        <w:rPr>
          <w:sz w:val="20"/>
          <w:szCs w:val="20"/>
          <w:color w:val="auto"/>
        </w:rPr>
      </w:pPr>
      <w:r>
        <w:rPr>
          <w:rFonts w:ascii="Arial" w:cs="Arial" w:eastAsia="Arial" w:hAnsi="Arial"/>
          <w:sz w:val="18"/>
          <w:szCs w:val="18"/>
          <w:b w:val="1"/>
          <w:bCs w:val="1"/>
          <w:color w:val="auto"/>
        </w:rPr>
        <w:t>Notes to Unaudited Condensed Consolidated Interim Financial Statements (in thousands, except per share and share amounts)</w:t>
      </w:r>
    </w:p>
    <w:p>
      <w:pPr>
        <w:spacing w:after="0" w:line="18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timing of revenue recognition may differ from the timing of invoicing to customers. The Company generally has an unconditional right to consideration when customers are invoiced, and a receivable is recorded. A contract asset is recognized when revenue is recognized prior to invoicing, or a contract liability (deferred revenue) when revenue will be recognized subsequent to invoicing. The Company may receive consideration, per terms of a contract, from customers prior to transferring goods to the customer. The Company records customer deposits as a contract liability. Additionally, the Company may receive payments, most typically for service and warranty contracts, at the onset of the contract and before the services have been performed. In such instances, a deferred revenue liability is recorded. The Company recognizes these contract liabilities as revenue after all revenue recognition criteria are met. The table below details the activity in our contract liabilities during the three months ended March 31, 2022.</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Customer</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Deferred</w:t>
            </w:r>
          </w:p>
        </w:tc>
      </w:tr>
      <w:tr>
        <w:trPr>
          <w:trHeight w:val="234"/>
        </w:trPr>
        <w:tc>
          <w:tcPr>
            <w:tcW w:w="7780" w:type="dxa"/>
            <w:vAlign w:val="bottom"/>
          </w:tcPr>
          <w:p>
            <w:pPr>
              <w:spacing w:after="0"/>
              <w:rPr>
                <w:sz w:val="20"/>
                <w:szCs w:val="20"/>
                <w:color w:val="auto"/>
              </w:rPr>
            </w:pP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Deposits</w:t>
            </w:r>
          </w:p>
        </w:tc>
        <w:tc>
          <w:tcPr>
            <w:tcW w:w="32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Revenue</w:t>
            </w:r>
          </w:p>
        </w:tc>
        <w:tc>
          <w:tcPr>
            <w:tcW w:w="120" w:type="dxa"/>
            <w:vAlign w:val="bottom"/>
          </w:tcPr>
          <w:p>
            <w:pPr>
              <w:spacing w:after="0"/>
              <w:rPr>
                <w:sz w:val="20"/>
                <w:szCs w:val="20"/>
                <w:color w:val="auto"/>
              </w:rPr>
            </w:pPr>
          </w:p>
        </w:tc>
      </w:tr>
      <w:tr>
        <w:trPr>
          <w:trHeight w:val="21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2022</w:t>
            </w:r>
          </w:p>
        </w:tc>
        <w:tc>
          <w:tcPr>
            <w:tcW w:w="1220" w:type="dxa"/>
            <w:vAlign w:val="bottom"/>
            <w:shd w:val="clear" w:color="auto" w:fill="CCEEFF"/>
          </w:tcPr>
          <w:p>
            <w:pPr>
              <w:jc w:val="right"/>
              <w:ind w:right="103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265</w:t>
            </w:r>
          </w:p>
        </w:tc>
      </w:tr>
      <w:tr>
        <w:trPr>
          <w:trHeight w:val="216"/>
        </w:trPr>
        <w:tc>
          <w:tcPr>
            <w:tcW w:w="7780" w:type="dxa"/>
            <w:vAlign w:val="bottom"/>
          </w:tcPr>
          <w:p>
            <w:pPr>
              <w:spacing w:after="0"/>
              <w:rPr>
                <w:sz w:val="20"/>
                <w:szCs w:val="20"/>
                <w:color w:val="auto"/>
              </w:rPr>
            </w:pPr>
            <w:r>
              <w:rPr>
                <w:rFonts w:ascii="Arial" w:cs="Arial" w:eastAsia="Arial" w:hAnsi="Arial"/>
                <w:sz w:val="18"/>
                <w:szCs w:val="18"/>
                <w:color w:val="auto"/>
              </w:rPr>
              <w:t>Additions, net</w:t>
            </w:r>
          </w:p>
        </w:tc>
        <w:tc>
          <w:tcPr>
            <w:tcW w:w="12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56</w:t>
            </w:r>
          </w:p>
        </w:tc>
      </w:tr>
      <w:tr>
        <w:trPr>
          <w:trHeight w:val="216"/>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Transfer to revenue</w:t>
            </w:r>
          </w:p>
        </w:tc>
        <w:tc>
          <w:tcPr>
            <w:tcW w:w="12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(43)</w:t>
            </w:r>
          </w:p>
        </w:tc>
        <w:tc>
          <w:tcPr>
            <w:tcW w:w="2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r>
      <w:tr>
        <w:trPr>
          <w:trHeight w:val="209"/>
        </w:trPr>
        <w:tc>
          <w:tcPr>
            <w:tcW w:w="77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Balance at March 31, 2022</w:t>
            </w:r>
          </w:p>
        </w:tc>
        <w:tc>
          <w:tcPr>
            <w:tcW w:w="1220" w:type="dxa"/>
            <w:vAlign w:val="bottom"/>
            <w:tcBorders>
              <w:top w:val="single" w:sz="8" w:color="auto"/>
              <w:bottom w:val="single" w:sz="8" w:color="auto"/>
            </w:tcBorders>
          </w:tcPr>
          <w:p>
            <w:pPr>
              <w:jc w:val="right"/>
              <w:ind w:right="1030"/>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282</w:t>
            </w:r>
          </w:p>
        </w:tc>
        <w:tc>
          <w:tcPr>
            <w:tcW w:w="120" w:type="dxa"/>
            <w:vAlign w:val="bottom"/>
            <w:tcBorders>
              <w:top w:val="single" w:sz="8" w:color="CCEEFF"/>
            </w:tcBorders>
          </w:tcPr>
          <w:p>
            <w:pPr>
              <w:spacing w:after="0"/>
              <w:rPr>
                <w:sz w:val="18"/>
                <w:szCs w:val="18"/>
                <w:color w:val="auto"/>
              </w:rPr>
            </w:pPr>
          </w:p>
        </w:tc>
      </w:tr>
      <w:tr>
        <w:trPr>
          <w:trHeight w:val="20"/>
        </w:trPr>
        <w:tc>
          <w:tcPr>
            <w:tcW w:w="77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778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Current portion</w:t>
            </w:r>
          </w:p>
        </w:tc>
        <w:tc>
          <w:tcPr>
            <w:tcW w:w="1220" w:type="dxa"/>
            <w:vAlign w:val="bottom"/>
            <w:tcBorders>
              <w:bottom w:val="single" w:sz="8" w:color="auto"/>
            </w:tcBorders>
            <w:shd w:val="clear" w:color="auto" w:fill="CCEEFF"/>
          </w:tcPr>
          <w:p>
            <w:pPr>
              <w:jc w:val="right"/>
              <w:ind w:right="1030"/>
              <w:spacing w:after="0" w:line="196" w:lineRule="exact"/>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197"/>
        </w:trPr>
        <w:tc>
          <w:tcPr>
            <w:tcW w:w="7780" w:type="dxa"/>
            <w:vAlign w:val="bottom"/>
          </w:tcPr>
          <w:p>
            <w:pPr>
              <w:spacing w:after="0" w:line="196" w:lineRule="exact"/>
              <w:rPr>
                <w:sz w:val="20"/>
                <w:szCs w:val="20"/>
                <w:color w:val="auto"/>
              </w:rPr>
            </w:pPr>
            <w:r>
              <w:rPr>
                <w:rFonts w:ascii="Arial" w:cs="Arial" w:eastAsia="Arial" w:hAnsi="Arial"/>
                <w:sz w:val="18"/>
                <w:szCs w:val="18"/>
                <w:color w:val="auto"/>
              </w:rPr>
              <w:t>Long-term portion</w:t>
            </w:r>
          </w:p>
        </w:tc>
        <w:tc>
          <w:tcPr>
            <w:tcW w:w="1220" w:type="dxa"/>
            <w:vAlign w:val="bottom"/>
          </w:tcPr>
          <w:p>
            <w:pPr>
              <w:jc w:val="right"/>
              <w:ind w:right="1030"/>
              <w:spacing w:after="0" w:line="196" w:lineRule="exact"/>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440" w:type="dxa"/>
            <w:vAlign w:val="bottom"/>
            <w:gridSpan w:val="2"/>
          </w:tcPr>
          <w:p>
            <w:pPr>
              <w:jc w:val="right"/>
              <w:ind w:right="120"/>
              <w:spacing w:after="0" w:line="196" w:lineRule="exact"/>
              <w:rPr>
                <w:sz w:val="20"/>
                <w:szCs w:val="20"/>
                <w:color w:val="auto"/>
              </w:rPr>
            </w:pPr>
            <w:r>
              <w:rPr>
                <w:rFonts w:ascii="Arial" w:cs="Arial" w:eastAsia="Arial" w:hAnsi="Arial"/>
                <w:sz w:val="18"/>
                <w:szCs w:val="18"/>
                <w:color w:val="auto"/>
              </w:rPr>
              <w:t>161</w:t>
            </w:r>
          </w:p>
        </w:tc>
      </w:tr>
      <w:tr>
        <w:trPr>
          <w:trHeight w:val="20"/>
        </w:trPr>
        <w:tc>
          <w:tcPr>
            <w:tcW w:w="778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March 31, 2022, the Company’s deferred revenue of $282 consisted of $170 related to virtual reality training and $112 related to BolaWrap extended warranties and services. At December 31, 2021, the Company’s deferred revenue of $265 consisted of $172 related to virtual reality training and $67 related to extended warranties.</w:t>
      </w:r>
    </w:p>
    <w:p>
      <w:pPr>
        <w:spacing w:after="0" w:line="1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recognizes an asset if there are incremental costs of obtaining a contract with a customer such as commissions. These costs are ascribed to or allocated to the underlying performance obligations in the contract and amortized consistent with the recognition timing of the revenue for any such underlying performance obligations. The Company had no such assets at March 31, 2022, and December 31, 2021</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will apply the practical expedient to expense any sales commissions related to performance obligations with an amortization of </w:t>
      </w:r>
      <w:r>
        <w:rPr>
          <w:rFonts w:ascii="Arial" w:cs="Arial" w:eastAsia="Arial" w:hAnsi="Arial"/>
          <w:sz w:val="18"/>
          <w:szCs w:val="18"/>
          <w:i w:val="1"/>
          <w:iCs w:val="1"/>
          <w:color w:val="auto"/>
        </w:rPr>
        <w:t>one</w:t>
      </w:r>
      <w:r>
        <w:rPr>
          <w:rFonts w:ascii="Arial" w:cs="Arial" w:eastAsia="Arial" w:hAnsi="Arial"/>
          <w:sz w:val="18"/>
          <w:szCs w:val="18"/>
          <w:color w:val="auto"/>
        </w:rPr>
        <w:t xml:space="preserve"> year or less when incurred within selling, general and administrative expense.</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Estimated costs for the Company’s standard warranty, generally one-year, are charged to cost of products sold when revenue is recorded for the related product. Royalties are also charged to cost of products sold.</w:t>
      </w:r>
    </w:p>
    <w:p>
      <w:pPr>
        <w:spacing w:after="0" w:line="200" w:lineRule="exact"/>
        <w:rPr>
          <w:sz w:val="20"/>
          <w:szCs w:val="20"/>
          <w:color w:val="auto"/>
        </w:rPr>
      </w:pPr>
    </w:p>
    <w:p>
      <w:pPr>
        <w:spacing w:after="0" w:line="209" w:lineRule="exact"/>
        <w:rPr>
          <w:sz w:val="20"/>
          <w:szCs w:val="20"/>
          <w:color w:val="auto"/>
        </w:rPr>
      </w:pPr>
    </w:p>
    <w:p>
      <w:pPr>
        <w:ind w:left="380" w:hanging="372"/>
        <w:spacing w:after="0"/>
        <w:tabs>
          <w:tab w:leader="none" w:pos="3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Assets and liabilities recorded at fair value on a recurring basis in the Condensed Consolidated Balance Sheets and assets and liabilities measured at fair value on a non-recurring basis or disclosed at fair value, are categorized based upon the level of judgment associated with inputs used to measure their fair values. The accounting guidance for fair value provides a framework for measuring fair value and requires certain disclosures about how fair value is determined. Fair value is defined as the price that would be received upon the sale of an asset or paid to transfer a liability (an exit price) in an orderly transaction between market participants at the measurement date. The accounting guidance also establishes a three-level valuation hierarchy that prioritizes the inputs to valuation techniques used to measure fair value based upon whether such inputs are observable or unobservable. Observable inputs reflect market data obtained from independent sources, while unobservable inputs reflect market assumptions made by the reporting entity. The three-level hierarchy for the inputs to valuation techniques is briefly summarized as follows: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—Inputs are unadjusted, quoted prices in active markets for identical assets or liabilities at the measurement date;</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are observable, unadjusted quoted prices in active markets for similar assets or liabilities, unadjusted quoted prices for identical or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assets or liabilities in markets that are not active, or other inputs that are observable or can be corroborated by observable market data for substantially the full term of the related assets or liabilities; and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—Unobservable inputs that are significant to the measurement of the fair value of the assets or liabilities that are supported by little or no market</w:t>
      </w:r>
      <w:r>
        <w:rPr>
          <w:rFonts w:ascii="Arial" w:cs="Arial" w:eastAsia="Arial" w:hAnsi="Arial"/>
          <w:sz w:val="18"/>
          <w:szCs w:val="18"/>
          <w:i w:val="1"/>
          <w:iCs w:val="1"/>
          <w:color w:val="auto"/>
        </w:rPr>
        <w:t xml:space="preserve"> </w:t>
      </w:r>
      <w:r>
        <w:rPr>
          <w:rFonts w:ascii="Arial" w:cs="Arial" w:eastAsia="Arial" w:hAnsi="Arial"/>
          <w:sz w:val="18"/>
          <w:szCs w:val="18"/>
          <w:color w:val="auto"/>
        </w:rPr>
        <w:t>data.</w:t>
      </w:r>
    </w:p>
    <w:p>
      <w:pPr>
        <w:spacing w:after="0" w:line="1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Company’s cash equivalent Money Market Funds and short-term investments consisting of U.S. Treasury bill securities are classified as Level I because they are valued using quoted market prices.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Wrap Technologies, Inc.</w:t>
      </w:r>
    </w:p>
    <w:p>
      <w:pPr>
        <w:spacing w:after="0" w:line="27" w:lineRule="exact"/>
        <w:rPr>
          <w:sz w:val="20"/>
          <w:szCs w:val="20"/>
          <w:color w:val="auto"/>
        </w:rPr>
      </w:pPr>
    </w:p>
    <w:p>
      <w:pPr>
        <w:ind w:right="5500"/>
        <w:spacing w:after="0" w:line="260" w:lineRule="auto"/>
        <w:rPr>
          <w:sz w:val="20"/>
          <w:szCs w:val="20"/>
          <w:color w:val="auto"/>
        </w:rPr>
      </w:pPr>
      <w:r>
        <w:rPr>
          <w:rFonts w:ascii="Arial" w:cs="Arial" w:eastAsia="Arial" w:hAnsi="Arial"/>
          <w:sz w:val="18"/>
          <w:szCs w:val="18"/>
          <w:b w:val="1"/>
          <w:bCs w:val="1"/>
          <w:color w:val="auto"/>
        </w:rPr>
        <w:t>Notes to Unaudited Condensed Consolidated Interim Financial Statements (in thousands, except per share and share amounts)</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shows the Company’s cash and cash equivalents, Money Market Funds and short-term investments by significant investment category as of March 31, 2022, and December 31, 2021.</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6"/>
          </w:tcPr>
          <w:p>
            <w:pPr>
              <w:jc w:val="right"/>
              <w:ind w:right="580"/>
              <w:spacing w:after="0"/>
              <w:rPr>
                <w:sz w:val="20"/>
                <w:szCs w:val="20"/>
                <w:color w:val="auto"/>
              </w:rPr>
            </w:pPr>
            <w:r>
              <w:rPr>
                <w:rFonts w:ascii="Arial" w:cs="Arial" w:eastAsia="Arial" w:hAnsi="Arial"/>
                <w:sz w:val="18"/>
                <w:szCs w:val="18"/>
                <w:b w:val="1"/>
                <w:bCs w:val="1"/>
                <w:color w:val="auto"/>
              </w:rPr>
              <w:t>As of March 31, 2022</w:t>
            </w: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90"/>
              </w:rPr>
              <w:t>Adjusted</w:t>
            </w:r>
          </w:p>
        </w:tc>
        <w:tc>
          <w:tcPr>
            <w:tcW w:w="140" w:type="dxa"/>
            <w:vAlign w:val="bottom"/>
          </w:tcPr>
          <w:p>
            <w:pPr>
              <w:spacing w:after="0"/>
              <w:rPr>
                <w:sz w:val="16"/>
                <w:szCs w:val="16"/>
                <w:color w:val="auto"/>
              </w:rPr>
            </w:pPr>
          </w:p>
        </w:tc>
        <w:tc>
          <w:tcPr>
            <w:tcW w:w="1160" w:type="dxa"/>
            <w:vAlign w:val="bottom"/>
            <w:gridSpan w:val="2"/>
          </w:tcPr>
          <w:p>
            <w:pPr>
              <w:jc w:val="right"/>
              <w:ind w:right="280"/>
              <w:spacing w:after="0" w:line="191" w:lineRule="exact"/>
              <w:rPr>
                <w:sz w:val="20"/>
                <w:szCs w:val="20"/>
                <w:color w:val="auto"/>
              </w:rPr>
            </w:pPr>
            <w:r>
              <w:rPr>
                <w:rFonts w:ascii="Arial" w:cs="Arial" w:eastAsia="Arial" w:hAnsi="Arial"/>
                <w:sz w:val="18"/>
                <w:szCs w:val="18"/>
                <w:b w:val="1"/>
                <w:bCs w:val="1"/>
                <w:color w:val="auto"/>
                <w:w w:val="94"/>
              </w:rPr>
              <w:t>Unrealized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gridSpan w:val="2"/>
          </w:tcPr>
          <w:p>
            <w:pPr>
              <w:jc w:val="right"/>
              <w:ind w:right="300"/>
              <w:spacing w:after="0" w:line="191" w:lineRule="exact"/>
              <w:rPr>
                <w:sz w:val="20"/>
                <w:szCs w:val="20"/>
                <w:color w:val="auto"/>
              </w:rPr>
            </w:pPr>
            <w:r>
              <w:rPr>
                <w:rFonts w:ascii="Arial" w:cs="Arial" w:eastAsia="Arial" w:hAnsi="Arial"/>
                <w:sz w:val="18"/>
                <w:szCs w:val="18"/>
                <w:b w:val="1"/>
                <w:bCs w:val="1"/>
                <w:color w:val="auto"/>
                <w:w w:val="94"/>
              </w:rPr>
              <w:t>Unrealized</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center"/>
              <w:ind w:right="110"/>
              <w:spacing w:after="0" w:line="191" w:lineRule="exact"/>
              <w:rPr>
                <w:sz w:val="20"/>
                <w:szCs w:val="20"/>
                <w:color w:val="auto"/>
              </w:rPr>
            </w:pPr>
            <w:r>
              <w:rPr>
                <w:rFonts w:ascii="Arial" w:cs="Arial" w:eastAsia="Arial" w:hAnsi="Arial"/>
                <w:sz w:val="18"/>
                <w:szCs w:val="18"/>
                <w:b w:val="1"/>
                <w:bCs w:val="1"/>
                <w:color w:val="auto"/>
                <w:w w:val="99"/>
              </w:rPr>
              <w:t>Market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740" w:type="dxa"/>
            <w:vAlign w:val="bottom"/>
            <w:vMerge w:val="restart"/>
          </w:tcPr>
          <w:p>
            <w:pPr>
              <w:spacing w:after="0"/>
              <w:rPr>
                <w:sz w:val="20"/>
                <w:szCs w:val="20"/>
                <w:color w:val="auto"/>
              </w:rPr>
            </w:pPr>
            <w:r>
              <w:rPr>
                <w:rFonts w:ascii="Arial" w:cs="Arial" w:eastAsia="Arial" w:hAnsi="Arial"/>
                <w:sz w:val="18"/>
                <w:szCs w:val="18"/>
                <w:color w:val="auto"/>
              </w:rPr>
              <w:t>Level 1:</w:t>
            </w:r>
          </w:p>
        </w:tc>
        <w:tc>
          <w:tcPr>
            <w:tcW w:w="160" w:type="dxa"/>
            <w:vAlign w:val="bottom"/>
          </w:tcPr>
          <w:p>
            <w:pPr>
              <w:spacing w:after="0"/>
              <w:rPr>
                <w:sz w:val="20"/>
                <w:szCs w:val="20"/>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4"/>
              </w:rPr>
              <w:t>Cost</w:t>
            </w:r>
          </w:p>
        </w:tc>
        <w:tc>
          <w:tcPr>
            <w:tcW w:w="140" w:type="dxa"/>
            <w:vAlign w:val="bottom"/>
          </w:tcPr>
          <w:p>
            <w:pPr>
              <w:spacing w:after="0"/>
              <w:rPr>
                <w:sz w:val="20"/>
                <w:szCs w:val="20"/>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Gains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Losses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09"/>
        </w:trPr>
        <w:tc>
          <w:tcPr>
            <w:tcW w:w="574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3,277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3,277</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U.S. Treasury securities in short-term investments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24,985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24,956</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Total Financial Assets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28,262</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28,233</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w w:val="99"/>
              </w:rPr>
              <w:t>As of December 31, 2021</w:t>
            </w: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5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380"/>
              <w:spacing w:after="0" w:line="191" w:lineRule="exact"/>
              <w:rPr>
                <w:sz w:val="20"/>
                <w:szCs w:val="20"/>
                <w:color w:val="auto"/>
              </w:rPr>
            </w:pPr>
            <w:r>
              <w:rPr>
                <w:rFonts w:ascii="Arial" w:cs="Arial" w:eastAsia="Arial" w:hAnsi="Arial"/>
                <w:sz w:val="18"/>
                <w:szCs w:val="18"/>
                <w:b w:val="1"/>
                <w:bCs w:val="1"/>
                <w:color w:val="auto"/>
                <w:w w:val="90"/>
              </w:rPr>
              <w:t>Adjusted</w:t>
            </w:r>
          </w:p>
        </w:tc>
        <w:tc>
          <w:tcPr>
            <w:tcW w:w="140" w:type="dxa"/>
            <w:vAlign w:val="bottom"/>
          </w:tcPr>
          <w:p>
            <w:pPr>
              <w:spacing w:after="0"/>
              <w:rPr>
                <w:sz w:val="16"/>
                <w:szCs w:val="16"/>
                <w:color w:val="auto"/>
              </w:rPr>
            </w:pPr>
          </w:p>
        </w:tc>
        <w:tc>
          <w:tcPr>
            <w:tcW w:w="1160" w:type="dxa"/>
            <w:vAlign w:val="bottom"/>
            <w:gridSpan w:val="2"/>
          </w:tcPr>
          <w:p>
            <w:pPr>
              <w:jc w:val="right"/>
              <w:ind w:right="280"/>
              <w:spacing w:after="0" w:line="191" w:lineRule="exact"/>
              <w:rPr>
                <w:sz w:val="20"/>
                <w:szCs w:val="20"/>
                <w:color w:val="auto"/>
              </w:rPr>
            </w:pPr>
            <w:r>
              <w:rPr>
                <w:rFonts w:ascii="Arial" w:cs="Arial" w:eastAsia="Arial" w:hAnsi="Arial"/>
                <w:sz w:val="18"/>
                <w:szCs w:val="18"/>
                <w:b w:val="1"/>
                <w:bCs w:val="1"/>
                <w:color w:val="auto"/>
                <w:w w:val="94"/>
              </w:rPr>
              <w:t>Unrealized</w:t>
            </w:r>
          </w:p>
        </w:tc>
        <w:tc>
          <w:tcPr>
            <w:tcW w:w="100" w:type="dxa"/>
            <w:vAlign w:val="bottom"/>
          </w:tcPr>
          <w:p>
            <w:pPr>
              <w:spacing w:after="0"/>
              <w:rPr>
                <w:sz w:val="16"/>
                <w:szCs w:val="16"/>
                <w:color w:val="auto"/>
              </w:rPr>
            </w:pPr>
          </w:p>
        </w:tc>
        <w:tc>
          <w:tcPr>
            <w:tcW w:w="102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Unrealized</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jc w:val="center"/>
              <w:ind w:right="110"/>
              <w:spacing w:after="0" w:line="191" w:lineRule="exact"/>
              <w:rPr>
                <w:sz w:val="20"/>
                <w:szCs w:val="20"/>
                <w:color w:val="auto"/>
              </w:rPr>
            </w:pPr>
            <w:r>
              <w:rPr>
                <w:rFonts w:ascii="Arial" w:cs="Arial" w:eastAsia="Arial" w:hAnsi="Arial"/>
                <w:sz w:val="18"/>
                <w:szCs w:val="18"/>
                <w:b w:val="1"/>
                <w:bCs w:val="1"/>
                <w:color w:val="auto"/>
                <w:w w:val="99"/>
              </w:rPr>
              <w:t>Market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740" w:type="dxa"/>
            <w:vAlign w:val="bottom"/>
            <w:vMerge w:val="restart"/>
          </w:tcPr>
          <w:p>
            <w:pPr>
              <w:spacing w:after="0"/>
              <w:rPr>
                <w:sz w:val="20"/>
                <w:szCs w:val="20"/>
                <w:color w:val="auto"/>
              </w:rPr>
            </w:pPr>
            <w:r>
              <w:rPr>
                <w:rFonts w:ascii="Arial" w:cs="Arial" w:eastAsia="Arial" w:hAnsi="Arial"/>
                <w:sz w:val="18"/>
                <w:szCs w:val="18"/>
                <w:color w:val="auto"/>
              </w:rPr>
              <w:t>Level 1:</w:t>
            </w:r>
          </w:p>
        </w:tc>
        <w:tc>
          <w:tcPr>
            <w:tcW w:w="160" w:type="dxa"/>
            <w:vAlign w:val="bottom"/>
          </w:tcPr>
          <w:p>
            <w:pPr>
              <w:spacing w:after="0"/>
              <w:rPr>
                <w:sz w:val="20"/>
                <w:szCs w:val="20"/>
                <w:color w:val="auto"/>
              </w:rPr>
            </w:pP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4"/>
              </w:rPr>
              <w:t>Cost</w:t>
            </w:r>
          </w:p>
        </w:tc>
        <w:tc>
          <w:tcPr>
            <w:tcW w:w="140" w:type="dxa"/>
            <w:vAlign w:val="bottom"/>
          </w:tcPr>
          <w:p>
            <w:pPr>
              <w:spacing w:after="0"/>
              <w:rPr>
                <w:sz w:val="20"/>
                <w:szCs w:val="20"/>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Gains</w:t>
            </w:r>
          </w:p>
        </w:tc>
        <w:tc>
          <w:tcPr>
            <w:tcW w:w="100" w:type="dxa"/>
            <w:vAlign w:val="bottom"/>
          </w:tcPr>
          <w:p>
            <w:pPr>
              <w:spacing w:after="0"/>
              <w:rPr>
                <w:sz w:val="20"/>
                <w:szCs w:val="20"/>
                <w:color w:val="auto"/>
              </w:rPr>
            </w:pPr>
          </w:p>
        </w:tc>
        <w:tc>
          <w:tcPr>
            <w:tcW w:w="1020" w:type="dxa"/>
            <w:vAlign w:val="bottom"/>
          </w:tcPr>
          <w:p>
            <w:pPr>
              <w:jc w:val="right"/>
              <w:ind w:right="90"/>
              <w:spacing w:after="0"/>
              <w:rPr>
                <w:sz w:val="20"/>
                <w:szCs w:val="20"/>
                <w:color w:val="auto"/>
              </w:rPr>
            </w:pPr>
            <w:r>
              <w:rPr>
                <w:rFonts w:ascii="Arial" w:cs="Arial" w:eastAsia="Arial" w:hAnsi="Arial"/>
                <w:sz w:val="18"/>
                <w:szCs w:val="18"/>
                <w:b w:val="1"/>
                <w:bCs w:val="1"/>
                <w:color w:val="auto"/>
              </w:rPr>
              <w:t>Losses</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7"/>
              </w:rPr>
              <w:t>Value</w:t>
            </w:r>
          </w:p>
        </w:tc>
        <w:tc>
          <w:tcPr>
            <w:tcW w:w="0" w:type="dxa"/>
            <w:vAlign w:val="bottom"/>
          </w:tcPr>
          <w:p>
            <w:pPr>
              <w:spacing w:after="0"/>
              <w:rPr>
                <w:sz w:val="1"/>
                <w:szCs w:val="1"/>
                <w:color w:val="auto"/>
              </w:rPr>
            </w:pPr>
          </w:p>
        </w:tc>
      </w:tr>
      <w:tr>
        <w:trPr>
          <w:trHeight w:val="209"/>
        </w:trPr>
        <w:tc>
          <w:tcPr>
            <w:tcW w:w="5740" w:type="dxa"/>
            <w:vAlign w:val="bottom"/>
            <w:vMerge w:val="continue"/>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1,670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1,670</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U.S. Treasury securities in short-term investments</w:t>
            </w:r>
          </w:p>
        </w:tc>
        <w:tc>
          <w:tcPr>
            <w:tcW w:w="1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29,989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29,983</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Total Financial Assets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31,659</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(6)</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31,653</w:t>
            </w:r>
          </w:p>
        </w:tc>
        <w:tc>
          <w:tcPr>
            <w:tcW w:w="0" w:type="dxa"/>
            <w:vAlign w:val="bottom"/>
          </w:tcPr>
          <w:p>
            <w:pPr>
              <w:spacing w:after="0"/>
              <w:rPr>
                <w:sz w:val="1"/>
                <w:szCs w:val="1"/>
                <w:color w:val="auto"/>
              </w:rPr>
            </w:pPr>
          </w:p>
        </w:tc>
      </w:tr>
      <w:tr>
        <w:trPr>
          <w:trHeight w:val="20"/>
        </w:trPr>
        <w:tc>
          <w:tcPr>
            <w:tcW w:w="574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Unrealized gains or losses resulting from our short-term investments are recorded in accumulated other comprehensive gain or loss. During the three months ended March 31, 2022, $23 was recorded to accumulated other comprehensive loss.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financial instruments also include accounts receivable, accounts payable, accrued liabilities and business acquisition liabilities. Due to the short-term nature of these instruments, their fair values approximate their carrying values on the balance sheet.</w:t>
      </w:r>
    </w:p>
    <w:p>
      <w:pPr>
        <w:spacing w:after="0" w:line="200" w:lineRule="exact"/>
        <w:rPr>
          <w:sz w:val="20"/>
          <w:szCs w:val="20"/>
          <w:color w:val="auto"/>
        </w:rPr>
      </w:pPr>
    </w:p>
    <w:p>
      <w:pPr>
        <w:spacing w:after="0" w:line="209" w:lineRule="exact"/>
        <w:rPr>
          <w:sz w:val="20"/>
          <w:szCs w:val="20"/>
          <w:color w:val="auto"/>
        </w:rPr>
      </w:pPr>
    </w:p>
    <w:p>
      <w:pPr>
        <w:ind w:left="420" w:hanging="412"/>
        <w:spacing w:after="0"/>
        <w:tabs>
          <w:tab w:leader="none" w:pos="4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 NET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Inventory is recorded at the lower of cost or net realizable value. The cost of substantially all the Company’s inventory is determined by the FIFO cost method. Inventories consisted of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4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4"/>
        </w:trPr>
        <w:tc>
          <w:tcPr>
            <w:tcW w:w="334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4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1,027</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Work in process</w:t>
            </w:r>
          </w:p>
        </w:tc>
        <w:tc>
          <w:tcPr>
            <w:tcW w:w="4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46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340" w:type="dxa"/>
            <w:vAlign w:val="bottom"/>
          </w:tcPr>
          <w:p>
            <w:pPr>
              <w:spacing w:after="0"/>
              <w:rPr>
                <w:sz w:val="20"/>
                <w:szCs w:val="20"/>
                <w:color w:val="auto"/>
              </w:rPr>
            </w:pPr>
            <w:r>
              <w:rPr>
                <w:rFonts w:ascii="Arial" w:cs="Arial" w:eastAsia="Arial" w:hAnsi="Arial"/>
                <w:sz w:val="18"/>
                <w:szCs w:val="18"/>
                <w:color w:val="auto"/>
              </w:rPr>
              <w:t>Inventories, net</w:t>
            </w:r>
          </w:p>
        </w:tc>
        <w:tc>
          <w:tcPr>
            <w:tcW w:w="4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1,870</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1,566</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4660" w:type="dxa"/>
            <w:vAlign w:val="bottom"/>
            <w:vMerge w:val="restart"/>
          </w:tcPr>
          <w:p>
            <w:pPr>
              <w:jc w:val="right"/>
              <w:ind w:right="2150"/>
              <w:spacing w:after="0"/>
              <w:rPr>
                <w:sz w:val="20"/>
                <w:szCs w:val="20"/>
                <w:color w:val="auto"/>
              </w:rPr>
            </w:pPr>
            <w:r>
              <w:rPr>
                <w:rFonts w:ascii="Arial" w:cs="Arial" w:eastAsia="Arial" w:hAnsi="Arial"/>
                <w:sz w:val="18"/>
                <w:szCs w:val="18"/>
                <w:color w:val="auto"/>
              </w:rPr>
              <w:t>- 8-</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340" w:type="dxa"/>
            <w:vAlign w:val="bottom"/>
          </w:tcPr>
          <w:p>
            <w:pPr>
              <w:spacing w:after="0"/>
              <w:rPr>
                <w:sz w:val="24"/>
                <w:szCs w:val="24"/>
                <w:color w:val="auto"/>
              </w:rPr>
            </w:pPr>
          </w:p>
        </w:tc>
        <w:tc>
          <w:tcPr>
            <w:tcW w:w="46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40" w:type="dxa"/>
            <w:vAlign w:val="bottom"/>
            <w:tcBorders>
              <w:bottom w:val="single" w:sz="8" w:color="auto"/>
            </w:tcBorders>
          </w:tcPr>
          <w:p>
            <w:pPr>
              <w:spacing w:after="0"/>
              <w:rPr>
                <w:sz w:val="10"/>
                <w:szCs w:val="10"/>
                <w:color w:val="auto"/>
              </w:rPr>
            </w:pPr>
          </w:p>
        </w:tc>
        <w:tc>
          <w:tcPr>
            <w:tcW w:w="466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4" w:right="339"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sz w:val="20"/>
                <w:szCs w:val="20"/>
                <w:color w:val="auto"/>
              </w:rPr>
            </w:pPr>
            <w:r>
              <w:rPr>
                <w:rFonts w:ascii="Arial" w:cs="Arial" w:eastAsia="Arial" w:hAnsi="Arial"/>
                <w:sz w:val="18"/>
                <w:szCs w:val="18"/>
                <w:color w:val="0000EE"/>
              </w:rPr>
              <w:t>Table of Contents</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Wrap Technologies, Inc.</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Notes to Unaudited Condensed Consolidated Interim Financial Statements</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(in thousands, except per share and share amounts)</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000" w:type="dxa"/>
            <w:vAlign w:val="bottom"/>
            <w:gridSpan w:val="2"/>
          </w:tcPr>
          <w:p>
            <w:pPr>
              <w:spacing w:after="0"/>
              <w:rPr>
                <w:sz w:val="20"/>
                <w:szCs w:val="20"/>
                <w:color w:val="auto"/>
              </w:rPr>
            </w:pPr>
            <w:r>
              <w:rPr>
                <w:rFonts w:ascii="Arial" w:cs="Arial" w:eastAsia="Arial" w:hAnsi="Arial"/>
                <w:sz w:val="18"/>
                <w:szCs w:val="18"/>
                <w:b w:val="1"/>
                <w:bCs w:val="1"/>
                <w:color w:val="auto"/>
              </w:rPr>
              <w:t>5.  PROPERTY AND EQUIPMENT, NET</w:t>
            </w: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0" w:type="dxa"/>
            <w:vAlign w:val="bottom"/>
            <w:gridSpan w:val="2"/>
          </w:tcPr>
          <w:p>
            <w:pPr>
              <w:ind w:left="320"/>
              <w:spacing w:after="0"/>
              <w:rPr>
                <w:sz w:val="20"/>
                <w:szCs w:val="20"/>
                <w:color w:val="auto"/>
              </w:rPr>
            </w:pPr>
            <w:r>
              <w:rPr>
                <w:rFonts w:ascii="Arial" w:cs="Arial" w:eastAsia="Arial" w:hAnsi="Arial"/>
                <w:sz w:val="18"/>
                <w:szCs w:val="18"/>
                <w:color w:val="auto"/>
              </w:rPr>
              <w:t>Property and equipment consisted of the following:</w:t>
            </w:r>
          </w:p>
        </w:tc>
        <w:tc>
          <w:tcPr>
            <w:tcW w:w="220" w:type="dxa"/>
            <w:vAlign w:val="bottom"/>
          </w:tcPr>
          <w:p>
            <w:pPr>
              <w:spacing w:after="0"/>
              <w:rPr>
                <w:sz w:val="24"/>
                <w:szCs w:val="24"/>
                <w:color w:val="auto"/>
              </w:rPr>
            </w:pPr>
          </w:p>
        </w:tc>
        <w:tc>
          <w:tcPr>
            <w:tcW w:w="1380" w:type="dxa"/>
            <w:vAlign w:val="bottom"/>
            <w:gridSpan w:val="2"/>
            <w:vMerge w:val="restart"/>
          </w:tcPr>
          <w:p>
            <w:pPr>
              <w:jc w:val="right"/>
              <w:ind w:right="480"/>
              <w:spacing w:after="0"/>
              <w:rPr>
                <w:sz w:val="20"/>
                <w:szCs w:val="20"/>
                <w:color w:val="auto"/>
              </w:rPr>
            </w:pPr>
            <w:r>
              <w:rPr>
                <w:rFonts w:ascii="Arial" w:cs="Arial" w:eastAsia="Arial" w:hAnsi="Arial"/>
                <w:sz w:val="18"/>
                <w:szCs w:val="18"/>
                <w:b w:val="1"/>
                <w:bCs w:val="1"/>
                <w:color w:val="auto"/>
              </w:rPr>
              <w:t>March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vMerge w:val="restart"/>
          </w:tcPr>
          <w:p>
            <w:pPr>
              <w:jc w:val="right"/>
              <w:ind w:right="300"/>
              <w:spacing w:after="0"/>
              <w:rPr>
                <w:sz w:val="20"/>
                <w:szCs w:val="20"/>
                <w:color w:val="auto"/>
              </w:rPr>
            </w:pPr>
            <w:r>
              <w:rPr>
                <w:rFonts w:ascii="Arial" w:cs="Arial" w:eastAsia="Arial" w:hAnsi="Arial"/>
                <w:sz w:val="18"/>
                <w:szCs w:val="18"/>
                <w:b w:val="1"/>
                <w:bCs w:val="1"/>
                <w:color w:val="auto"/>
                <w:w w:val="92"/>
              </w:rPr>
              <w:t>December 31,</w:t>
            </w:r>
          </w:p>
        </w:tc>
        <w:tc>
          <w:tcPr>
            <w:tcW w:w="0" w:type="dxa"/>
            <w:vAlign w:val="bottom"/>
          </w:tcPr>
          <w:p>
            <w:pPr>
              <w:spacing w:after="0"/>
              <w:rPr>
                <w:sz w:val="1"/>
                <w:szCs w:val="1"/>
                <w:color w:val="auto"/>
              </w:rPr>
            </w:pPr>
          </w:p>
        </w:tc>
      </w:tr>
      <w:tr>
        <w:trPr>
          <w:trHeight w:val="198"/>
        </w:trPr>
        <w:tc>
          <w:tcPr>
            <w:tcW w:w="128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Production and lab equipment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Tooling</w:t>
            </w:r>
          </w:p>
        </w:tc>
        <w:tc>
          <w:tcPr>
            <w:tcW w:w="22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335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273</w:t>
            </w:r>
          </w:p>
        </w:tc>
        <w:tc>
          <w:tcPr>
            <w:tcW w:w="0" w:type="dxa"/>
            <w:vAlign w:val="bottom"/>
          </w:tcPr>
          <w:p>
            <w:pPr>
              <w:spacing w:after="0"/>
              <w:rPr>
                <w:sz w:val="1"/>
                <w:szCs w:val="1"/>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Furniture, fixtures and improvements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80" w:type="dxa"/>
            <w:vAlign w:val="bottom"/>
            <w:shd w:val="clear" w:color="auto" w:fill="CCEEFF"/>
          </w:tcPr>
          <w:p>
            <w:pPr>
              <w:spacing w:after="0"/>
              <w:rPr>
                <w:sz w:val="18"/>
                <w:szCs w:val="18"/>
                <w:color w:val="auto"/>
              </w:rPr>
            </w:pPr>
          </w:p>
        </w:tc>
        <w:tc>
          <w:tcPr>
            <w:tcW w:w="67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1,497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1,416</w:t>
            </w:r>
          </w:p>
        </w:tc>
        <w:tc>
          <w:tcPr>
            <w:tcW w:w="0" w:type="dxa"/>
            <w:vAlign w:val="bottom"/>
          </w:tcPr>
          <w:p>
            <w:pPr>
              <w:spacing w:after="0"/>
              <w:rPr>
                <w:sz w:val="1"/>
                <w:szCs w:val="1"/>
                <w:color w:val="auto"/>
              </w:rPr>
            </w:pP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Accumulated depreciation</w:t>
            </w:r>
          </w:p>
        </w:tc>
        <w:tc>
          <w:tcPr>
            <w:tcW w:w="220" w:type="dxa"/>
            <w:vAlign w:val="bottom"/>
          </w:tcPr>
          <w:p>
            <w:pPr>
              <w:spacing w:after="0"/>
              <w:rPr>
                <w:sz w:val="18"/>
                <w:szCs w:val="18"/>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(553)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49"/>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$113 and $56 for the three months ended March 31, 2022, and 2021, respectively.</w:t>
      </w:r>
    </w:p>
    <w:p>
      <w:pPr>
        <w:spacing w:after="0" w:line="200" w:lineRule="exact"/>
        <w:rPr>
          <w:sz w:val="20"/>
          <w:szCs w:val="20"/>
          <w:color w:val="auto"/>
        </w:rPr>
      </w:pPr>
    </w:p>
    <w:p>
      <w:pPr>
        <w:spacing w:after="0" w:line="264" w:lineRule="exact"/>
        <w:rPr>
          <w:sz w:val="20"/>
          <w:szCs w:val="20"/>
          <w:color w:val="auto"/>
        </w:rPr>
      </w:pPr>
    </w:p>
    <w:p>
      <w:pPr>
        <w:ind w:left="320" w:hanging="312"/>
        <w:spacing w:after="0"/>
        <w:tabs>
          <w:tab w:leader="none" w:pos="3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 NET</w:t>
      </w:r>
    </w:p>
    <w:p>
      <w:pPr>
        <w:spacing w:after="0" w:line="229" w:lineRule="exact"/>
        <w:rPr>
          <w:rFonts w:ascii="Arial" w:cs="Arial" w:eastAsia="Arial" w:hAnsi="Arial"/>
          <w:sz w:val="18"/>
          <w:szCs w:val="18"/>
          <w:b w:val="1"/>
          <w:bCs w:val="1"/>
          <w:color w:val="auto"/>
        </w:rPr>
      </w:pPr>
    </w:p>
    <w:p>
      <w:pPr>
        <w:ind w:left="320"/>
        <w:spacing w:after="0"/>
        <w:rPr>
          <w:rFonts w:ascii="Arial" w:cs="Arial" w:eastAsia="Arial" w:hAnsi="Arial"/>
          <w:sz w:val="18"/>
          <w:szCs w:val="18"/>
          <w:b w:val="1"/>
          <w:bCs w:val="1"/>
          <w:color w:val="auto"/>
        </w:rPr>
      </w:pPr>
      <w:r>
        <w:rPr>
          <w:rFonts w:ascii="Arial" w:cs="Arial" w:eastAsia="Arial" w:hAnsi="Arial"/>
          <w:sz w:val="18"/>
          <w:szCs w:val="18"/>
          <w:color w:val="auto"/>
        </w:rPr>
        <w:t>Intangible assets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March 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5"/>
              </w:rPr>
              <w:t>December 31,</w:t>
            </w:r>
          </w:p>
        </w:tc>
        <w:tc>
          <w:tcPr>
            <w:tcW w:w="0" w:type="dxa"/>
            <w:vAlign w:val="bottom"/>
          </w:tcPr>
          <w:p>
            <w:pPr>
              <w:spacing w:after="0"/>
              <w:rPr>
                <w:sz w:val="1"/>
                <w:szCs w:val="1"/>
                <w:color w:val="auto"/>
              </w:rPr>
            </w:pPr>
          </w:p>
        </w:tc>
      </w:tr>
      <w:tr>
        <w:trPr>
          <w:trHeight w:val="234"/>
        </w:trPr>
        <w:tc>
          <w:tcPr>
            <w:tcW w:w="7820" w:type="dxa"/>
            <w:vAlign w:val="bottom"/>
            <w:vMerge w:val="restart"/>
          </w:tcPr>
          <w:p>
            <w:pPr>
              <w:spacing w:after="0"/>
              <w:rPr>
                <w:sz w:val="20"/>
                <w:szCs w:val="20"/>
                <w:color w:val="auto"/>
              </w:rPr>
            </w:pPr>
            <w:r>
              <w:rPr>
                <w:rFonts w:ascii="Arial" w:cs="Arial" w:eastAsia="Arial" w:hAnsi="Arial"/>
                <w:sz w:val="18"/>
                <w:szCs w:val="18"/>
                <w:color w:val="auto"/>
              </w:rPr>
              <w:t>Amortizable intangible assets:</w:t>
            </w: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78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Patents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482</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16"/>
        </w:trPr>
        <w:tc>
          <w:tcPr>
            <w:tcW w:w="7820" w:type="dxa"/>
            <w:vAlign w:val="bottom"/>
          </w:tcPr>
          <w:p>
            <w:pPr>
              <w:ind w:left="180"/>
              <w:spacing w:after="0"/>
              <w:rPr>
                <w:sz w:val="20"/>
                <w:szCs w:val="20"/>
                <w:color w:val="auto"/>
              </w:rPr>
            </w:pPr>
            <w:r>
              <w:rPr>
                <w:rFonts w:ascii="Arial" w:cs="Arial" w:eastAsia="Arial" w:hAnsi="Arial"/>
                <w:sz w:val="18"/>
                <w:szCs w:val="18"/>
                <w:color w:val="auto"/>
              </w:rPr>
              <w:t>Trademarks</w:t>
            </w:r>
          </w:p>
        </w:tc>
        <w:tc>
          <w:tcPr>
            <w:tcW w:w="220" w:type="dxa"/>
            <w:vAlign w:val="bottom"/>
          </w:tcPr>
          <w:p>
            <w:pPr>
              <w:spacing w:after="0"/>
              <w:rPr>
                <w:sz w:val="18"/>
                <w:szCs w:val="18"/>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137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7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Purchased software</w:t>
            </w: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1,212</w:t>
            </w:r>
          </w:p>
        </w:tc>
        <w:tc>
          <w:tcPr>
            <w:tcW w:w="0" w:type="dxa"/>
            <w:vAlign w:val="bottom"/>
          </w:tcPr>
          <w:p>
            <w:pPr>
              <w:spacing w:after="0"/>
              <w:rPr>
                <w:sz w:val="1"/>
                <w:szCs w:val="1"/>
                <w:color w:val="auto"/>
              </w:rPr>
            </w:pPr>
          </w:p>
        </w:tc>
      </w:tr>
      <w:tr>
        <w:trPr>
          <w:trHeight w:val="216"/>
        </w:trPr>
        <w:tc>
          <w:tcPr>
            <w:tcW w:w="7820" w:type="dxa"/>
            <w:vAlign w:val="bottom"/>
          </w:tcPr>
          <w:p>
            <w:pPr>
              <w:ind w:left="18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1,881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1,812</w:t>
            </w: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22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8"/>
                <w:szCs w:val="18"/>
                <w:color w:val="auto"/>
              </w:rPr>
              <w:t>(244)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09"/>
        </w:trPr>
        <w:tc>
          <w:tcPr>
            <w:tcW w:w="7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amortizable</w:t>
            </w:r>
          </w:p>
        </w:tc>
        <w:tc>
          <w:tcPr>
            <w:tcW w:w="2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820" w:type="dxa"/>
            <w:vAlign w:val="bottom"/>
          </w:tcPr>
          <w:p>
            <w:pPr>
              <w:spacing w:after="0"/>
              <w:rPr>
                <w:sz w:val="20"/>
                <w:szCs w:val="20"/>
                <w:color w:val="auto"/>
              </w:rPr>
            </w:pPr>
            <w:r>
              <w:rPr>
                <w:rFonts w:ascii="Arial" w:cs="Arial" w:eastAsia="Arial" w:hAnsi="Arial"/>
                <w:sz w:val="18"/>
                <w:szCs w:val="18"/>
                <w:color w:val="auto"/>
              </w:rPr>
              <w:t>Indefinite life assets (non-amortizable)</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intangible assets, net</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w:t>
            </w:r>
          </w:p>
        </w:tc>
        <w:tc>
          <w:tcPr>
            <w:tcW w:w="14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1,982</w:t>
            </w:r>
          </w:p>
        </w:tc>
        <w:tc>
          <w:tcPr>
            <w:tcW w:w="0" w:type="dxa"/>
            <w:vAlign w:val="bottom"/>
          </w:tcPr>
          <w:p>
            <w:pPr>
              <w:spacing w:after="0"/>
              <w:rPr>
                <w:sz w:val="1"/>
                <w:szCs w:val="1"/>
                <w:color w:val="auto"/>
              </w:rPr>
            </w:pPr>
          </w:p>
        </w:tc>
      </w:tr>
      <w:tr>
        <w:trPr>
          <w:trHeight w:val="20"/>
        </w:trPr>
        <w:tc>
          <w:tcPr>
            <w:tcW w:w="78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was $70 and $48 for the three months ended March 31, 2022, and 2021, respectively.</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80" w:type="dxa"/>
            <w:vAlign w:val="bottom"/>
          </w:tcPr>
          <w:p>
            <w:pPr>
              <w:spacing w:after="0"/>
              <w:rPr>
                <w:sz w:val="20"/>
                <w:szCs w:val="20"/>
                <w:color w:val="auto"/>
              </w:rPr>
            </w:pPr>
            <w:r>
              <w:rPr>
                <w:rFonts w:ascii="Arial" w:cs="Arial" w:eastAsia="Arial" w:hAnsi="Arial"/>
                <w:sz w:val="18"/>
                <w:szCs w:val="18"/>
                <w:color w:val="auto"/>
              </w:rPr>
              <w:t>At March 31, 2022, future amortization expense is as follows:</w:t>
            </w:r>
          </w:p>
        </w:tc>
        <w:tc>
          <w:tcPr>
            <w:tcW w:w="47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98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2022 (9 months)</w:t>
            </w:r>
          </w:p>
        </w:tc>
        <w:tc>
          <w:tcPr>
            <w:tcW w:w="5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2023</w:t>
            </w:r>
          </w:p>
        </w:tc>
        <w:tc>
          <w:tcPr>
            <w:tcW w:w="4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275</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4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2025</w:t>
            </w:r>
          </w:p>
        </w:tc>
        <w:tc>
          <w:tcPr>
            <w:tcW w:w="4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271</w:t>
            </w: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4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183</w:t>
            </w: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Thereafter</w:t>
            </w:r>
          </w:p>
        </w:tc>
        <w:tc>
          <w:tcPr>
            <w:tcW w:w="47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100" w:type="dxa"/>
            <w:vAlign w:val="bottom"/>
          </w:tcPr>
          <w:p>
            <w:pPr>
              <w:spacing w:after="0"/>
              <w:rPr>
                <w:sz w:val="18"/>
                <w:szCs w:val="18"/>
                <w:color w:val="auto"/>
              </w:rPr>
            </w:pPr>
          </w:p>
        </w:tc>
      </w:tr>
      <w:tr>
        <w:trPr>
          <w:trHeight w:val="249"/>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Total estimated amortization expense</w:t>
            </w:r>
          </w:p>
        </w:tc>
        <w:tc>
          <w:tcPr>
            <w:tcW w:w="52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1,637</w:t>
            </w:r>
          </w:p>
        </w:tc>
      </w:tr>
      <w:tr>
        <w:trPr>
          <w:trHeight w:val="413"/>
        </w:trPr>
        <w:tc>
          <w:tcPr>
            <w:tcW w:w="4980" w:type="dxa"/>
            <w:vAlign w:val="bottom"/>
            <w:tcBorders>
              <w:top w:val="single" w:sz="8" w:color="CCEEFF"/>
            </w:tcBorders>
          </w:tcPr>
          <w:p>
            <w:pPr>
              <w:spacing w:after="0"/>
              <w:rPr>
                <w:sz w:val="24"/>
                <w:szCs w:val="24"/>
                <w:color w:val="auto"/>
              </w:rPr>
            </w:pPr>
          </w:p>
        </w:tc>
        <w:tc>
          <w:tcPr>
            <w:tcW w:w="4700" w:type="dxa"/>
            <w:vAlign w:val="bottom"/>
            <w:tcBorders>
              <w:top w:val="single" w:sz="8" w:color="CCEEFF"/>
            </w:tcBorders>
          </w:tcPr>
          <w:p>
            <w:pPr>
              <w:jc w:val="right"/>
              <w:ind w:right="3830"/>
              <w:spacing w:after="0"/>
              <w:rPr>
                <w:sz w:val="20"/>
                <w:szCs w:val="20"/>
                <w:color w:val="auto"/>
              </w:rPr>
            </w:pPr>
            <w:r>
              <w:rPr>
                <w:rFonts w:ascii="Arial" w:cs="Arial" w:eastAsia="Arial" w:hAnsi="Arial"/>
                <w:sz w:val="18"/>
                <w:szCs w:val="18"/>
                <w:color w:val="auto"/>
              </w:rPr>
              <w:t>- 9-</w:t>
            </w:r>
          </w:p>
        </w:tc>
        <w:tc>
          <w:tcPr>
            <w:tcW w:w="5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5"/>
        </w:trPr>
        <w:tc>
          <w:tcPr>
            <w:tcW w:w="4980" w:type="dxa"/>
            <w:vAlign w:val="bottom"/>
            <w:tcBorders>
              <w:bottom w:val="single" w:sz="8" w:color="auto"/>
            </w:tcBorders>
          </w:tcPr>
          <w:p>
            <w:pPr>
              <w:spacing w:after="0"/>
              <w:rPr>
                <w:sz w:val="10"/>
                <w:szCs w:val="10"/>
                <w:color w:val="auto"/>
              </w:rPr>
            </w:pPr>
          </w:p>
        </w:tc>
        <w:tc>
          <w:tcPr>
            <w:tcW w:w="470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567"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Wrap Technologies, Inc.</w:t>
      </w:r>
    </w:p>
    <w:p>
      <w:pPr>
        <w:spacing w:after="0" w:line="27" w:lineRule="exact"/>
        <w:rPr>
          <w:sz w:val="20"/>
          <w:szCs w:val="20"/>
          <w:color w:val="auto"/>
        </w:rPr>
      </w:pPr>
    </w:p>
    <w:p>
      <w:pPr>
        <w:ind w:right="5500"/>
        <w:spacing w:after="0" w:line="260" w:lineRule="auto"/>
        <w:rPr>
          <w:sz w:val="20"/>
          <w:szCs w:val="20"/>
          <w:color w:val="auto"/>
        </w:rPr>
      </w:pPr>
      <w:r>
        <w:rPr>
          <w:rFonts w:ascii="Arial" w:cs="Arial" w:eastAsia="Arial" w:hAnsi="Arial"/>
          <w:sz w:val="18"/>
          <w:szCs w:val="18"/>
          <w:b w:val="1"/>
          <w:bCs w:val="1"/>
          <w:color w:val="auto"/>
        </w:rPr>
        <w:t>Notes to Unaudited Condensed Consolidated Interim Financial Statements (in thousands, except per share and share amounts)</w:t>
      </w:r>
    </w:p>
    <w:p>
      <w:pPr>
        <w:spacing w:after="0" w:line="20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r>
      <w:r>
        <w:rPr>
          <w:sz w:val="20"/>
          <w:szCs w:val="20"/>
          <w:color w:val="auto"/>
        </w:rPr>
        <w:tab/>
      </w:r>
      <w:r>
        <w:rPr>
          <w:rFonts w:ascii="Arial" w:cs="Arial" w:eastAsia="Arial" w:hAnsi="Arial"/>
          <w:sz w:val="17"/>
          <w:szCs w:val="17"/>
          <w:b w:val="1"/>
          <w:bCs w:val="1"/>
          <w:color w:val="auto"/>
        </w:rPr>
        <w:t>ACCOUNTS PAYABLE AND ACCRUED LIABILITIES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Accounts payable includes $208 and $228 due to related party Syzygy Licensing, LLC (“</w:t>
      </w:r>
      <w:r>
        <w:rPr>
          <w:rFonts w:ascii="Arial" w:cs="Arial" w:eastAsia="Arial" w:hAnsi="Arial"/>
          <w:sz w:val="18"/>
          <w:szCs w:val="18"/>
          <w:i w:val="1"/>
          <w:iCs w:val="1"/>
          <w:color w:val="auto"/>
        </w:rPr>
        <w:t>Syzygy</w:t>
      </w:r>
      <w:r>
        <w:rPr>
          <w:rFonts w:ascii="Arial" w:cs="Arial" w:eastAsia="Arial" w:hAnsi="Arial"/>
          <w:sz w:val="18"/>
          <w:szCs w:val="18"/>
          <w:color w:val="auto"/>
        </w:rPr>
        <w:t>”) as of March 31, 2022, and December 31, 2021, respectively. See Notes 10, 11, 12 and 14 for additional related party information.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Accrued liabilities consist of the following:</w:t>
            </w: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0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March 31,</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000" w:type="dxa"/>
            <w:vAlign w:val="bottom"/>
          </w:tcPr>
          <w:p>
            <w:pPr>
              <w:spacing w:after="0"/>
              <w:rPr>
                <w:sz w:val="20"/>
                <w:szCs w:val="20"/>
                <w:color w:val="auto"/>
              </w:rPr>
            </w:pP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2022</w:t>
            </w:r>
          </w:p>
        </w:tc>
        <w:tc>
          <w:tcPr>
            <w:tcW w:w="3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Patent and legal costs</w:t>
            </w:r>
          </w:p>
        </w:tc>
        <w:tc>
          <w:tcPr>
            <w:tcW w:w="116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Accrued compensation</w:t>
            </w:r>
          </w:p>
        </w:tc>
        <w:tc>
          <w:tcPr>
            <w:tcW w:w="1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667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628</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Warranty costs</w:t>
            </w:r>
          </w:p>
        </w:tc>
        <w:tc>
          <w:tcPr>
            <w:tcW w:w="11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Consulting costs</w:t>
            </w:r>
          </w:p>
        </w:tc>
        <w:tc>
          <w:tcPr>
            <w:tcW w:w="11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Taxes and other</w:t>
            </w:r>
          </w:p>
        </w:tc>
        <w:tc>
          <w:tcPr>
            <w:tcW w:w="116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Accrued liabilities</w:t>
            </w:r>
          </w:p>
        </w:tc>
        <w:tc>
          <w:tcPr>
            <w:tcW w:w="1160" w:type="dxa"/>
            <w:vAlign w:val="bottom"/>
          </w:tcPr>
          <w:p>
            <w:pPr>
              <w:jc w:val="right"/>
              <w:ind w:right="970"/>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819</w:t>
            </w:r>
          </w:p>
        </w:tc>
        <w:tc>
          <w:tcPr>
            <w:tcW w:w="3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824</w:t>
            </w:r>
          </w:p>
        </w:tc>
      </w:tr>
      <w:tr>
        <w:trPr>
          <w:trHeight w:val="20"/>
        </w:trPr>
        <w:tc>
          <w:tcPr>
            <w:tcW w:w="80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Accrued compensation includes $317 of future severance payments including a balance of $278 for the Company’s former CEO payable through October 2022.</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000" w:type="dxa"/>
            <w:vAlign w:val="bottom"/>
          </w:tcPr>
          <w:p>
            <w:pPr>
              <w:spacing w:after="0"/>
              <w:rPr>
                <w:sz w:val="20"/>
                <w:szCs w:val="20"/>
                <w:color w:val="auto"/>
              </w:rPr>
            </w:pPr>
            <w:r>
              <w:rPr>
                <w:rFonts w:ascii="Arial" w:cs="Arial" w:eastAsia="Arial" w:hAnsi="Arial"/>
                <w:sz w:val="18"/>
                <w:szCs w:val="18"/>
                <w:color w:val="auto"/>
              </w:rPr>
              <w:t>Changes in our estimated product warranty costs were as follows:</w:t>
            </w:r>
          </w:p>
        </w:tc>
        <w:tc>
          <w:tcPr>
            <w:tcW w:w="1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4"/>
        </w:trPr>
        <w:tc>
          <w:tcPr>
            <w:tcW w:w="8000" w:type="dxa"/>
            <w:vAlign w:val="bottom"/>
          </w:tcPr>
          <w:p>
            <w:pPr>
              <w:spacing w:after="0"/>
              <w:rPr>
                <w:sz w:val="24"/>
                <w:szCs w:val="24"/>
                <w:color w:val="auto"/>
              </w:rPr>
            </w:pPr>
          </w:p>
        </w:tc>
        <w:tc>
          <w:tcPr>
            <w:tcW w:w="2880" w:type="dxa"/>
            <w:vAlign w:val="bottom"/>
            <w:gridSpan w:val="5"/>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4"/>
        </w:trPr>
        <w:tc>
          <w:tcPr>
            <w:tcW w:w="8000" w:type="dxa"/>
            <w:vAlign w:val="bottom"/>
          </w:tcPr>
          <w:p>
            <w:pPr>
              <w:spacing w:after="0"/>
              <w:rPr>
                <w:sz w:val="20"/>
                <w:szCs w:val="20"/>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2022</w:t>
            </w:r>
          </w:p>
        </w:tc>
        <w:tc>
          <w:tcPr>
            <w:tcW w:w="4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 of period</w:t>
            </w: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1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Warranty settlements</w:t>
            </w:r>
          </w:p>
        </w:tc>
        <w:tc>
          <w:tcPr>
            <w:tcW w:w="108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Warranty provision</w:t>
            </w:r>
          </w:p>
        </w:tc>
        <w:tc>
          <w:tcPr>
            <w:tcW w:w="108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tcPr>
          <w:p>
            <w:pPr>
              <w:spacing w:after="0"/>
              <w:rPr>
                <w:sz w:val="20"/>
                <w:szCs w:val="20"/>
                <w:color w:val="auto"/>
              </w:rPr>
            </w:pPr>
            <w:r>
              <w:rPr>
                <w:rFonts w:ascii="Arial" w:cs="Arial" w:eastAsia="Arial" w:hAnsi="Arial"/>
                <w:sz w:val="18"/>
                <w:szCs w:val="18"/>
                <w:color w:val="auto"/>
              </w:rPr>
              <w:t>Balance, end of period</w:t>
            </w:r>
          </w:p>
        </w:tc>
        <w:tc>
          <w:tcPr>
            <w:tcW w:w="1080" w:type="dxa"/>
            <w:vAlign w:val="bottom"/>
          </w:tcPr>
          <w:p>
            <w:pPr>
              <w:jc w:val="right"/>
              <w:ind w:right="890"/>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18"/>
                <w:szCs w:val="18"/>
                <w:color w:val="auto"/>
              </w:rPr>
            </w:pPr>
          </w:p>
        </w:tc>
        <w:tc>
          <w:tcPr>
            <w:tcW w:w="1280" w:type="dxa"/>
            <w:vAlign w:val="bottom"/>
            <w:gridSpan w:val="2"/>
          </w:tcPr>
          <w:p>
            <w:pPr>
              <w:jc w:val="right"/>
              <w:ind w:right="101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r>
      <w:tr>
        <w:trPr>
          <w:trHeight w:val="20"/>
        </w:trPr>
        <w:tc>
          <w:tcPr>
            <w:tcW w:w="80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420" w:hanging="412"/>
        <w:spacing w:after="0"/>
        <w:tabs>
          <w:tab w:leader="none" w:pos="4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LEASE</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The Company determines if an arrangement is a lease at inception. The guidance in Topic </w:t>
      </w:r>
      <w:r>
        <w:rPr>
          <w:rFonts w:ascii="Arial" w:cs="Arial" w:eastAsia="Arial" w:hAnsi="Arial"/>
          <w:sz w:val="18"/>
          <w:szCs w:val="18"/>
          <w:i w:val="1"/>
          <w:iCs w:val="1"/>
          <w:color w:val="auto"/>
        </w:rPr>
        <w:t>842</w:t>
      </w:r>
      <w:r>
        <w:rPr>
          <w:rFonts w:ascii="Arial" w:cs="Arial" w:eastAsia="Arial" w:hAnsi="Arial"/>
          <w:sz w:val="18"/>
          <w:szCs w:val="18"/>
          <w:color w:val="auto"/>
        </w:rPr>
        <w:t xml:space="preserve"> defines a lease as a contract, or part of a contract, that conveys the right to control the use of identified property, plant, or equipment (an identified asset) for a period of time in exchange for consideration. Operating lease right of use </w:t>
      </w:r>
      <w:r>
        <w:rPr>
          <w:rFonts w:ascii="Arial" w:cs="Arial" w:eastAsia="Arial" w:hAnsi="Arial"/>
          <w:sz w:val="18"/>
          <w:szCs w:val="18"/>
          <w:i w:val="1"/>
          <w:iCs w:val="1"/>
          <w:color w:val="auto"/>
        </w:rPr>
        <w:t>(</w:t>
      </w:r>
      <w:r>
        <w:rPr>
          <w:rFonts w:ascii="Arial" w:cs="Arial" w:eastAsia="Arial" w:hAnsi="Arial"/>
          <w:sz w:val="18"/>
          <w:szCs w:val="18"/>
          <w:color w:val="auto"/>
        </w:rPr>
        <w:t>“</w:t>
      </w:r>
      <w:r>
        <w:rPr>
          <w:rFonts w:ascii="Arial" w:cs="Arial" w:eastAsia="Arial" w:hAnsi="Arial"/>
          <w:sz w:val="18"/>
          <w:szCs w:val="18"/>
          <w:i w:val="1"/>
          <w:iCs w:val="1"/>
          <w:color w:val="auto"/>
        </w:rPr>
        <w:t>ROU</w:t>
      </w:r>
      <w:r>
        <w:rPr>
          <w:rFonts w:ascii="Arial" w:cs="Arial" w:eastAsia="Arial" w:hAnsi="Arial"/>
          <w:sz w:val="18"/>
          <w:szCs w:val="18"/>
          <w:color w:val="auto"/>
        </w:rPr>
        <w:t xml:space="preserve">”) assets and lease liabilities are recognized based on the present value of future minimum lease payments over the lease term at commencement date. The Company’s leases do </w:t>
      </w:r>
      <w:r>
        <w:rPr>
          <w:rFonts w:ascii="Arial" w:cs="Arial" w:eastAsia="Arial" w:hAnsi="Arial"/>
          <w:sz w:val="18"/>
          <w:szCs w:val="18"/>
          <w:i w:val="1"/>
          <w:iCs w:val="1"/>
          <w:color w:val="auto"/>
        </w:rPr>
        <w:t>not</w:t>
      </w:r>
      <w:r>
        <w:rPr>
          <w:rFonts w:ascii="Arial" w:cs="Arial" w:eastAsia="Arial" w:hAnsi="Arial"/>
          <w:sz w:val="18"/>
          <w:szCs w:val="18"/>
          <w:color w:val="auto"/>
        </w:rPr>
        <w:t xml:space="preserve"> provide an implicit rate. Due to a lack of financing history or ability, the Company uses an estimate of low-grade debt rate published by the Federal Reserve Bank as its incremental borrowing rate based on the information available at the commencement date in determining the present value of future payments. The ROU asset includes any lease payments made and excludes lease incentives and initial direct costs incurred.</w:t>
      </w:r>
    </w:p>
    <w:p>
      <w:pPr>
        <w:spacing w:after="0" w:line="19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leases beginning on or after January 1, 2019</w:t>
      </w:r>
      <w:r>
        <w:rPr>
          <w:rFonts w:ascii="Arial" w:cs="Arial" w:eastAsia="Arial" w:hAnsi="Arial"/>
          <w:sz w:val="18"/>
          <w:szCs w:val="18"/>
          <w:i w:val="1"/>
          <w:iCs w:val="1"/>
          <w:color w:val="auto"/>
        </w:rPr>
        <w:t>,</w:t>
      </w:r>
      <w:r>
        <w:rPr>
          <w:rFonts w:ascii="Arial" w:cs="Arial" w:eastAsia="Arial" w:hAnsi="Arial"/>
          <w:sz w:val="18"/>
          <w:szCs w:val="18"/>
          <w:color w:val="auto"/>
        </w:rPr>
        <w:t xml:space="preserve"> lease components are accounted for separately from non-lease components for all asset classes. On January 21, 2022, the Company’s lease was amended to extend the expiration date to July 31, 2025. Upon execution of the amendment, which was deemed a lease modification, the Company reassessed the lease liability using the discount rate determined at the modification date and recorded an additional ROU asset for the same amount. The Company’s lease contains renewal provisions and escalating rental clauses and generally require the Company to pay utilities, insurance, taxes and other operating expenses. The renewal provisions of the existing lease agreement was not included in the determination of the operating lease liabilities and the ROU assets. The Company also reassessed the lease classification and concluded that the lease continues to be an operating lease.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Amortization of ROU operating lease assets was $24 and $25 for the three months ended March 31, 2022, and 2021, respectively.</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Wrap Technologies, Inc.</w:t>
      </w:r>
    </w:p>
    <w:p>
      <w:pPr>
        <w:spacing w:after="0" w:line="27" w:lineRule="exact"/>
        <w:rPr>
          <w:sz w:val="20"/>
          <w:szCs w:val="20"/>
          <w:color w:val="auto"/>
        </w:rPr>
      </w:pPr>
    </w:p>
    <w:p>
      <w:pPr>
        <w:ind w:right="5500"/>
        <w:spacing w:after="0" w:line="260" w:lineRule="auto"/>
        <w:rPr>
          <w:sz w:val="20"/>
          <w:szCs w:val="20"/>
          <w:color w:val="auto"/>
        </w:rPr>
      </w:pPr>
      <w:r>
        <w:rPr>
          <w:rFonts w:ascii="Arial" w:cs="Arial" w:eastAsia="Arial" w:hAnsi="Arial"/>
          <w:sz w:val="18"/>
          <w:szCs w:val="18"/>
          <w:b w:val="1"/>
          <w:bCs w:val="1"/>
          <w:color w:val="auto"/>
        </w:rPr>
        <w:t>Notes to Unaudited Condensed Consolidated Interim Financial Statements (in thousands, except per share and share amounts)</w:t>
      </w:r>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Operating lease expense for capitalized operating leases included in operating activities was $28 and $28 for the three months ended March 31, 2022, and 2021,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560" w:type="dxa"/>
            <w:vAlign w:val="bottom"/>
          </w:tcPr>
          <w:p>
            <w:pPr>
              <w:spacing w:after="0"/>
              <w:rPr>
                <w:sz w:val="20"/>
                <w:szCs w:val="20"/>
                <w:color w:val="auto"/>
              </w:rPr>
            </w:pPr>
            <w:r>
              <w:rPr>
                <w:rFonts w:ascii="Arial" w:cs="Arial" w:eastAsia="Arial" w:hAnsi="Arial"/>
                <w:sz w:val="18"/>
                <w:szCs w:val="18"/>
                <w:color w:val="auto"/>
              </w:rPr>
              <w:t>Operating lease obligations recorded on the balance sheet at March 31, 2022, are:</w:t>
            </w:r>
          </w:p>
        </w:tc>
        <w:tc>
          <w:tcPr>
            <w:tcW w:w="1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16"/>
        </w:trPr>
        <w:tc>
          <w:tcPr>
            <w:tcW w:w="85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85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liability- short term</w:t>
            </w:r>
          </w:p>
        </w:tc>
        <w:tc>
          <w:tcPr>
            <w:tcW w:w="1160" w:type="dxa"/>
            <w:vAlign w:val="bottom"/>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96</w:t>
            </w:r>
          </w:p>
        </w:tc>
      </w:tr>
      <w:tr>
        <w:trPr>
          <w:trHeight w:val="216"/>
        </w:trPr>
        <w:tc>
          <w:tcPr>
            <w:tcW w:w="8560" w:type="dxa"/>
            <w:vAlign w:val="bottom"/>
          </w:tcPr>
          <w:p>
            <w:pPr>
              <w:spacing w:after="0"/>
              <w:rPr>
                <w:sz w:val="20"/>
                <w:szCs w:val="20"/>
                <w:color w:val="auto"/>
              </w:rPr>
            </w:pPr>
            <w:r>
              <w:rPr>
                <w:rFonts w:ascii="Arial" w:cs="Arial" w:eastAsia="Arial" w:hAnsi="Arial"/>
                <w:sz w:val="18"/>
                <w:szCs w:val="18"/>
                <w:color w:val="auto"/>
              </w:rPr>
              <w:t>Operating lease liability - long term</w:t>
            </w:r>
          </w:p>
        </w:tc>
        <w:tc>
          <w:tcPr>
            <w:tcW w:w="1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180" w:type="dxa"/>
            <w:vAlign w:val="bottom"/>
          </w:tcPr>
          <w:p>
            <w:pPr>
              <w:spacing w:after="0"/>
              <w:rPr>
                <w:sz w:val="18"/>
                <w:szCs w:val="18"/>
                <w:color w:val="auto"/>
              </w:rPr>
            </w:pPr>
          </w:p>
        </w:tc>
      </w:tr>
      <w:tr>
        <w:trPr>
          <w:trHeight w:val="249"/>
        </w:trPr>
        <w:tc>
          <w:tcPr>
            <w:tcW w:w="85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Operating Lease Liability</w:t>
            </w: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8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Future lease payments included in the measurement of lease liabilities on the balance sheet at March 31, 2022, for future periods are as follows: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2022 (9 months)</w:t>
            </w:r>
          </w:p>
        </w:tc>
        <w:tc>
          <w:tcPr>
            <w:tcW w:w="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2023</w:t>
            </w:r>
          </w:p>
        </w:tc>
        <w:tc>
          <w:tcPr>
            <w:tcW w:w="66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121</w:t>
            </w:r>
          </w:p>
        </w:tc>
      </w:tr>
      <w:tr>
        <w:trPr>
          <w:trHeight w:val="216"/>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6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126</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2025</w:t>
            </w:r>
          </w:p>
        </w:tc>
        <w:tc>
          <w:tcPr>
            <w:tcW w:w="6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8"/>
                <w:szCs w:val="18"/>
                <w:color w:val="auto"/>
              </w:rPr>
            </w:pPr>
          </w:p>
        </w:tc>
      </w:tr>
      <w:tr>
        <w:trPr>
          <w:trHeight w:val="209"/>
        </w:trPr>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Total future minimum lease payments</w:t>
            </w:r>
          </w:p>
        </w:tc>
        <w:tc>
          <w:tcPr>
            <w:tcW w:w="6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404</w:t>
            </w:r>
          </w:p>
        </w:tc>
      </w:tr>
      <w:tr>
        <w:trPr>
          <w:trHeight w:val="216"/>
        </w:trPr>
        <w:tc>
          <w:tcPr>
            <w:tcW w:w="9620" w:type="dxa"/>
            <w:vAlign w:val="bottom"/>
          </w:tcPr>
          <w:p>
            <w:pPr>
              <w:spacing w:after="0"/>
              <w:rPr>
                <w:sz w:val="20"/>
                <w:szCs w:val="20"/>
                <w:color w:val="auto"/>
              </w:rPr>
            </w:pPr>
            <w:r>
              <w:rPr>
                <w:rFonts w:ascii="Arial" w:cs="Arial" w:eastAsia="Arial" w:hAnsi="Arial"/>
                <w:sz w:val="18"/>
                <w:szCs w:val="18"/>
                <w:color w:val="auto"/>
              </w:rPr>
              <w:t>Less imputed interest</w:t>
            </w:r>
          </w:p>
        </w:tc>
        <w:tc>
          <w:tcPr>
            <w:tcW w:w="660" w:type="dxa"/>
            <w:vAlign w:val="bottom"/>
          </w:tcPr>
          <w:p>
            <w:pPr>
              <w:spacing w:after="0"/>
              <w:rPr>
                <w:sz w:val="18"/>
                <w:szCs w:val="18"/>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(33)</w:t>
            </w:r>
          </w:p>
        </w:tc>
      </w:tr>
      <w:tr>
        <w:trPr>
          <w:trHeight w:val="250"/>
        </w:trPr>
        <w:tc>
          <w:tcPr>
            <w:tcW w:w="9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660" w:type="dxa"/>
            <w:vAlign w:val="bottom"/>
            <w:tcBorders>
              <w:top w:val="single" w:sz="8" w:color="auto"/>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2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weighted average remaining lease term is 3.3 years, and the weighted average discount rate is 5.0%.</w:t>
      </w:r>
    </w:p>
    <w:p>
      <w:pPr>
        <w:spacing w:after="0" w:line="225" w:lineRule="exact"/>
        <w:rPr>
          <w:sz w:val="20"/>
          <w:szCs w:val="20"/>
          <w:color w:val="auto"/>
        </w:rPr>
      </w:pPr>
    </w:p>
    <w:p>
      <w:pPr>
        <w:jc w:val="both"/>
        <w:ind w:right="60"/>
        <w:spacing w:after="0" w:line="277" w:lineRule="auto"/>
        <w:rPr>
          <w:sz w:val="20"/>
          <w:szCs w:val="20"/>
          <w:color w:val="auto"/>
        </w:rPr>
      </w:pPr>
      <w:r>
        <w:rPr>
          <w:rFonts w:ascii="Arial" w:cs="Arial" w:eastAsia="Arial" w:hAnsi="Arial"/>
          <w:sz w:val="18"/>
          <w:szCs w:val="18"/>
          <w:color w:val="auto"/>
        </w:rPr>
        <w:t>The Company did not have any short-term lease expense during the three months ended March 31, 2022, or 2021</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does not have any finance leases.</w:t>
      </w:r>
    </w:p>
    <w:p>
      <w:pPr>
        <w:spacing w:after="0" w:line="200" w:lineRule="exact"/>
        <w:rPr>
          <w:sz w:val="20"/>
          <w:szCs w:val="20"/>
          <w:color w:val="auto"/>
        </w:rPr>
      </w:pPr>
    </w:p>
    <w:p>
      <w:pPr>
        <w:spacing w:after="0" w:line="209" w:lineRule="exact"/>
        <w:rPr>
          <w:sz w:val="20"/>
          <w:szCs w:val="20"/>
          <w:color w:val="auto"/>
        </w:rPr>
      </w:pPr>
    </w:p>
    <w:p>
      <w:pPr>
        <w:ind w:left="380" w:hanging="372"/>
        <w:spacing w:after="0"/>
        <w:tabs>
          <w:tab w:leader="none" w:pos="3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STOCKHOLDERS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authorized capital consists of 150,000,000 shares of Common Stock, par value $0.0001 per share, and 5,000,000 shares of preferred stock, par value $0.0001 per share (“</w:t>
      </w:r>
      <w:r>
        <w:rPr>
          <w:rFonts w:ascii="Arial" w:cs="Arial" w:eastAsia="Arial" w:hAnsi="Arial"/>
          <w:sz w:val="18"/>
          <w:szCs w:val="18"/>
          <w:i w:val="1"/>
          <w:iCs w:val="1"/>
          <w:color w:val="auto"/>
        </w:rPr>
        <w:t>Preferred Stock</w:t>
      </w:r>
      <w:r>
        <w:rPr>
          <w:rFonts w:ascii="Arial" w:cs="Arial" w:eastAsia="Arial" w:hAnsi="Arial"/>
          <w:sz w:val="18"/>
          <w:szCs w:val="18"/>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Summary of Stock Purchase Warrants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outstanding Common Stock purchase warrants as of March 31, 2022,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Exercise Price</w:t>
            </w:r>
          </w:p>
        </w:tc>
        <w:tc>
          <w:tcPr>
            <w:tcW w:w="1780" w:type="dxa"/>
            <w:vAlign w:val="bottom"/>
          </w:tcPr>
          <w:p>
            <w:pPr>
              <w:spacing w:after="0"/>
              <w:rPr>
                <w:sz w:val="18"/>
                <w:szCs w:val="18"/>
                <w:color w:val="auto"/>
              </w:rPr>
            </w:pPr>
          </w:p>
        </w:tc>
      </w:tr>
      <w:tr>
        <w:trPr>
          <w:trHeight w:val="234"/>
        </w:trPr>
        <w:tc>
          <w:tcPr>
            <w:tcW w:w="5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120" w:type="dxa"/>
            <w:vAlign w:val="bottom"/>
          </w:tcPr>
          <w:p>
            <w:pPr>
              <w:spacing w:after="0"/>
              <w:rPr>
                <w:sz w:val="20"/>
                <w:szCs w:val="20"/>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Common Shares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90"/>
              </w:rPr>
              <w:t>Per Share</w:t>
            </w:r>
          </w:p>
        </w:tc>
        <w:tc>
          <w:tcPr>
            <w:tcW w:w="120" w:type="dxa"/>
            <w:vAlign w:val="bottom"/>
          </w:tcPr>
          <w:p>
            <w:pPr>
              <w:spacing w:after="0"/>
              <w:rPr>
                <w:sz w:val="20"/>
                <w:szCs w:val="20"/>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Expiration Date</w:t>
            </w: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Purchase Warrants</w:t>
            </w:r>
          </w:p>
        </w:tc>
        <w:tc>
          <w:tcPr>
            <w:tcW w:w="20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1,391,667</w:t>
            </w:r>
          </w:p>
        </w:tc>
        <w:tc>
          <w:tcPr>
            <w:tcW w:w="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June 1, 2022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was no warrant activity during the three months ended March 31, 2022.</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SHARE-BASED COMPENSATION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31, 2017</w:t>
      </w:r>
      <w:r>
        <w:rPr>
          <w:rFonts w:ascii="Arial" w:cs="Arial" w:eastAsia="Arial" w:hAnsi="Arial"/>
          <w:sz w:val="18"/>
          <w:szCs w:val="18"/>
          <w:i w:val="1"/>
          <w:iCs w:val="1"/>
          <w:color w:val="auto"/>
        </w:rPr>
        <w:t>,</w:t>
      </w:r>
      <w:r>
        <w:rPr>
          <w:rFonts w:ascii="Arial" w:cs="Arial" w:eastAsia="Arial" w:hAnsi="Arial"/>
          <w:sz w:val="18"/>
          <w:szCs w:val="18"/>
          <w:color w:val="auto"/>
        </w:rPr>
        <w:t xml:space="preserve"> the Company adopted, and the stockholders approved, the 2017 Stock Incentive Plan (the “</w:t>
      </w:r>
      <w:r>
        <w:rPr>
          <w:rFonts w:ascii="Arial" w:cs="Arial" w:eastAsia="Arial" w:hAnsi="Arial"/>
          <w:sz w:val="18"/>
          <w:szCs w:val="18"/>
          <w:i w:val="1"/>
          <w:iCs w:val="1"/>
          <w:color w:val="auto"/>
        </w:rPr>
        <w:t>Plan</w:t>
      </w:r>
      <w:r>
        <w:rPr>
          <w:rFonts w:ascii="Arial" w:cs="Arial" w:eastAsia="Arial" w:hAnsi="Arial"/>
          <w:sz w:val="18"/>
          <w:szCs w:val="18"/>
          <w:color w:val="auto"/>
        </w:rPr>
        <w:t>”) authorizing 2,000,000 shares of Company Common Stock for issuance as stock options and restricted stock units to employees, directors or consultants. In May 2019</w:t>
      </w:r>
      <w:r>
        <w:rPr>
          <w:rFonts w:ascii="Arial" w:cs="Arial" w:eastAsia="Arial" w:hAnsi="Arial"/>
          <w:sz w:val="18"/>
          <w:szCs w:val="18"/>
          <w:i w:val="1"/>
          <w:iCs w:val="1"/>
          <w:color w:val="auto"/>
        </w:rPr>
        <w:t>,</w:t>
      </w:r>
      <w:r>
        <w:rPr>
          <w:rFonts w:ascii="Arial" w:cs="Arial" w:eastAsia="Arial" w:hAnsi="Arial"/>
          <w:sz w:val="18"/>
          <w:szCs w:val="18"/>
          <w:color w:val="auto"/>
        </w:rPr>
        <w:t xml:space="preserve"> the stockholders ratified an increase in the Plan authorizing an additional 2,100,000 shares of Common Stock and in June 2020 ratified a further authorization of 1,900,000 shares of Common Stock for a total of 6,000,000 shares subject to the Plan. In June 2021</w:t>
      </w:r>
      <w:r>
        <w:rPr>
          <w:rFonts w:ascii="Arial" w:cs="Arial" w:eastAsia="Arial" w:hAnsi="Arial"/>
          <w:sz w:val="18"/>
          <w:szCs w:val="18"/>
          <w:i w:val="1"/>
          <w:iCs w:val="1"/>
          <w:color w:val="auto"/>
        </w:rPr>
        <w:t>,</w:t>
      </w:r>
      <w:r>
        <w:rPr>
          <w:rFonts w:ascii="Arial" w:cs="Arial" w:eastAsia="Arial" w:hAnsi="Arial"/>
          <w:sz w:val="18"/>
          <w:szCs w:val="18"/>
          <w:color w:val="auto"/>
        </w:rPr>
        <w:t xml:space="preserve"> the stockholders ratified an increase in the Plan authorizing an additional 1,500,000 shares of Common Stock to a total of 7,500,000 shares. At March 31, 2022, there were 1,528,306 shares of Common Stock available for grant under the Plan.</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generally recognizes share-based compensation expense on the grant date and over the period of vesting or period that services will be provided. In January 2022 the Company recognized severance acceleration of $242 of share-based compensation expense resulting from the resignation of the Company’s CEO as part of a management transition plan.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Wrap Technologies, Inc.</w:t>
      </w:r>
    </w:p>
    <w:p>
      <w:pPr>
        <w:spacing w:after="0" w:line="27" w:lineRule="exact"/>
        <w:rPr>
          <w:sz w:val="20"/>
          <w:szCs w:val="20"/>
          <w:color w:val="auto"/>
        </w:rPr>
      </w:pPr>
    </w:p>
    <w:p>
      <w:pPr>
        <w:ind w:right="5500"/>
        <w:spacing w:after="0" w:line="260" w:lineRule="auto"/>
        <w:rPr>
          <w:sz w:val="20"/>
          <w:szCs w:val="20"/>
          <w:color w:val="auto"/>
        </w:rPr>
      </w:pPr>
      <w:r>
        <w:rPr>
          <w:rFonts w:ascii="Arial" w:cs="Arial" w:eastAsia="Arial" w:hAnsi="Arial"/>
          <w:sz w:val="18"/>
          <w:szCs w:val="18"/>
          <w:b w:val="1"/>
          <w:bCs w:val="1"/>
          <w:color w:val="auto"/>
        </w:rPr>
        <w:t>Notes to Unaudited Condensed Consolidated Interim Financial Statements (in thousands, except per share and share amounts)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for the three months ended March 31,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0" w:type="dxa"/>
            <w:vAlign w:val="bottom"/>
          </w:tcPr>
          <w:p>
            <w:pPr>
              <w:spacing w:after="0"/>
              <w:rPr>
                <w:sz w:val="20"/>
                <w:szCs w:val="20"/>
                <w:color w:val="auto"/>
              </w:rPr>
            </w:pPr>
          </w:p>
        </w:tc>
        <w:tc>
          <w:tcPr>
            <w:tcW w:w="1360" w:type="dxa"/>
            <w:vAlign w:val="bottom"/>
            <w:gridSpan w:val="2"/>
            <w:vMerge w:val="restart"/>
          </w:tcPr>
          <w:p>
            <w:pPr>
              <w:jc w:val="center"/>
              <w:ind w:right="200"/>
              <w:spacing w:after="0"/>
              <w:rPr>
                <w:sz w:val="20"/>
                <w:szCs w:val="20"/>
                <w:color w:val="auto"/>
              </w:rPr>
            </w:pPr>
            <w:r>
              <w:rPr>
                <w:rFonts w:ascii="Arial" w:cs="Arial" w:eastAsia="Arial" w:hAnsi="Arial"/>
                <w:sz w:val="18"/>
                <w:szCs w:val="18"/>
                <w:b w:val="1"/>
                <w:bCs w:val="1"/>
                <w:color w:val="auto"/>
                <w:w w:val="88"/>
              </w:rPr>
              <w:t>Options on</w:t>
            </w:r>
          </w:p>
        </w:tc>
        <w:tc>
          <w:tcPr>
            <w:tcW w:w="180" w:type="dxa"/>
            <w:vAlign w:val="bottom"/>
          </w:tcPr>
          <w:p>
            <w:pPr>
              <w:spacing w:after="0"/>
              <w:rPr>
                <w:sz w:val="20"/>
                <w:szCs w:val="20"/>
                <w:color w:val="auto"/>
              </w:rPr>
            </w:pPr>
          </w:p>
        </w:tc>
        <w:tc>
          <w:tcPr>
            <w:tcW w:w="2480" w:type="dxa"/>
            <w:vAlign w:val="bottom"/>
            <w:gridSpan w:val="4"/>
          </w:tcPr>
          <w:p>
            <w:pPr>
              <w:ind w:left="400"/>
              <w:spacing w:after="0"/>
              <w:rPr>
                <w:sz w:val="20"/>
                <w:szCs w:val="20"/>
                <w:color w:val="auto"/>
              </w:rPr>
            </w:pPr>
            <w:r>
              <w:rPr>
                <w:rFonts w:ascii="Arial" w:cs="Arial" w:eastAsia="Arial" w:hAnsi="Arial"/>
                <w:sz w:val="18"/>
                <w:szCs w:val="18"/>
                <w:b w:val="1"/>
                <w:bCs w:val="1"/>
                <w:color w:val="auto"/>
              </w:rPr>
              <w:t>Weighted Average</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87"/>
              </w:rPr>
              <w:t>Aggregate</w:t>
            </w:r>
          </w:p>
        </w:tc>
        <w:tc>
          <w:tcPr>
            <w:tcW w:w="0" w:type="dxa"/>
            <w:vAlign w:val="bottom"/>
          </w:tcPr>
          <w:p>
            <w:pPr>
              <w:spacing w:after="0"/>
              <w:rPr>
                <w:sz w:val="1"/>
                <w:szCs w:val="1"/>
                <w:color w:val="auto"/>
              </w:rPr>
            </w:pPr>
          </w:p>
        </w:tc>
      </w:tr>
      <w:tr>
        <w:trPr>
          <w:trHeight w:val="191"/>
        </w:trPr>
        <w:tc>
          <w:tcPr>
            <w:tcW w:w="580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1"/>
              </w:rPr>
              <w:t>Remaining</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18"/>
                <w:szCs w:val="18"/>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Common</w:t>
            </w:r>
          </w:p>
        </w:tc>
        <w:tc>
          <w:tcPr>
            <w:tcW w:w="18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6"/>
              </w:rPr>
              <w:t>Exercise</w:t>
            </w:r>
          </w:p>
        </w:tc>
        <w:tc>
          <w:tcPr>
            <w:tcW w:w="12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Contractual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4"/>
              </w:rPr>
              <w:t>Intrinsic</w:t>
            </w:r>
          </w:p>
        </w:tc>
        <w:tc>
          <w:tcPr>
            <w:tcW w:w="0" w:type="dxa"/>
            <w:vAlign w:val="bottom"/>
          </w:tcPr>
          <w:p>
            <w:pPr>
              <w:spacing w:after="0"/>
              <w:rPr>
                <w:sz w:val="1"/>
                <w:szCs w:val="1"/>
                <w:color w:val="auto"/>
              </w:rPr>
            </w:pPr>
          </w:p>
        </w:tc>
      </w:tr>
      <w:tr>
        <w:trPr>
          <w:trHeight w:val="234"/>
        </w:trPr>
        <w:tc>
          <w:tcPr>
            <w:tcW w:w="58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Shares</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0"/>
              </w:rPr>
              <w:t>Price</w:t>
            </w:r>
          </w:p>
        </w:tc>
        <w:tc>
          <w:tcPr>
            <w:tcW w:w="220" w:type="dxa"/>
            <w:vAlign w:val="bottom"/>
          </w:tcPr>
          <w:p>
            <w:pPr>
              <w:spacing w:after="0"/>
              <w:rPr>
                <w:sz w:val="20"/>
                <w:szCs w:val="20"/>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Term</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7"/>
              </w:rPr>
              <w:t>Value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1, 2022</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3,935,883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5.24</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180"/>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104,000</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3.55</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w:t>
            </w: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Forfeited, cancelled, expired</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(388,912)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5.01</w:t>
            </w: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5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March 31, 2022</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3,600,971</w:t>
            </w:r>
          </w:p>
        </w:tc>
        <w:tc>
          <w:tcPr>
            <w:tcW w:w="2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5.27</w:t>
            </w:r>
          </w:p>
        </w:tc>
        <w:tc>
          <w:tcPr>
            <w:tcW w:w="1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w:t>
            </w:r>
          </w:p>
        </w:tc>
        <w:tc>
          <w:tcPr>
            <w:tcW w:w="2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197"/>
        </w:trPr>
        <w:tc>
          <w:tcPr>
            <w:tcW w:w="5800" w:type="dxa"/>
            <w:vAlign w:val="bottom"/>
          </w:tcPr>
          <w:p>
            <w:pPr>
              <w:spacing w:after="0" w:line="196" w:lineRule="exact"/>
              <w:rPr>
                <w:sz w:val="20"/>
                <w:szCs w:val="20"/>
                <w:color w:val="auto"/>
              </w:rPr>
            </w:pPr>
            <w:r>
              <w:rPr>
                <w:rFonts w:ascii="Arial" w:cs="Arial" w:eastAsia="Arial" w:hAnsi="Arial"/>
                <w:sz w:val="18"/>
                <w:szCs w:val="18"/>
                <w:color w:val="auto"/>
              </w:rPr>
              <w:t>Exercisable March 31, 2022</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2,549,388</w:t>
            </w:r>
          </w:p>
        </w:tc>
        <w:tc>
          <w:tcPr>
            <w:tcW w:w="220" w:type="dxa"/>
            <w:vAlign w:val="bottom"/>
          </w:tcPr>
          <w:p>
            <w:pPr>
              <w:spacing w:after="0"/>
              <w:rPr>
                <w:sz w:val="17"/>
                <w:szCs w:val="17"/>
                <w:color w:val="auto"/>
              </w:rPr>
            </w:pPr>
          </w:p>
        </w:tc>
        <w:tc>
          <w:tcPr>
            <w:tcW w:w="18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2.86</w:t>
            </w:r>
          </w:p>
        </w:tc>
        <w:tc>
          <w:tcPr>
            <w:tcW w:w="128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2.03</w:t>
            </w:r>
          </w:p>
        </w:tc>
        <w:tc>
          <w:tcPr>
            <w:tcW w:w="260" w:type="dxa"/>
            <w:vAlign w:val="bottom"/>
            <w:gridSpan w:val="2"/>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00"/>
              <w:spacing w:after="0" w:line="196" w:lineRule="exact"/>
              <w:rPr>
                <w:sz w:val="20"/>
                <w:szCs w:val="20"/>
                <w:color w:val="auto"/>
              </w:rPr>
            </w:pPr>
            <w:r>
              <w:rPr>
                <w:rFonts w:ascii="Arial" w:cs="Arial" w:eastAsia="Arial" w:hAnsi="Arial"/>
                <w:sz w:val="18"/>
                <w:szCs w:val="18"/>
                <w:color w:val="auto"/>
              </w:rPr>
              <w:t>761</w:t>
            </w:r>
          </w:p>
        </w:tc>
        <w:tc>
          <w:tcPr>
            <w:tcW w:w="0" w:type="dxa"/>
            <w:vAlign w:val="bottom"/>
          </w:tcPr>
          <w:p>
            <w:pPr>
              <w:spacing w:after="0"/>
              <w:rPr>
                <w:sz w:val="1"/>
                <w:szCs w:val="1"/>
                <w:color w:val="auto"/>
              </w:rPr>
            </w:pPr>
          </w:p>
        </w:tc>
      </w:tr>
      <w:tr>
        <w:trPr>
          <w:trHeight w:val="20"/>
        </w:trPr>
        <w:tc>
          <w:tcPr>
            <w:tcW w:w="58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All outstanding options at March 31, 2022, are service-based options.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uses the Black-Scholes option pricing model to determine the fair value of the options granted. The following table summarizes the assumptions used to compute the fair value of options granted to employees and non-employees: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2720" w:type="dxa"/>
            <w:vAlign w:val="bottom"/>
            <w:gridSpan w:val="5"/>
          </w:tcPr>
          <w:p>
            <w:pPr>
              <w:jc w:val="center"/>
              <w:ind w:left="336"/>
              <w:spacing w:after="0"/>
              <w:rPr>
                <w:sz w:val="20"/>
                <w:szCs w:val="20"/>
                <w:color w:val="auto"/>
              </w:rPr>
            </w:pPr>
            <w:r>
              <w:rPr>
                <w:rFonts w:ascii="Arial" w:cs="Arial" w:eastAsia="Arial" w:hAnsi="Arial"/>
                <w:sz w:val="18"/>
                <w:szCs w:val="18"/>
                <w:b w:val="1"/>
                <w:bCs w:val="1"/>
                <w:color w:val="auto"/>
                <w:w w:val="92"/>
              </w:rPr>
              <w:t>For the Three Months</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9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20" w:type="dxa"/>
            <w:vAlign w:val="bottom"/>
            <w:gridSpan w:val="4"/>
          </w:tcPr>
          <w:p>
            <w:pPr>
              <w:jc w:val="center"/>
              <w:ind w:right="370"/>
              <w:spacing w:after="0"/>
              <w:rPr>
                <w:sz w:val="20"/>
                <w:szCs w:val="20"/>
                <w:color w:val="auto"/>
              </w:rPr>
            </w:pPr>
            <w:r>
              <w:rPr>
                <w:rFonts w:ascii="Arial" w:cs="Arial" w:eastAsia="Arial" w:hAnsi="Arial"/>
                <w:sz w:val="18"/>
                <w:szCs w:val="18"/>
                <w:b w:val="1"/>
                <w:bCs w:val="1"/>
                <w:color w:val="auto"/>
                <w:w w:val="92"/>
              </w:rPr>
              <w:t>Ended March 31,</w:t>
            </w: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4"/>
        </w:trPr>
        <w:tc>
          <w:tcPr>
            <w:tcW w:w="7920" w:type="dxa"/>
            <w:vAlign w:val="bottom"/>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5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0"/>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Expected stock price volatility</w:t>
            </w: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w:t>
            </w: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Risk-free interest rate</w:t>
            </w:r>
          </w:p>
        </w:tc>
        <w:tc>
          <w:tcPr>
            <w:tcW w:w="9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1.57%</w:t>
            </w: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0.89%</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Forfeiture rate</w:t>
            </w: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79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9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r>
        <w:trPr>
          <w:trHeight w:val="216"/>
        </w:trPr>
        <w:tc>
          <w:tcPr>
            <w:tcW w:w="7920" w:type="dxa"/>
            <w:vAlign w:val="bottom"/>
            <w:shd w:val="clear" w:color="auto" w:fill="CCEEFF"/>
          </w:tcPr>
          <w:p>
            <w:pPr>
              <w:spacing w:after="0"/>
              <w:rPr>
                <w:sz w:val="20"/>
                <w:szCs w:val="20"/>
                <w:color w:val="auto"/>
              </w:rPr>
            </w:pPr>
            <w:r>
              <w:rPr>
                <w:rFonts w:ascii="Arial" w:cs="Arial" w:eastAsia="Arial" w:hAnsi="Arial"/>
                <w:sz w:val="18"/>
                <w:szCs w:val="18"/>
                <w:color w:val="auto"/>
              </w:rPr>
              <w:t>Expected life of options - years</w:t>
            </w:r>
          </w:p>
        </w:tc>
        <w:tc>
          <w:tcPr>
            <w:tcW w:w="9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1.39</w:t>
            </w: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5.70</w:t>
            </w:r>
          </w:p>
        </w:tc>
      </w:tr>
      <w:tr>
        <w:trPr>
          <w:trHeight w:val="230"/>
        </w:trPr>
        <w:tc>
          <w:tcPr>
            <w:tcW w:w="7920" w:type="dxa"/>
            <w:vAlign w:val="bottom"/>
          </w:tcPr>
          <w:p>
            <w:pPr>
              <w:spacing w:after="0"/>
              <w:rPr>
                <w:sz w:val="20"/>
                <w:szCs w:val="20"/>
                <w:color w:val="auto"/>
              </w:rPr>
            </w:pPr>
            <w:r>
              <w:rPr>
                <w:rFonts w:ascii="Arial" w:cs="Arial" w:eastAsia="Arial" w:hAnsi="Arial"/>
                <w:sz w:val="18"/>
                <w:szCs w:val="18"/>
                <w:color w:val="auto"/>
              </w:rPr>
              <w:t>Weighted-average fair value of options granted</w:t>
            </w:r>
          </w:p>
        </w:tc>
        <w:tc>
          <w:tcPr>
            <w:tcW w:w="900" w:type="dxa"/>
            <w:vAlign w:val="bottom"/>
          </w:tcPr>
          <w:p>
            <w:pPr>
              <w:jc w:val="right"/>
              <w:ind w:right="736"/>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1.72</w:t>
            </w:r>
          </w:p>
        </w:tc>
        <w:tc>
          <w:tcPr>
            <w:tcW w:w="1060" w:type="dxa"/>
            <w:vAlign w:val="bottom"/>
            <w:gridSpan w:val="2"/>
          </w:tcPr>
          <w:p>
            <w:pPr>
              <w:jc w:val="right"/>
              <w:ind w:right="83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2.42</w:t>
            </w:r>
          </w:p>
        </w:tc>
      </w:tr>
    </w:tbl>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Estimated volatility is a measure of the amount by which the Company’s stock price is expected to fluctuate each year during the expected life of awards. The Company’s estimated volatility was based on an average of the historical volatility of peer entities whose stock prices were publicly available. The Company’s calculation of estimated volatility is based on historical stock prices of these peer entities over a period equal to the expected life of the awards. The Company uses the historical volatility of peer entities due to the lack of sufficient historical data of its stock price.</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The risk-free interest rate assumption is based upon observed interest rates on </w:t>
      </w:r>
      <w:r>
        <w:rPr>
          <w:rFonts w:ascii="Arial" w:cs="Arial" w:eastAsia="Arial" w:hAnsi="Arial"/>
          <w:sz w:val="18"/>
          <w:szCs w:val="18"/>
          <w:i w:val="1"/>
          <w:iCs w:val="1"/>
          <w:color w:val="auto"/>
        </w:rPr>
        <w:t>zero</w:t>
      </w:r>
      <w:r>
        <w:rPr>
          <w:rFonts w:ascii="Arial" w:cs="Arial" w:eastAsia="Arial" w:hAnsi="Arial"/>
          <w:sz w:val="18"/>
          <w:szCs w:val="18"/>
          <w:color w:val="auto"/>
        </w:rPr>
        <w:t xml:space="preserve"> coupon U.S. Treasury bonds whose maturity period is appropriate for the term of the options. The dividend yield of zero is based on the fact that the Company has never paid cash dividends and has </w:t>
      </w:r>
      <w:r>
        <w:rPr>
          <w:rFonts w:ascii="Arial" w:cs="Arial" w:eastAsia="Arial" w:hAnsi="Arial"/>
          <w:sz w:val="18"/>
          <w:szCs w:val="18"/>
          <w:i w:val="1"/>
          <w:iCs w:val="1"/>
          <w:color w:val="auto"/>
        </w:rPr>
        <w:t>no</w:t>
      </w:r>
      <w:r>
        <w:rPr>
          <w:rFonts w:ascii="Arial" w:cs="Arial" w:eastAsia="Arial" w:hAnsi="Arial"/>
          <w:sz w:val="18"/>
          <w:szCs w:val="18"/>
          <w:color w:val="auto"/>
        </w:rPr>
        <w:t xml:space="preserve"> present intention to pay cash dividends. The Company calculates the expected life of the options using the Simplified Method for the employee stock options as the Company does </w:t>
      </w:r>
      <w:r>
        <w:rPr>
          <w:rFonts w:ascii="Arial" w:cs="Arial" w:eastAsia="Arial" w:hAnsi="Arial"/>
          <w:sz w:val="18"/>
          <w:szCs w:val="18"/>
          <w:i w:val="1"/>
          <w:iCs w:val="1"/>
          <w:color w:val="auto"/>
        </w:rPr>
        <w:t>not</w:t>
      </w:r>
      <w:r>
        <w:rPr>
          <w:rFonts w:ascii="Arial" w:cs="Arial" w:eastAsia="Arial" w:hAnsi="Arial"/>
          <w:sz w:val="18"/>
          <w:szCs w:val="18"/>
          <w:color w:val="auto"/>
        </w:rPr>
        <w:t xml:space="preserve"> have sufficient historical data.</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Wrap Technologies, Inc.</w:t>
      </w:r>
    </w:p>
    <w:p>
      <w:pPr>
        <w:spacing w:after="0" w:line="27" w:lineRule="exact"/>
        <w:rPr>
          <w:sz w:val="20"/>
          <w:szCs w:val="20"/>
          <w:color w:val="auto"/>
        </w:rPr>
      </w:pPr>
    </w:p>
    <w:p>
      <w:pPr>
        <w:ind w:right="5500"/>
        <w:spacing w:after="0" w:line="260" w:lineRule="auto"/>
        <w:rPr>
          <w:sz w:val="20"/>
          <w:szCs w:val="20"/>
          <w:color w:val="auto"/>
        </w:rPr>
      </w:pPr>
      <w:r>
        <w:rPr>
          <w:rFonts w:ascii="Arial" w:cs="Arial" w:eastAsia="Arial" w:hAnsi="Arial"/>
          <w:sz w:val="18"/>
          <w:szCs w:val="18"/>
          <w:b w:val="1"/>
          <w:bCs w:val="1"/>
          <w:color w:val="auto"/>
        </w:rPr>
        <w:t>Notes to Unaudited Condensed Consolidated Interim Financial Statements (in thousands, except per share and share amounts)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 Units</w:t>
      </w:r>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Plan provides for the grant of restricted stock units (“</w:t>
      </w:r>
      <w:r>
        <w:rPr>
          <w:rFonts w:ascii="Arial" w:cs="Arial" w:eastAsia="Arial" w:hAnsi="Arial"/>
          <w:sz w:val="18"/>
          <w:szCs w:val="18"/>
          <w:i w:val="1"/>
          <w:iCs w:val="1"/>
          <w:color w:val="auto"/>
        </w:rPr>
        <w:t>RSUs</w:t>
      </w:r>
      <w:r>
        <w:rPr>
          <w:rFonts w:ascii="Arial" w:cs="Arial" w:eastAsia="Arial" w:hAnsi="Arial"/>
          <w:sz w:val="18"/>
          <w:szCs w:val="18"/>
          <w:color w:val="auto"/>
        </w:rPr>
        <w:t>”). RSUs are settled in shares of the Company’s Common Stock as the RSUs become vested. The following table summarizes RSU activity under the Plan for the three months ended March 31, 2022:</w:t>
      </w:r>
    </w:p>
    <w:p>
      <w:pPr>
        <w:sectPr>
          <w:pgSz w:w="11900" w:h="16838" w:orient="portrait"/>
          <w:cols w:equalWidth="0" w:num="1">
            <w:col w:w="11240"/>
          </w:cols>
          <w:pgMar w:left="320" w:top="58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Unvested at January 1, 2022</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Granted - service based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Vested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Forfeited and cancelled</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Unvested at March 31, 2022</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Share-Based Compensation Expense</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gridSpan w:val="3"/>
          </w:tcPr>
          <w:p>
            <w:pPr>
              <w:ind w:left="20"/>
              <w:spacing w:after="0"/>
              <w:rPr>
                <w:sz w:val="20"/>
                <w:szCs w:val="20"/>
                <w:color w:val="auto"/>
              </w:rPr>
            </w:pPr>
            <w:r>
              <w:rPr>
                <w:rFonts w:ascii="Arial" w:cs="Arial" w:eastAsia="Arial" w:hAnsi="Arial"/>
                <w:sz w:val="18"/>
                <w:szCs w:val="18"/>
                <w:b w:val="1"/>
                <w:bCs w:val="1"/>
                <w:color w:val="auto"/>
                <w:w w:val="96"/>
              </w:rPr>
              <w:t>Weighted Average</w:t>
            </w: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89"/>
              </w:rPr>
              <w:t>Weighted Average</w:t>
            </w:r>
          </w:p>
        </w:tc>
      </w:tr>
      <w:tr>
        <w:trPr>
          <w:trHeight w:val="216"/>
        </w:trPr>
        <w:tc>
          <w:tcPr>
            <w:tcW w:w="1680" w:type="dxa"/>
            <w:vAlign w:val="bottom"/>
            <w:gridSpan w:val="3"/>
          </w:tcPr>
          <w:p>
            <w:pPr>
              <w:jc w:val="right"/>
              <w:ind w:right="420"/>
              <w:spacing w:after="0"/>
              <w:rPr>
                <w:sz w:val="20"/>
                <w:szCs w:val="20"/>
                <w:color w:val="auto"/>
              </w:rPr>
            </w:pPr>
            <w:r>
              <w:rPr>
                <w:rFonts w:ascii="Arial" w:cs="Arial" w:eastAsia="Arial" w:hAnsi="Arial"/>
                <w:sz w:val="18"/>
                <w:szCs w:val="18"/>
                <w:b w:val="1"/>
                <w:bCs w:val="1"/>
                <w:color w:val="auto"/>
                <w:w w:val="99"/>
              </w:rPr>
              <w:t>Service-Based</w:t>
            </w:r>
          </w:p>
        </w:tc>
        <w:tc>
          <w:tcPr>
            <w:tcW w:w="1560" w:type="dxa"/>
            <w:vAlign w:val="bottom"/>
            <w:gridSpan w:val="3"/>
          </w:tcPr>
          <w:p>
            <w:pPr>
              <w:ind w:left="280"/>
              <w:spacing w:after="0"/>
              <w:rPr>
                <w:sz w:val="20"/>
                <w:szCs w:val="20"/>
                <w:color w:val="auto"/>
              </w:rPr>
            </w:pPr>
            <w:r>
              <w:rPr>
                <w:rFonts w:ascii="Arial" w:cs="Arial" w:eastAsia="Arial" w:hAnsi="Arial"/>
                <w:sz w:val="18"/>
                <w:szCs w:val="18"/>
                <w:b w:val="1"/>
                <w:bCs w:val="1"/>
                <w:color w:val="auto"/>
              </w:rPr>
              <w:t>Grant Date</w:t>
            </w: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86"/>
              </w:rPr>
              <w:t>Vesting</w:t>
            </w:r>
          </w:p>
        </w:tc>
      </w:tr>
      <w:tr>
        <w:trPr>
          <w:trHeight w:val="234"/>
        </w:trPr>
        <w:tc>
          <w:tcPr>
            <w:tcW w:w="1680" w:type="dxa"/>
            <w:vAlign w:val="bottom"/>
            <w:gridSpan w:val="3"/>
          </w:tcPr>
          <w:p>
            <w:pPr>
              <w:jc w:val="right"/>
              <w:ind w:right="720"/>
              <w:spacing w:after="0"/>
              <w:rPr>
                <w:sz w:val="20"/>
                <w:szCs w:val="20"/>
                <w:color w:val="auto"/>
              </w:rPr>
            </w:pPr>
            <w:r>
              <w:rPr>
                <w:rFonts w:ascii="Arial" w:cs="Arial" w:eastAsia="Arial" w:hAnsi="Arial"/>
                <w:sz w:val="18"/>
                <w:szCs w:val="18"/>
                <w:b w:val="1"/>
                <w:bCs w:val="1"/>
                <w:color w:val="auto"/>
              </w:rPr>
              <w:t>RSU's</w:t>
            </w:r>
          </w:p>
        </w:tc>
        <w:tc>
          <w:tcPr>
            <w:tcW w:w="1120" w:type="dxa"/>
            <w:vAlign w:val="bottom"/>
          </w:tcPr>
          <w:p>
            <w:pPr>
              <w:ind w:left="320"/>
              <w:spacing w:after="0"/>
              <w:rPr>
                <w:sz w:val="20"/>
                <w:szCs w:val="20"/>
                <w:color w:val="auto"/>
              </w:rPr>
            </w:pPr>
            <w:r>
              <w:rPr>
                <w:rFonts w:ascii="Arial" w:cs="Arial" w:eastAsia="Arial" w:hAnsi="Arial"/>
                <w:sz w:val="18"/>
                <w:szCs w:val="18"/>
                <w:b w:val="1"/>
                <w:bCs w:val="1"/>
                <w:color w:val="auto"/>
                <w:w w:val="90"/>
              </w:rPr>
              <w:t>Fair Value</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tcPr>
          <w:p>
            <w:pPr>
              <w:jc w:val="center"/>
              <w:spacing w:after="0"/>
              <w:rPr>
                <w:sz w:val="20"/>
                <w:szCs w:val="20"/>
                <w:color w:val="auto"/>
              </w:rPr>
            </w:pPr>
            <w:r>
              <w:rPr>
                <w:rFonts w:ascii="Arial" w:cs="Arial" w:eastAsia="Arial" w:hAnsi="Arial"/>
                <w:sz w:val="18"/>
                <w:szCs w:val="18"/>
                <w:b w:val="1"/>
                <w:bCs w:val="1"/>
                <w:color w:val="auto"/>
                <w:w w:val="90"/>
              </w:rPr>
              <w:t>Period (Years)</w:t>
            </w:r>
          </w:p>
        </w:tc>
      </w:tr>
      <w:tr>
        <w:trPr>
          <w:trHeight w:val="195"/>
        </w:trPr>
        <w:tc>
          <w:tcPr>
            <w:tcW w:w="14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269,303</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w:t>
            </w:r>
          </w:p>
        </w:tc>
        <w:tc>
          <w:tcPr>
            <w:tcW w:w="3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85"/>
              </w:rPr>
              <w:t>6.47</w:t>
            </w:r>
          </w:p>
        </w:tc>
        <w:tc>
          <w:tcPr>
            <w:tcW w:w="120" w:type="dxa"/>
            <w:vAlign w:val="bottom"/>
          </w:tcPr>
          <w:p>
            <w:pPr>
              <w:spacing w:after="0"/>
              <w:rPr>
                <w:sz w:val="16"/>
                <w:szCs w:val="16"/>
                <w:color w:val="auto"/>
              </w:rPr>
            </w:pPr>
          </w:p>
        </w:tc>
        <w:tc>
          <w:tcPr>
            <w:tcW w:w="2380" w:type="dxa"/>
            <w:vAlign w:val="bottom"/>
            <w:tcBorders>
              <w:top w:val="single" w:sz="8" w:color="auto"/>
            </w:tcBorders>
          </w:tcPr>
          <w:p>
            <w:pPr>
              <w:spacing w:after="0"/>
              <w:rPr>
                <w:sz w:val="16"/>
                <w:szCs w:val="16"/>
                <w:color w:val="auto"/>
              </w:rPr>
            </w:pPr>
          </w:p>
        </w:tc>
      </w:tr>
      <w:tr>
        <w:trPr>
          <w:trHeight w:val="216"/>
        </w:trPr>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160,779</w:t>
            </w:r>
          </w:p>
        </w:tc>
        <w:tc>
          <w:tcPr>
            <w:tcW w:w="20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2.41</w:t>
            </w:r>
          </w:p>
        </w:tc>
        <w:tc>
          <w:tcPr>
            <w:tcW w:w="2380" w:type="dxa"/>
            <w:vAlign w:val="bottom"/>
          </w:tcPr>
          <w:p>
            <w:pPr>
              <w:spacing w:after="0"/>
              <w:rPr>
                <w:sz w:val="18"/>
                <w:szCs w:val="18"/>
                <w:color w:val="auto"/>
              </w:rPr>
            </w:pPr>
          </w:p>
        </w:tc>
      </w:tr>
      <w:tr>
        <w:trPr>
          <w:trHeight w:val="216"/>
        </w:trPr>
        <w:tc>
          <w:tcPr>
            <w:tcW w:w="1680" w:type="dxa"/>
            <w:vAlign w:val="bottom"/>
            <w:gridSpan w:val="3"/>
          </w:tcPr>
          <w:p>
            <w:pPr>
              <w:jc w:val="right"/>
              <w:ind w:right="160"/>
              <w:spacing w:after="0"/>
              <w:rPr>
                <w:sz w:val="20"/>
                <w:szCs w:val="20"/>
                <w:color w:val="auto"/>
              </w:rPr>
            </w:pPr>
            <w:r>
              <w:rPr>
                <w:rFonts w:ascii="Arial" w:cs="Arial" w:eastAsia="Arial" w:hAnsi="Arial"/>
                <w:sz w:val="18"/>
                <w:szCs w:val="18"/>
                <w:color w:val="auto"/>
              </w:rPr>
              <w:t>(49,252)</w:t>
            </w:r>
          </w:p>
        </w:tc>
        <w:tc>
          <w:tcPr>
            <w:tcW w:w="112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4.72</w:t>
            </w:r>
          </w:p>
        </w:tc>
        <w:tc>
          <w:tcPr>
            <w:tcW w:w="2380" w:type="dxa"/>
            <w:vAlign w:val="bottom"/>
          </w:tcPr>
          <w:p>
            <w:pPr>
              <w:spacing w:after="0"/>
              <w:rPr>
                <w:sz w:val="18"/>
                <w:szCs w:val="18"/>
                <w:color w:val="auto"/>
              </w:rPr>
            </w:pPr>
          </w:p>
        </w:tc>
      </w:tr>
      <w:tr>
        <w:trPr>
          <w:trHeight w:val="230"/>
        </w:trPr>
        <w:tc>
          <w:tcPr>
            <w:tcW w:w="1680" w:type="dxa"/>
            <w:vAlign w:val="bottom"/>
            <w:gridSpan w:val="3"/>
          </w:tcPr>
          <w:p>
            <w:pPr>
              <w:jc w:val="right"/>
              <w:ind w:right="160"/>
              <w:spacing w:after="0"/>
              <w:rPr>
                <w:sz w:val="20"/>
                <w:szCs w:val="20"/>
                <w:color w:val="auto"/>
              </w:rPr>
            </w:pPr>
            <w:r>
              <w:rPr>
                <w:rFonts w:ascii="Arial" w:cs="Arial" w:eastAsia="Arial" w:hAnsi="Arial"/>
                <w:sz w:val="18"/>
                <w:szCs w:val="18"/>
                <w:color w:val="auto"/>
              </w:rPr>
              <w:t>(23,357)</w:t>
            </w:r>
          </w:p>
        </w:tc>
        <w:tc>
          <w:tcPr>
            <w:tcW w:w="112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4.19</w:t>
            </w:r>
          </w:p>
        </w:tc>
        <w:tc>
          <w:tcPr>
            <w:tcW w:w="2380" w:type="dxa"/>
            <w:vAlign w:val="bottom"/>
          </w:tcPr>
          <w:p>
            <w:pPr>
              <w:spacing w:after="0"/>
              <w:rPr>
                <w:sz w:val="20"/>
                <w:szCs w:val="20"/>
                <w:color w:val="auto"/>
              </w:rPr>
            </w:pPr>
          </w:p>
        </w:tc>
      </w:tr>
      <w:tr>
        <w:trPr>
          <w:trHeight w:val="209"/>
        </w:trPr>
        <w:tc>
          <w:tcPr>
            <w:tcW w:w="14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357,473</w:t>
            </w:r>
          </w:p>
        </w:tc>
        <w:tc>
          <w:tcPr>
            <w:tcW w:w="20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120"/>
              <w:spacing w:after="0"/>
              <w:rPr>
                <w:sz w:val="20"/>
                <w:szCs w:val="20"/>
                <w:color w:val="auto"/>
              </w:rPr>
            </w:pPr>
            <w:r>
              <w:rPr>
                <w:rFonts w:ascii="Arial" w:cs="Arial" w:eastAsia="Arial" w:hAnsi="Arial"/>
                <w:sz w:val="18"/>
                <w:szCs w:val="18"/>
                <w:color w:val="auto"/>
                <w:w w:val="85"/>
              </w:rPr>
              <w:t>5.03</w:t>
            </w:r>
          </w:p>
        </w:tc>
        <w:tc>
          <w:tcPr>
            <w:tcW w:w="2380" w:type="dxa"/>
            <w:vAlign w:val="bottom"/>
          </w:tcPr>
          <w:p>
            <w:pPr>
              <w:jc w:val="center"/>
              <w:spacing w:after="0"/>
              <w:rPr>
                <w:sz w:val="20"/>
                <w:szCs w:val="20"/>
                <w:color w:val="auto"/>
              </w:rPr>
            </w:pPr>
            <w:r>
              <w:rPr>
                <w:rFonts w:ascii="Arial" w:cs="Arial" w:eastAsia="Arial" w:hAnsi="Arial"/>
                <w:sz w:val="18"/>
                <w:szCs w:val="18"/>
                <w:color w:val="auto"/>
                <w:w w:val="91"/>
              </w:rPr>
              <w:t>2.05</w:t>
            </w:r>
          </w:p>
        </w:tc>
      </w:tr>
      <w:tr>
        <w:trPr>
          <w:trHeight w:val="20"/>
        </w:trPr>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-3562985</wp:posOffset>
            </wp:positionH>
            <wp:positionV relativeFrom="paragraph">
              <wp:posOffset>-719455</wp:posOffset>
            </wp:positionV>
            <wp:extent cx="71323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-445135</wp:posOffset>
            </wp:positionV>
            <wp:extent cx="713232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-3562985</wp:posOffset>
            </wp:positionH>
            <wp:positionV relativeFrom="paragraph">
              <wp:posOffset>-162560</wp:posOffset>
            </wp:positionV>
            <wp:extent cx="71323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74" w:lineRule="exact"/>
        <w:rPr>
          <w:sz w:val="20"/>
          <w:szCs w:val="20"/>
          <w:color w:val="auto"/>
        </w:rPr>
      </w:pPr>
    </w:p>
    <w:p>
      <w:pPr>
        <w:sectPr>
          <w:pgSz w:w="11900" w:h="16838" w:orient="portrait"/>
          <w:cols w:equalWidth="0" w:num="2">
            <w:col w:w="4900" w:space="720"/>
            <w:col w:w="5620"/>
          </w:cols>
          <w:pgMar w:left="320" w:top="584" w:right="339" w:bottom="1440" w:gutter="0" w:footer="0" w:header="0"/>
          <w:type w:val="continuous"/>
        </w:sectPr>
      </w:pPr>
    </w:p>
    <w:p>
      <w:pPr>
        <w:spacing w:after="0" w:line="60"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recorded share-based compensation for options and RSUs in its statements of operations for the relevant periods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0" w:type="dxa"/>
            <w:vAlign w:val="bottom"/>
          </w:tcPr>
          <w:p>
            <w:pPr>
              <w:spacing w:after="0"/>
              <w:rPr>
                <w:sz w:val="18"/>
                <w:szCs w:val="18"/>
                <w:color w:val="auto"/>
              </w:rPr>
            </w:pPr>
          </w:p>
        </w:tc>
        <w:tc>
          <w:tcPr>
            <w:tcW w:w="2840" w:type="dxa"/>
            <w:vAlign w:val="bottom"/>
            <w:gridSpan w:val="5"/>
          </w:tcPr>
          <w:p>
            <w:pPr>
              <w:jc w:val="right"/>
              <w:spacing w:after="0"/>
              <w:rPr>
                <w:sz w:val="20"/>
                <w:szCs w:val="20"/>
                <w:color w:val="auto"/>
              </w:rPr>
            </w:pPr>
            <w:r>
              <w:rPr>
                <w:rFonts w:ascii="Arial" w:cs="Arial" w:eastAsia="Arial" w:hAnsi="Arial"/>
                <w:sz w:val="18"/>
                <w:szCs w:val="18"/>
                <w:b w:val="1"/>
                <w:bCs w:val="1"/>
                <w:color w:val="auto"/>
              </w:rPr>
              <w:t>Three Months Ended March 31,</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800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894</w:t>
            </w:r>
          </w:p>
        </w:tc>
        <w:tc>
          <w:tcPr>
            <w:tcW w:w="1260" w:type="dxa"/>
            <w:vAlign w:val="bottom"/>
            <w:gridSpan w:val="2"/>
            <w:shd w:val="clear" w:color="auto" w:fill="CCEEFF"/>
          </w:tcPr>
          <w:p>
            <w:pPr>
              <w:jc w:val="right"/>
              <w:ind w:right="97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602</w:t>
            </w: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10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257</w:t>
            </w:r>
          </w:p>
        </w:tc>
        <w:tc>
          <w:tcPr>
            <w:tcW w:w="100" w:type="dxa"/>
            <w:vAlign w:val="bottom"/>
          </w:tcPr>
          <w:p>
            <w:pPr>
              <w:spacing w:after="0"/>
              <w:rPr>
                <w:sz w:val="18"/>
                <w:szCs w:val="18"/>
                <w:color w:val="auto"/>
              </w:rPr>
            </w:pP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share-based expense</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859</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March 31, 2022, total estimated compensation expense of stock options granted and outstanding but not yet vested was $1,826 which is expected to be recognized over the weighted average period of 2.2 years. As of March 31, 2022, total estimated compensation cost of RSUs granted and outstanding but not yet vested was $1,422 which is expected to be recognized over the weighted average period of 2.05 years.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Subsequent Equity Awards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On April 19, 2022, the Company granted the following equity awards to the Company’s newly appointed CEO under the Plan, subject to the terms of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 and a related employment agreement:</w:t>
      </w:r>
    </w:p>
    <w:p>
      <w:pPr>
        <w:spacing w:after="0" w:line="21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RSU award on 17,301 shares of Common Stock vesting in one year.</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RSU award on 233,564 shares of Common Stock vesting in annual installments over three years.</w:t>
      </w:r>
    </w:p>
    <w:p>
      <w:pPr>
        <w:spacing w:after="0" w:line="36" w:lineRule="exact"/>
        <w:rPr>
          <w:rFonts w:ascii="Arial" w:cs="Arial" w:eastAsia="Arial" w:hAnsi="Arial"/>
          <w:sz w:val="18"/>
          <w:szCs w:val="18"/>
          <w:color w:val="auto"/>
        </w:rPr>
      </w:pPr>
    </w:p>
    <w:p>
      <w:pPr>
        <w:ind w:left="660" w:hanging="328"/>
        <w:spacing w:after="0" w:line="258"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non-qualified stock option with a ten-year term on 475,662 shares of Common Stock at an exercise price of $2.89 per share vesting in annual installments over three years.</w:t>
      </w:r>
    </w:p>
    <w:p>
      <w:pPr>
        <w:spacing w:after="0" w:line="1"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non-qualified performance-based stock option with a ten-year term on 921,832 shares of Common Stock at an exercise price of $2.89 per share vesting on achievement of market capitalization targets.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On April 19, 2022, the Company also granted the following equity awards to the Company’s newly appointed President as inducement grants outside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 and subject to the terms of a related employment agreement:</w:t>
      </w:r>
    </w:p>
    <w:p>
      <w:pPr>
        <w:spacing w:after="0" w:line="21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RSU award on 175,173 shares of Common Stock vesting in annual installments over three years.</w:t>
      </w:r>
    </w:p>
    <w:p>
      <w:pPr>
        <w:spacing w:after="0" w:line="36" w:lineRule="exact"/>
        <w:rPr>
          <w:rFonts w:ascii="Arial" w:cs="Arial" w:eastAsia="Arial" w:hAnsi="Arial"/>
          <w:sz w:val="18"/>
          <w:szCs w:val="18"/>
          <w:color w:val="auto"/>
        </w:rPr>
      </w:pPr>
    </w:p>
    <w:p>
      <w:pPr>
        <w:ind w:left="660" w:hanging="328"/>
        <w:spacing w:after="0" w:line="258"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non-qualified stock option with a ten-year term on 356,747 shares of Common Stock at an exercise price of $2.89 per share vesting in annual installments over three years.</w:t>
      </w:r>
    </w:p>
    <w:p>
      <w:pPr>
        <w:spacing w:after="0" w:line="1"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non-qualified performance-based stock option with a ten-year term on 692,398 shares of Common Stock at an exercise price of $2.89 per share vesting on achievement of market capitalization targets.</w:t>
      </w:r>
    </w:p>
    <w:p>
      <w:pPr>
        <w:spacing w:after="0" w:line="185" w:lineRule="exact"/>
        <w:rPr>
          <w:rFonts w:ascii="Arial" w:cs="Arial" w:eastAsia="Arial" w:hAnsi="Arial"/>
          <w:sz w:val="18"/>
          <w:szCs w:val="18"/>
          <w:color w:val="auto"/>
        </w:rPr>
      </w:pPr>
    </w:p>
    <w:p>
      <w:pPr>
        <w:ind w:left="5560" w:hanging="108"/>
        <w:spacing w:after="0"/>
        <w:tabs>
          <w:tab w:leader="none" w:pos="5560" w:val="left"/>
        </w:tabs>
        <w:numPr>
          <w:ilvl w:val="1"/>
          <w:numId w:val="11"/>
        </w:numPr>
        <w:rPr>
          <w:rFonts w:ascii="Arial" w:cs="Arial" w:eastAsia="Arial" w:hAnsi="Arial"/>
          <w:sz w:val="18"/>
          <w:szCs w:val="18"/>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Wrap Technologies, Inc.</w:t>
      </w:r>
    </w:p>
    <w:p>
      <w:pPr>
        <w:spacing w:after="0" w:line="27" w:lineRule="exact"/>
        <w:rPr>
          <w:sz w:val="20"/>
          <w:szCs w:val="20"/>
          <w:color w:val="auto"/>
        </w:rPr>
      </w:pPr>
    </w:p>
    <w:p>
      <w:pPr>
        <w:ind w:right="5500"/>
        <w:spacing w:after="0" w:line="260" w:lineRule="auto"/>
        <w:rPr>
          <w:sz w:val="20"/>
          <w:szCs w:val="20"/>
          <w:color w:val="auto"/>
        </w:rPr>
      </w:pPr>
      <w:r>
        <w:rPr>
          <w:rFonts w:ascii="Arial" w:cs="Arial" w:eastAsia="Arial" w:hAnsi="Arial"/>
          <w:sz w:val="18"/>
          <w:szCs w:val="18"/>
          <w:b w:val="1"/>
          <w:bCs w:val="1"/>
          <w:color w:val="auto"/>
        </w:rPr>
        <w:t>Notes to Unaudited Condensed Consolidated Interim Financial Statements (in thousands, except per share and share amounts)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Facility Lease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See Note 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Technology License Agreement</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is obligated to pay royalties and development and patent costs pursuant to an exclusive Amended and Restated Intellectual Property License Agreement dated as of September 30, 2016, with Syzygy, a company owned and controlled by stockholder/consultant Mr. Elwood Norris and stockholder/officer Mr. James Barnes. The agreement provides for royalty payments of 4% of revenue from products employing the licensed ensnarement device technology up to an aggregate of $1,000,000 in royalties or until September 30, 2026</w:t>
      </w:r>
      <w:r>
        <w:rPr>
          <w:rFonts w:ascii="Arial" w:cs="Arial" w:eastAsia="Arial" w:hAnsi="Arial"/>
          <w:sz w:val="17"/>
          <w:szCs w:val="17"/>
          <w:i w:val="1"/>
          <w:iCs w:val="1"/>
          <w:color w:val="auto"/>
        </w:rPr>
        <w:t>,</w:t>
      </w:r>
      <w:r>
        <w:rPr>
          <w:rFonts w:ascii="Arial" w:cs="Arial" w:eastAsia="Arial" w:hAnsi="Arial"/>
          <w:sz w:val="17"/>
          <w:szCs w:val="17"/>
          <w:color w:val="auto"/>
        </w:rPr>
        <w:t xml:space="preserve"> whichever occurs earlier. The Company recorded $49 and $51 for royalties incurred during the three months ended March 31, 2022, and 2021</w:t>
      </w:r>
      <w:r>
        <w:rPr>
          <w:rFonts w:ascii="Arial" w:cs="Arial" w:eastAsia="Arial" w:hAnsi="Arial"/>
          <w:sz w:val="17"/>
          <w:szCs w:val="17"/>
          <w:i w:val="1"/>
          <w:iCs w:val="1"/>
          <w:color w:val="auto"/>
        </w:rPr>
        <w:t>,</w:t>
      </w:r>
      <w:r>
        <w:rPr>
          <w:rFonts w:ascii="Arial" w:cs="Arial" w:eastAsia="Arial" w:hAnsi="Arial"/>
          <w:sz w:val="17"/>
          <w:szCs w:val="17"/>
          <w:color w:val="auto"/>
        </w:rPr>
        <w:t xml:space="preserve"> respectively.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Purchase Commitments</w:t>
      </w:r>
    </w:p>
    <w:p>
      <w:pPr>
        <w:spacing w:after="0" w:line="23"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At March 31, 2022, the Company was committed for approximately $2.3 million for future component deliveries that are generally subject to modification or rescheduling in the normal course of business.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Derivative Litigation</w:t>
      </w:r>
    </w:p>
    <w:p>
      <w:pPr>
        <w:spacing w:after="0" w:line="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November 13, 2020</w:t>
      </w:r>
      <w:r>
        <w:rPr>
          <w:rFonts w:ascii="Arial" w:cs="Arial" w:eastAsia="Arial" w:hAnsi="Arial"/>
          <w:sz w:val="16"/>
          <w:szCs w:val="16"/>
          <w:i w:val="1"/>
          <w:iCs w:val="1"/>
          <w:color w:val="auto"/>
        </w:rPr>
        <w:t>,</w:t>
      </w:r>
      <w:r>
        <w:rPr>
          <w:rFonts w:ascii="Arial" w:cs="Arial" w:eastAsia="Arial" w:hAnsi="Arial"/>
          <w:sz w:val="16"/>
          <w:szCs w:val="16"/>
          <w:color w:val="auto"/>
        </w:rPr>
        <w:t xml:space="preserve"> Naresh Rammohan filed a shareholder derivative action in the United States District Court for the Central District of California against current and former Company officers Tom Smith, James Barnes, Mike Rothans, Marc Thomas, and David Norris, as well as current and former Company directors Messrs. Scot Cohen, Patrick Kinsella, Michael Parris, and Wayne Walker, alleging unjust enrichment, breach of fiduciary duty, waste of corporate assets, and contribution claims under the Securities Exchange Act of 1934</w:t>
      </w:r>
      <w:r>
        <w:rPr>
          <w:rFonts w:ascii="Arial" w:cs="Arial" w:eastAsia="Arial" w:hAnsi="Arial"/>
          <w:sz w:val="16"/>
          <w:szCs w:val="16"/>
          <w:i w:val="1"/>
          <w:iCs w:val="1"/>
          <w:color w:val="auto"/>
        </w:rPr>
        <w:t>,</w:t>
      </w:r>
      <w:r>
        <w:rPr>
          <w:rFonts w:ascii="Arial" w:cs="Arial" w:eastAsia="Arial" w:hAnsi="Arial"/>
          <w:sz w:val="16"/>
          <w:szCs w:val="16"/>
          <w:color w:val="auto"/>
        </w:rPr>
        <w:t xml:space="preserve"> docketed as Case No. 2:20-cv-10444-DMG-PVCx. On January 20, 2021</w:t>
      </w:r>
      <w:r>
        <w:rPr>
          <w:rFonts w:ascii="Arial" w:cs="Arial" w:eastAsia="Arial" w:hAnsi="Arial"/>
          <w:sz w:val="16"/>
          <w:szCs w:val="16"/>
          <w:i w:val="1"/>
          <w:iCs w:val="1"/>
          <w:color w:val="auto"/>
        </w:rPr>
        <w:t>,</w:t>
      </w:r>
      <w:r>
        <w:rPr>
          <w:rFonts w:ascii="Arial" w:cs="Arial" w:eastAsia="Arial" w:hAnsi="Arial"/>
          <w:sz w:val="16"/>
          <w:szCs w:val="16"/>
          <w:color w:val="auto"/>
        </w:rPr>
        <w:t xml:space="preserve"> Ray Westerman filed a second derivative action in the same court against the same parties, alleging breach of fiduciary duty and contribution claims under the Securities Exchange Act of 1934</w:t>
      </w:r>
      <w:r>
        <w:rPr>
          <w:rFonts w:ascii="Arial" w:cs="Arial" w:eastAsia="Arial" w:hAnsi="Arial"/>
          <w:sz w:val="16"/>
          <w:szCs w:val="16"/>
          <w:i w:val="1"/>
          <w:iCs w:val="1"/>
          <w:color w:val="auto"/>
        </w:rPr>
        <w:t>,</w:t>
      </w:r>
      <w:r>
        <w:rPr>
          <w:rFonts w:ascii="Arial" w:cs="Arial" w:eastAsia="Arial" w:hAnsi="Arial"/>
          <w:sz w:val="16"/>
          <w:szCs w:val="16"/>
          <w:color w:val="auto"/>
        </w:rPr>
        <w:t xml:space="preserve"> docketed as Case No. 2:21-cv-00550-DMG-PVCx. On January 22, 2021</w:t>
      </w:r>
      <w:r>
        <w:rPr>
          <w:rFonts w:ascii="Arial" w:cs="Arial" w:eastAsia="Arial" w:hAnsi="Arial"/>
          <w:sz w:val="16"/>
          <w:szCs w:val="16"/>
          <w:i w:val="1"/>
          <w:iCs w:val="1"/>
          <w:color w:val="auto"/>
        </w:rPr>
        <w:t>,</w:t>
      </w:r>
      <w:r>
        <w:rPr>
          <w:rFonts w:ascii="Arial" w:cs="Arial" w:eastAsia="Arial" w:hAnsi="Arial"/>
          <w:sz w:val="16"/>
          <w:szCs w:val="16"/>
          <w:color w:val="auto"/>
        </w:rPr>
        <w:t xml:space="preserve"> Jesse Lowe filed a third derivative action in the same court against the same parties, alleging breach of fiduciary duty and asserting various claims under the Securities Exchange Act of 1934</w:t>
      </w:r>
      <w:r>
        <w:rPr>
          <w:rFonts w:ascii="Arial" w:cs="Arial" w:eastAsia="Arial" w:hAnsi="Arial"/>
          <w:sz w:val="16"/>
          <w:szCs w:val="16"/>
          <w:i w:val="1"/>
          <w:iCs w:val="1"/>
          <w:color w:val="auto"/>
        </w:rPr>
        <w:t>,</w:t>
      </w:r>
      <w:r>
        <w:rPr>
          <w:rFonts w:ascii="Arial" w:cs="Arial" w:eastAsia="Arial" w:hAnsi="Arial"/>
          <w:sz w:val="16"/>
          <w:szCs w:val="16"/>
          <w:color w:val="auto"/>
        </w:rPr>
        <w:t xml:space="preserve"> docketed as Case No. 2:21-cv-00597-DMG-PVCx. The Company is named as a nominal defendant in each of these actions.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16, 2021</w:t>
      </w:r>
      <w:r>
        <w:rPr>
          <w:rFonts w:ascii="Arial" w:cs="Arial" w:eastAsia="Arial" w:hAnsi="Arial"/>
          <w:sz w:val="18"/>
          <w:szCs w:val="18"/>
          <w:i w:val="1"/>
          <w:iCs w:val="1"/>
          <w:color w:val="auto"/>
        </w:rPr>
        <w:t>,</w:t>
      </w:r>
      <w:r>
        <w:rPr>
          <w:rFonts w:ascii="Arial" w:cs="Arial" w:eastAsia="Arial" w:hAnsi="Arial"/>
          <w:sz w:val="18"/>
          <w:szCs w:val="18"/>
          <w:color w:val="auto"/>
        </w:rPr>
        <w:t xml:space="preserve"> the Honorable Dolly M. Gee issued an order consolidating the three derivative actions under the caption </w:t>
      </w:r>
      <w:r>
        <w:rPr>
          <w:rFonts w:ascii="Arial" w:cs="Arial" w:eastAsia="Arial" w:hAnsi="Arial"/>
          <w:sz w:val="18"/>
          <w:szCs w:val="18"/>
          <w:i w:val="1"/>
          <w:iCs w:val="1"/>
          <w:color w:val="auto"/>
        </w:rPr>
        <w:t>In re Wrap Technologies,</w:t>
      </w:r>
      <w:r>
        <w:rPr>
          <w:rFonts w:ascii="Arial" w:cs="Arial" w:eastAsia="Arial" w:hAnsi="Arial"/>
          <w:sz w:val="18"/>
          <w:szCs w:val="18"/>
          <w:color w:val="auto"/>
        </w:rPr>
        <w:t xml:space="preserve"> </w:t>
      </w:r>
      <w:r>
        <w:rPr>
          <w:rFonts w:ascii="Arial" w:cs="Arial" w:eastAsia="Arial" w:hAnsi="Arial"/>
          <w:sz w:val="18"/>
          <w:szCs w:val="18"/>
          <w:i w:val="1"/>
          <w:iCs w:val="1"/>
          <w:color w:val="auto"/>
        </w:rPr>
        <w:t>Inc. Shareholder Derivative Litigation</w:t>
      </w:r>
      <w:r>
        <w:rPr>
          <w:rFonts w:ascii="Arial" w:cs="Arial" w:eastAsia="Arial" w:hAnsi="Arial"/>
          <w:sz w:val="18"/>
          <w:szCs w:val="18"/>
          <w:color w:val="auto"/>
        </w:rPr>
        <w:t>, Case No. 2:20-10444-DMG-PVCx, (the “</w:t>
      </w:r>
      <w:r>
        <w:rPr>
          <w:rFonts w:ascii="Arial" w:cs="Arial" w:eastAsia="Arial" w:hAnsi="Arial"/>
          <w:sz w:val="18"/>
          <w:szCs w:val="18"/>
          <w:i w:val="1"/>
          <w:iCs w:val="1"/>
          <w:color w:val="auto"/>
        </w:rPr>
        <w:t>Derivative Action</w:t>
      </w:r>
      <w:r>
        <w:rPr>
          <w:rFonts w:ascii="Arial" w:cs="Arial" w:eastAsia="Arial" w:hAnsi="Arial"/>
          <w:sz w:val="18"/>
          <w:szCs w:val="18"/>
          <w:color w:val="auto"/>
        </w:rPr>
        <w:t>”) and stayed the Derivative Action at least until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resolution of the action captioned </w:t>
      </w:r>
      <w:r>
        <w:rPr>
          <w:rFonts w:ascii="Arial" w:cs="Arial" w:eastAsia="Arial" w:hAnsi="Arial"/>
          <w:sz w:val="18"/>
          <w:szCs w:val="18"/>
          <w:i w:val="1"/>
          <w:iCs w:val="1"/>
          <w:color w:val="auto"/>
        </w:rPr>
        <w:t>In re Wrap Technologies, Inc. Securities Exchange Act Litigation</w:t>
      </w:r>
      <w:r>
        <w:rPr>
          <w:rFonts w:ascii="Arial" w:cs="Arial" w:eastAsia="Arial" w:hAnsi="Arial"/>
          <w:sz w:val="18"/>
          <w:szCs w:val="18"/>
          <w:color w:val="auto"/>
        </w:rPr>
        <w:t>, Case No. 2:20-cv-08760-DMG (the “</w:t>
      </w:r>
      <w:r>
        <w:rPr>
          <w:rFonts w:ascii="Arial" w:cs="Arial" w:eastAsia="Arial" w:hAnsi="Arial"/>
          <w:sz w:val="18"/>
          <w:szCs w:val="18"/>
          <w:i w:val="1"/>
          <w:iCs w:val="1"/>
          <w:color w:val="auto"/>
        </w:rPr>
        <w:t>Securities</w:t>
      </w:r>
      <w:r>
        <w:rPr>
          <w:rFonts w:ascii="Arial" w:cs="Arial" w:eastAsia="Arial" w:hAnsi="Arial"/>
          <w:sz w:val="18"/>
          <w:szCs w:val="18"/>
          <w:color w:val="auto"/>
        </w:rPr>
        <w:t xml:space="preserve"> </w:t>
      </w:r>
      <w:r>
        <w:rPr>
          <w:rFonts w:ascii="Arial" w:cs="Arial" w:eastAsia="Arial" w:hAnsi="Arial"/>
          <w:sz w:val="18"/>
          <w:szCs w:val="18"/>
          <w:i w:val="1"/>
          <w:iCs w:val="1"/>
          <w:color w:val="auto"/>
        </w:rPr>
        <w:t>Action</w:t>
      </w:r>
      <w:r>
        <w:rPr>
          <w:rFonts w:ascii="Arial" w:cs="Arial" w:eastAsia="Arial" w:hAnsi="Arial"/>
          <w:sz w:val="18"/>
          <w:szCs w:val="18"/>
          <w:color w:val="auto"/>
        </w:rPr>
        <w:t>”). On December 20, 2021, Judge Gee dismissed the Securities Action with prejudice. On April 29, 2022 the above-mentioned parties jointly filed a</w:t>
      </w:r>
      <w:r>
        <w:rPr>
          <w:rFonts w:ascii="Arial" w:cs="Arial" w:eastAsia="Arial" w:hAnsi="Arial"/>
          <w:sz w:val="18"/>
          <w:szCs w:val="18"/>
          <w:i w:val="1"/>
          <w:iCs w:val="1"/>
          <w:color w:val="auto"/>
        </w:rPr>
        <w:t xml:space="preserve"> </w:t>
      </w:r>
      <w:r>
        <w:rPr>
          <w:rFonts w:ascii="Arial" w:cs="Arial" w:eastAsia="Arial" w:hAnsi="Arial"/>
          <w:sz w:val="18"/>
          <w:szCs w:val="18"/>
          <w:color w:val="auto"/>
        </w:rPr>
        <w:t>stipulation of voluntary dismissal in order to dismiss the Derivative Action without prejudice to the plaintiffs, the Company, or Wrap shareholders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Stipulation</w:t>
      </w:r>
      <w:r>
        <w:rPr>
          <w:rFonts w:ascii="Arial" w:cs="Arial" w:eastAsia="Arial" w:hAnsi="Arial"/>
          <w:sz w:val="18"/>
          <w:szCs w:val="18"/>
          <w:color w:val="auto"/>
        </w:rPr>
        <w:t>”). The Stipulation is currently pending before Judge Gee.</w:t>
      </w:r>
    </w:p>
    <w:p>
      <w:pPr>
        <w:spacing w:after="0" w:line="200" w:lineRule="exact"/>
        <w:rPr>
          <w:sz w:val="20"/>
          <w:szCs w:val="20"/>
          <w:color w:val="auto"/>
        </w:rPr>
      </w:pPr>
    </w:p>
    <w:p>
      <w:pPr>
        <w:spacing w:after="0" w:line="231"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RELATED PARTY TRANSACTIONS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Commencing in October 2017 the Company began reimbursing Mr. Elwood Norris, a former officer and current stockholder and consultant of the Company, $1.5 per month on a month-to-month basis for laboratory facility expense, for an aggregate of $4.5 during the three months ended March 31, 2022, and 2021, respectively.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See Notes 7, 10, 11 and 14 for additional information on related party transactions and obligations.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MAJOR CUSTOMERS AND RELATED INFORMATION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three months ended March 31, 2022, revenues from two distributors accounted for approximately 25% and 14% of revenues with no other single customer accounting for more than 10% of total revenues. For the three months ended March 31, 2021, revenues from three distributors accounted for approximately 28%, 22% and 10% of revenues with no other single customer accounting for more than 10% of total revenues.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Wrap Technologies, Inc.</w:t>
      </w:r>
    </w:p>
    <w:p>
      <w:pPr>
        <w:spacing w:after="0" w:line="27" w:lineRule="exact"/>
        <w:rPr>
          <w:sz w:val="20"/>
          <w:szCs w:val="20"/>
          <w:color w:val="auto"/>
        </w:rPr>
      </w:pPr>
    </w:p>
    <w:p>
      <w:pPr>
        <w:ind w:right="5500"/>
        <w:spacing w:after="0" w:line="260" w:lineRule="auto"/>
        <w:rPr>
          <w:sz w:val="20"/>
          <w:szCs w:val="20"/>
          <w:color w:val="auto"/>
        </w:rPr>
      </w:pPr>
      <w:r>
        <w:rPr>
          <w:rFonts w:ascii="Arial" w:cs="Arial" w:eastAsia="Arial" w:hAnsi="Arial"/>
          <w:sz w:val="18"/>
          <w:szCs w:val="18"/>
          <w:b w:val="1"/>
          <w:bCs w:val="1"/>
          <w:color w:val="auto"/>
        </w:rPr>
        <w:t>Notes to Unaudited Condensed Consolidated Interim Financial Statements (in thousands, except per share and share amounts)</w:t>
      </w:r>
    </w:p>
    <w:p>
      <w:pPr>
        <w:spacing w:after="0" w:line="18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March 31, 2022, accounts receivable from two distributors accounted for 50% and 13% of accounts receivable with no other single customer accounting for more than 10% of the accounts receivable balance. Accounts receivable from three distributors accounted for 48%, 16% and 15% of net accounts receivable at December 31, 2021</w:t>
      </w:r>
      <w:r>
        <w:rPr>
          <w:rFonts w:ascii="Arial" w:cs="Arial" w:eastAsia="Arial" w:hAnsi="Arial"/>
          <w:sz w:val="18"/>
          <w:szCs w:val="18"/>
          <w:i w:val="1"/>
          <w:iCs w:val="1"/>
          <w:color w:val="auto"/>
        </w:rPr>
        <w: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revenues by geographic region. Revenues are attributed to countries based on customer’s delivery location.</w:t>
      </w:r>
    </w:p>
    <w:p>
      <w:pPr>
        <w:spacing w:after="0" w:line="221" w:lineRule="exact"/>
        <w:rPr>
          <w:sz w:val="20"/>
          <w:szCs w:val="20"/>
          <w:color w:val="auto"/>
        </w:rPr>
      </w:pPr>
    </w:p>
    <w:p>
      <w:pPr>
        <w:jc w:val="center"/>
        <w:ind w:left="7880"/>
        <w:spacing w:after="0"/>
        <w:rPr>
          <w:sz w:val="20"/>
          <w:szCs w:val="20"/>
          <w:color w:val="auto"/>
        </w:rPr>
      </w:pPr>
      <w:r>
        <w:rPr>
          <w:rFonts w:ascii="Arial" w:cs="Arial" w:eastAsia="Arial" w:hAnsi="Arial"/>
          <w:sz w:val="18"/>
          <w:szCs w:val="18"/>
          <w:b w:val="1"/>
          <w:bCs w:val="1"/>
          <w:color w:val="auto"/>
        </w:rPr>
        <w:t>For the Three Months</w:t>
      </w:r>
    </w:p>
    <w:p>
      <w:pPr>
        <w:spacing w:after="0" w:line="27" w:lineRule="exact"/>
        <w:rPr>
          <w:sz w:val="20"/>
          <w:szCs w:val="20"/>
          <w:color w:val="auto"/>
        </w:rPr>
      </w:pPr>
    </w:p>
    <w:p>
      <w:pPr>
        <w:jc w:val="center"/>
        <w:ind w:left="7880"/>
        <w:spacing w:after="0"/>
        <w:rPr>
          <w:sz w:val="20"/>
          <w:szCs w:val="20"/>
          <w:color w:val="auto"/>
        </w:rPr>
      </w:pPr>
      <w:r>
        <w:rPr>
          <w:rFonts w:ascii="Arial" w:cs="Arial" w:eastAsia="Arial" w:hAnsi="Arial"/>
          <w:sz w:val="18"/>
          <w:szCs w:val="18"/>
          <w:b w:val="1"/>
          <w:bCs w:val="1"/>
          <w:color w:val="auto"/>
        </w:rPr>
        <w:t>Ended March 31,</w:t>
      </w:r>
    </w:p>
    <w:p>
      <w:pPr>
        <w:spacing w:after="0" w:line="9" w:lineRule="exact"/>
        <w:rPr>
          <w:sz w:val="20"/>
          <w:szCs w:val="20"/>
          <w:color w:val="auto"/>
        </w:rPr>
      </w:pPr>
    </w:p>
    <w:p>
      <w:pPr>
        <w:ind w:left="8560"/>
        <w:spacing w:after="0"/>
        <w:tabs>
          <w:tab w:leader="none" w:pos="10200" w:val="left"/>
        </w:tabs>
        <w:rPr>
          <w:sz w:val="20"/>
          <w:szCs w:val="20"/>
          <w:color w:val="auto"/>
        </w:rPr>
      </w:pPr>
      <w:r>
        <w:rPr>
          <w:rFonts w:ascii="Arial" w:cs="Arial" w:eastAsia="Arial" w:hAnsi="Arial"/>
          <w:sz w:val="18"/>
          <w:szCs w:val="18"/>
          <w:b w:val="1"/>
          <w:bCs w:val="1"/>
          <w:color w:val="auto"/>
        </w:rPr>
        <w:t>2022</w:t>
      </w:r>
      <w:r>
        <w:rPr>
          <w:sz w:val="20"/>
          <w:szCs w:val="20"/>
          <w:color w:val="auto"/>
        </w:rPr>
        <w:tab/>
      </w:r>
      <w:r>
        <w:rPr>
          <w:rFonts w:ascii="Arial" w:cs="Arial" w:eastAsia="Arial" w:hAnsi="Arial"/>
          <w:sz w:val="18"/>
          <w:szCs w:val="18"/>
          <w:b w:val="1"/>
          <w:bCs w:val="1"/>
          <w:color w:val="auto"/>
        </w:rPr>
        <w:t>2021</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Americas</w:t>
            </w: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w:t>
            </w:r>
          </w:p>
        </w:tc>
        <w:tc>
          <w:tcPr>
            <w:tcW w:w="2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Europe, Middle East and Africa</w:t>
            </w:r>
          </w:p>
        </w:tc>
        <w:tc>
          <w:tcPr>
            <w:tcW w:w="5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174</w:t>
            </w: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877</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Asia Pacific</w:t>
            </w:r>
          </w:p>
        </w:tc>
        <w:tc>
          <w:tcPr>
            <w:tcW w:w="58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18"/>
                <w:szCs w:val="18"/>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1,599</w:t>
            </w:r>
          </w:p>
        </w:tc>
        <w:tc>
          <w:tcPr>
            <w:tcW w:w="78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1,542</w:t>
            </w:r>
          </w:p>
        </w:tc>
      </w:tr>
      <w:tr>
        <w:trPr>
          <w:trHeight w:val="20"/>
        </w:trPr>
        <w:tc>
          <w:tcPr>
            <w:tcW w:w="80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SUBSEQUENT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connection with the Company’s management transition plan announced in January 2022, the Company effective on April 18, 2022, appointed a new CEO and a new President. See Note 10 for subsequent equity awards.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April 2022, the Board of the Company approved, subject to stockholder ratification, an increase in the 2017 Stock Incentive Plan authorizing an additional 1,500,000 shares of Common Stock to a total of 9,000,000 shares.</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evaluated other subsequent events for their potential impact on the financial statements and disclosures through the date the financial statements were available to be issued, and determined that, except as disclosed herein, no subsequent events occurred that were reasonably expected to impact the financial statements presented herein.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4"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i w:val="1"/>
          <w:iCs w:val="1"/>
          <w:color w:val="auto"/>
        </w:rPr>
        <w:t xml:space="preserve">You should read the following discussion in conjunction with the financial statements and other financial information included elsewhere in this Quarterly Report on Form 10-Q (this </w:t>
      </w:r>
      <w:r>
        <w:rPr>
          <w:rFonts w:ascii="Arial" w:cs="Arial" w:eastAsia="Arial" w:hAnsi="Arial"/>
          <w:sz w:val="17"/>
          <w:szCs w:val="17"/>
          <w:color w:val="auto"/>
        </w:rPr>
        <w:t>“</w:t>
      </w:r>
      <w:r>
        <w:rPr>
          <w:rFonts w:ascii="Arial" w:cs="Arial" w:eastAsia="Arial" w:hAnsi="Arial"/>
          <w:sz w:val="17"/>
          <w:szCs w:val="17"/>
          <w:i w:val="1"/>
          <w:iCs w:val="1"/>
          <w:color w:val="auto"/>
        </w:rPr>
        <w:t>Report</w:t>
      </w:r>
      <w:r>
        <w:rPr>
          <w:rFonts w:ascii="Arial" w:cs="Arial" w:eastAsia="Arial" w:hAnsi="Arial"/>
          <w:sz w:val="17"/>
          <w:szCs w:val="17"/>
          <w:color w:val="auto"/>
        </w:rPr>
        <w:t>”</w:t>
      </w:r>
      <w:r>
        <w:rPr>
          <w:rFonts w:ascii="Arial" w:cs="Arial" w:eastAsia="Arial" w:hAnsi="Arial"/>
          <w:sz w:val="17"/>
          <w:szCs w:val="17"/>
          <w:i w:val="1"/>
          <w:iCs w:val="1"/>
          <w:color w:val="auto"/>
        </w:rPr>
        <w:t xml:space="preserve">) and with our audited financial statements and other information presented in our Annual Report on Form 10-K for the year ended December 31, 2021. The following discussion may contain forward-looking statements that reflect our plans, estimates and beliefs. Words such as </w:t>
      </w:r>
      <w:r>
        <w:rPr>
          <w:rFonts w:ascii="Arial" w:cs="Arial" w:eastAsia="Arial" w:hAnsi="Arial"/>
          <w:sz w:val="17"/>
          <w:szCs w:val="17"/>
          <w:color w:val="auto"/>
        </w:rPr>
        <w:t>“</w:t>
      </w:r>
      <w:r>
        <w:rPr>
          <w:rFonts w:ascii="Arial" w:cs="Arial" w:eastAsia="Arial" w:hAnsi="Arial"/>
          <w:sz w:val="17"/>
          <w:szCs w:val="17"/>
          <w:i w:val="1"/>
          <w:iCs w:val="1"/>
          <w:color w:val="auto"/>
        </w:rPr>
        <w:t>expect,</w:t>
      </w:r>
      <w:r>
        <w:rPr>
          <w:rFonts w:ascii="Arial" w:cs="Arial" w:eastAsia="Arial" w:hAnsi="Arial"/>
          <w:sz w:val="17"/>
          <w:szCs w:val="17"/>
          <w:color w:val="auto"/>
        </w:rPr>
        <w:t>” “</w:t>
      </w:r>
      <w:r>
        <w:rPr>
          <w:rFonts w:ascii="Arial" w:cs="Arial" w:eastAsia="Arial" w:hAnsi="Arial"/>
          <w:sz w:val="17"/>
          <w:szCs w:val="17"/>
          <w:i w:val="1"/>
          <w:iCs w:val="1"/>
          <w:color w:val="auto"/>
        </w:rPr>
        <w:t>anticipate,</w:t>
      </w:r>
      <w:r>
        <w:rPr>
          <w:rFonts w:ascii="Arial" w:cs="Arial" w:eastAsia="Arial" w:hAnsi="Arial"/>
          <w:sz w:val="17"/>
          <w:szCs w:val="17"/>
          <w:color w:val="auto"/>
        </w:rPr>
        <w:t>” “</w:t>
      </w:r>
      <w:r>
        <w:rPr>
          <w:rFonts w:ascii="Arial" w:cs="Arial" w:eastAsia="Arial" w:hAnsi="Arial"/>
          <w:sz w:val="17"/>
          <w:szCs w:val="17"/>
          <w:i w:val="1"/>
          <w:iCs w:val="1"/>
          <w:color w:val="auto"/>
        </w:rPr>
        <w:t>intend,</w:t>
      </w:r>
      <w:r>
        <w:rPr>
          <w:rFonts w:ascii="Arial" w:cs="Arial" w:eastAsia="Arial" w:hAnsi="Arial"/>
          <w:sz w:val="17"/>
          <w:szCs w:val="17"/>
          <w:color w:val="auto"/>
        </w:rPr>
        <w:t>” “</w:t>
      </w:r>
      <w:r>
        <w:rPr>
          <w:rFonts w:ascii="Arial" w:cs="Arial" w:eastAsia="Arial" w:hAnsi="Arial"/>
          <w:sz w:val="17"/>
          <w:szCs w:val="17"/>
          <w:i w:val="1"/>
          <w:iCs w:val="1"/>
          <w:color w:val="auto"/>
        </w:rPr>
        <w:t>plan,</w:t>
      </w:r>
      <w:r>
        <w:rPr>
          <w:rFonts w:ascii="Arial" w:cs="Arial" w:eastAsia="Arial" w:hAnsi="Arial"/>
          <w:sz w:val="17"/>
          <w:szCs w:val="17"/>
          <w:color w:val="auto"/>
        </w:rPr>
        <w:t>” “</w:t>
      </w:r>
      <w:r>
        <w:rPr>
          <w:rFonts w:ascii="Arial" w:cs="Arial" w:eastAsia="Arial" w:hAnsi="Arial"/>
          <w:sz w:val="17"/>
          <w:szCs w:val="17"/>
          <w:i w:val="1"/>
          <w:iCs w:val="1"/>
          <w:color w:val="auto"/>
        </w:rPr>
        <w:t>believe,</w:t>
      </w:r>
      <w:r>
        <w:rPr>
          <w:rFonts w:ascii="Arial" w:cs="Arial" w:eastAsia="Arial" w:hAnsi="Arial"/>
          <w:sz w:val="17"/>
          <w:szCs w:val="17"/>
          <w:color w:val="auto"/>
        </w:rPr>
        <w:t>” “</w:t>
      </w:r>
      <w:r>
        <w:rPr>
          <w:rFonts w:ascii="Arial" w:cs="Arial" w:eastAsia="Arial" w:hAnsi="Arial"/>
          <w:sz w:val="17"/>
          <w:szCs w:val="17"/>
          <w:i w:val="1"/>
          <w:iCs w:val="1"/>
          <w:color w:val="auto"/>
        </w:rPr>
        <w:t>seek,</w:t>
      </w:r>
      <w:r>
        <w:rPr>
          <w:rFonts w:ascii="Arial" w:cs="Arial" w:eastAsia="Arial" w:hAnsi="Arial"/>
          <w:sz w:val="17"/>
          <w:szCs w:val="17"/>
          <w:color w:val="auto"/>
        </w:rPr>
        <w:t>” “</w:t>
      </w:r>
      <w:r>
        <w:rPr>
          <w:rFonts w:ascii="Arial" w:cs="Arial" w:eastAsia="Arial" w:hAnsi="Arial"/>
          <w:sz w:val="17"/>
          <w:szCs w:val="17"/>
          <w:i w:val="1"/>
          <w:iCs w:val="1"/>
          <w:color w:val="auto"/>
        </w:rPr>
        <w:t>estimate,</w:t>
      </w:r>
      <w:r>
        <w:rPr>
          <w:rFonts w:ascii="Arial" w:cs="Arial" w:eastAsia="Arial" w:hAnsi="Arial"/>
          <w:sz w:val="17"/>
          <w:szCs w:val="17"/>
          <w:color w:val="auto"/>
        </w:rPr>
        <w:t>” “</w:t>
      </w:r>
      <w:r>
        <w:rPr>
          <w:rFonts w:ascii="Arial" w:cs="Arial" w:eastAsia="Arial" w:hAnsi="Arial"/>
          <w:sz w:val="17"/>
          <w:szCs w:val="17"/>
          <w:i w:val="1"/>
          <w:iCs w:val="1"/>
          <w:color w:val="auto"/>
        </w:rPr>
        <w:t>continue,</w:t>
      </w:r>
      <w:r>
        <w:rPr>
          <w:rFonts w:ascii="Arial" w:cs="Arial" w:eastAsia="Arial" w:hAnsi="Arial"/>
          <w:sz w:val="17"/>
          <w:szCs w:val="17"/>
          <w:color w:val="auto"/>
        </w:rPr>
        <w:t>” “</w:t>
      </w:r>
      <w:r>
        <w:rPr>
          <w:rFonts w:ascii="Arial" w:cs="Arial" w:eastAsia="Arial" w:hAnsi="Arial"/>
          <w:sz w:val="17"/>
          <w:szCs w:val="17"/>
          <w:i w:val="1"/>
          <w:iCs w:val="1"/>
          <w:color w:val="auto"/>
        </w:rPr>
        <w:t>may,</w:t>
      </w:r>
      <w:r>
        <w:rPr>
          <w:rFonts w:ascii="Arial" w:cs="Arial" w:eastAsia="Arial" w:hAnsi="Arial"/>
          <w:sz w:val="17"/>
          <w:szCs w:val="17"/>
          <w:color w:val="auto"/>
        </w:rPr>
        <w:t>” “</w:t>
      </w:r>
      <w:r>
        <w:rPr>
          <w:rFonts w:ascii="Arial" w:cs="Arial" w:eastAsia="Arial" w:hAnsi="Arial"/>
          <w:sz w:val="17"/>
          <w:szCs w:val="17"/>
          <w:i w:val="1"/>
          <w:iCs w:val="1"/>
          <w:color w:val="auto"/>
        </w:rPr>
        <w:t>will,</w:t>
      </w:r>
      <w:r>
        <w:rPr>
          <w:rFonts w:ascii="Arial" w:cs="Arial" w:eastAsia="Arial" w:hAnsi="Arial"/>
          <w:sz w:val="17"/>
          <w:szCs w:val="17"/>
          <w:color w:val="auto"/>
        </w:rPr>
        <w:t>” “</w:t>
      </w:r>
      <w:r>
        <w:rPr>
          <w:rFonts w:ascii="Arial" w:cs="Arial" w:eastAsia="Arial" w:hAnsi="Arial"/>
          <w:sz w:val="17"/>
          <w:szCs w:val="17"/>
          <w:i w:val="1"/>
          <w:iCs w:val="1"/>
          <w:color w:val="auto"/>
        </w:rPr>
        <w:t>could,</w:t>
      </w:r>
      <w:r>
        <w:rPr>
          <w:rFonts w:ascii="Arial" w:cs="Arial" w:eastAsia="Arial" w:hAnsi="Arial"/>
          <w:sz w:val="17"/>
          <w:szCs w:val="17"/>
          <w:color w:val="auto"/>
        </w:rPr>
        <w:t>” “</w:t>
      </w:r>
      <w:r>
        <w:rPr>
          <w:rFonts w:ascii="Arial" w:cs="Arial" w:eastAsia="Arial" w:hAnsi="Arial"/>
          <w:sz w:val="17"/>
          <w:szCs w:val="17"/>
          <w:i w:val="1"/>
          <w:iCs w:val="1"/>
          <w:color w:val="auto"/>
        </w:rPr>
        <w:t>would,</w:t>
      </w:r>
      <w:r>
        <w:rPr>
          <w:rFonts w:ascii="Arial" w:cs="Arial" w:eastAsia="Arial" w:hAnsi="Arial"/>
          <w:sz w:val="17"/>
          <w:szCs w:val="17"/>
          <w:color w:val="auto"/>
        </w:rPr>
        <w:t>”</w:t>
      </w:r>
      <w:r>
        <w:rPr>
          <w:rFonts w:ascii="Arial" w:cs="Arial" w:eastAsia="Arial" w:hAnsi="Arial"/>
          <w:sz w:val="17"/>
          <w:szCs w:val="17"/>
          <w:i w:val="1"/>
          <w:iCs w:val="1"/>
          <w:color w:val="auto"/>
        </w:rPr>
        <w:t xml:space="preserve"> or the negative or plural of such words and similar expressions or variations of such words are intended to identify forward-looking statements, but are not the only means of identifying forward-looking statements. Such forward-looking statements are subject to a number of risks, uncertainties, assumptions and other factors that could cause actual results and the timing of certain events to differ materially from future results expressed or implied by the forward-looking statements. Factors that could cause or contribute to these differences include, but are not limited to, those discussed below and elsewhere in this Report and in our other filings with the Securities and Exchange Commission (</w:t>
      </w:r>
      <w:r>
        <w:rPr>
          <w:rFonts w:ascii="Arial" w:cs="Arial" w:eastAsia="Arial" w:hAnsi="Arial"/>
          <w:sz w:val="17"/>
          <w:szCs w:val="17"/>
          <w:color w:val="auto"/>
        </w:rPr>
        <w:t>“</w:t>
      </w:r>
      <w:r>
        <w:rPr>
          <w:rFonts w:ascii="Arial" w:cs="Arial" w:eastAsia="Arial" w:hAnsi="Arial"/>
          <w:sz w:val="17"/>
          <w:szCs w:val="17"/>
          <w:i w:val="1"/>
          <w:iCs w:val="1"/>
          <w:color w:val="auto"/>
        </w:rPr>
        <w:t>SEC</w:t>
      </w:r>
      <w:r>
        <w:rPr>
          <w:rFonts w:ascii="Arial" w:cs="Arial" w:eastAsia="Arial" w:hAnsi="Arial"/>
          <w:sz w:val="17"/>
          <w:szCs w:val="17"/>
          <w:color w:val="auto"/>
        </w:rPr>
        <w:t>”</w:t>
      </w:r>
      <w:r>
        <w:rPr>
          <w:rFonts w:ascii="Arial" w:cs="Arial" w:eastAsia="Arial" w:hAnsi="Arial"/>
          <w:sz w:val="17"/>
          <w:szCs w:val="17"/>
          <w:i w:val="1"/>
          <w:iCs w:val="1"/>
          <w:color w:val="auto"/>
        </w:rPr>
        <w:t>), including particularly matters set forth under Part I, Item 1A (Risk Factors) of our Annual Report on Form 10-K. Furthermore, such forward-looking statements speak only as of the date of this Report. Except as required by law, we undertake no obligation to update any forward-looking statements to reflect events or circumstances after the date of such statements. For purposes of Management's Discussion and Analysis within this Report, all monetary amounts are stated in thousands except for par values and per share amounts, unless otherwise stated.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global public safety technology and services company organized in March 2016 delivering modern policing solutions to law enforcement and security personnel. We began sales of our first public safety product, the BolaWrap 100 remote restraint device, in late 2018. In October 2021 we released a new generation product, the BolaWrap 150. The BolaWrap 150 is electronically deployed and is more robust, smaller, lighter and simpler to deploy than the BolaWrap 100 that is being phased out.</w:t>
      </w:r>
    </w:p>
    <w:p>
      <w:pPr>
        <w:spacing w:after="0" w:line="187"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immediate addressable domestic market for our solutions consists of approximately 900,000 full-time sworn law enforcement officers at over 15,300 federal, state and local law enforcement agencies, and over 12 million police officers in over 100 countries. We are also exploring other domestic markets, including military and private security. Our international focus is on countries with the largest police forces. The 100 largest international police agencies are estimated to have over 12.1 million law enforcement personnel. According to 360iResearch, a market research consulting firm, we participate in a segment of the non-lethal products global market expected to grow to $16.1 billion by 2027.</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We focus our efforts on the following products and services:</w:t>
      </w:r>
    </w:p>
    <w:p>
      <w:pPr>
        <w:spacing w:after="0" w:line="225"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i w:val="1"/>
          <w:iCs w:val="1"/>
          <w:color w:val="auto"/>
        </w:rPr>
        <w:t xml:space="preserve">BolaWrap Remote Restraint Device </w:t>
      </w:r>
      <w:r>
        <w:rPr>
          <w:rFonts w:ascii="Arial" w:cs="Arial" w:eastAsia="Arial" w:hAnsi="Arial"/>
          <w:sz w:val="18"/>
          <w:szCs w:val="18"/>
          <w:color w:val="auto"/>
        </w:rPr>
        <w:t>– is a hand-held remote restraint device that discharges an eight-foot bola style Kevlar tether to entangle an</w:t>
      </w:r>
      <w:r>
        <w:rPr>
          <w:rFonts w:ascii="Arial" w:cs="Arial" w:eastAsia="Arial" w:hAnsi="Arial"/>
          <w:sz w:val="18"/>
          <w:szCs w:val="18"/>
          <w:i w:val="1"/>
          <w:iCs w:val="1"/>
          <w:color w:val="auto"/>
        </w:rPr>
        <w:t xml:space="preserve"> </w:t>
      </w:r>
      <w:r>
        <w:rPr>
          <w:rFonts w:ascii="Arial" w:cs="Arial" w:eastAsia="Arial" w:hAnsi="Arial"/>
          <w:sz w:val="18"/>
          <w:szCs w:val="18"/>
          <w:color w:val="auto"/>
        </w:rPr>
        <w:t>individual at a range of 10-25 feet. BolaWrap assists law enforcement to safely and effectively control encounters early in the use of force continuum without resorting to painful force options.</w:t>
      </w:r>
    </w:p>
    <w:p>
      <w:pPr>
        <w:spacing w:after="0" w:line="184"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i w:val="1"/>
          <w:iCs w:val="1"/>
          <w:color w:val="auto"/>
        </w:rPr>
        <w:t xml:space="preserve">Wrap Reality </w:t>
      </w:r>
      <w:r>
        <w:rPr>
          <w:rFonts w:ascii="Arial" w:cs="Arial" w:eastAsia="Arial" w:hAnsi="Arial"/>
          <w:sz w:val="18"/>
          <w:szCs w:val="18"/>
          <w:color w:val="auto"/>
        </w:rPr>
        <w:t>– is a law enforcement training system employing immersive computer graphics virtual reality ("</w:t>
      </w:r>
      <w:r>
        <w:rPr>
          <w:rFonts w:ascii="Arial" w:cs="Arial" w:eastAsia="Arial" w:hAnsi="Arial"/>
          <w:sz w:val="18"/>
          <w:szCs w:val="18"/>
          <w:i w:val="1"/>
          <w:iCs w:val="1"/>
          <w:color w:val="auto"/>
        </w:rPr>
        <w:t>VR</w:t>
      </w:r>
      <w:r>
        <w:rPr>
          <w:rFonts w:ascii="Arial" w:cs="Arial" w:eastAsia="Arial" w:hAnsi="Arial"/>
          <w:sz w:val="18"/>
          <w:szCs w:val="18"/>
          <w:color w:val="auto"/>
        </w:rPr>
        <w:t>") with proprietary software-enabled</w:t>
      </w:r>
      <w:r>
        <w:rPr>
          <w:rFonts w:ascii="Arial" w:cs="Arial" w:eastAsia="Arial" w:hAnsi="Arial"/>
          <w:sz w:val="18"/>
          <w:szCs w:val="18"/>
          <w:i w:val="1"/>
          <w:iCs w:val="1"/>
          <w:color w:val="auto"/>
        </w:rPr>
        <w:t xml:space="preserve"> </w:t>
      </w:r>
      <w:r>
        <w:rPr>
          <w:rFonts w:ascii="Arial" w:cs="Arial" w:eastAsia="Arial" w:hAnsi="Arial"/>
          <w:sz w:val="18"/>
          <w:szCs w:val="18"/>
          <w:color w:val="auto"/>
        </w:rPr>
        <w:t>content. It allows up to two participants to enter a simulated training environment simultaneously, and customized weapons controllers enable trainees to engage in strategic decision making along the force continuum.</w:t>
      </w:r>
    </w:p>
    <w:p>
      <w:pPr>
        <w:spacing w:after="0" w:line="18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In addition to the United States law enforcement market, we have shipped our restraint products to 53 countries. We have established an active distributor network with 12 domestic distributors representing 49 states and one dealer representing Puerto Rico. We have distribution agreements with 47 international distributors covering 54 countries. We focus significant sales, training and business development efforts to support our distribution network.</w:t>
      </w:r>
    </w:p>
    <w:p>
      <w:pPr>
        <w:spacing w:after="0" w:line="14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focus significant resources on research and development innovations and continue to enhance our products and plan to introduce new products. We believe we have established a strong branding and market presence globally and have established significant competitive advantages in our markets.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Changes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previously reported in January 2022, the Board of Directors approved and initiated a leadership transition plan to support the next phase of its corporate strategy, which is focused on diversifying the Company’s suite of products, offerings and services. The transition and corporate strategy included the resignation of President, CEO and director Thomas P. Smith and announcement of the planned retirement of CFO, Secretary and Treasurer James A. Barnes expected upon appointment of a successor. After a period of transition managed by Special Transition Committee consisting of directors Scot Cohen and Kim Sentovich and including interim contract executives, on April 18, 2022, the Company announced the appointment of director TJ Kennedy as CEO and Kevin Mullins as President. Both Mr. Kennedy and Mr. Mullins have significant leadership experience in public safety technology prior to their appointment. Mr. Mullins will be leading go to market functions in the President role.</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 and Challenges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products and solutions continue to gain worldwide awareness and recognition through social media, media exposure, trade shows, product demonstrations and word of mouth as a result of positive responses from agencies and early adoption and deployment success. We believe Wrap is gaining traction as a recognized global brand, with innovative technology and an initial product foundation achieved through aggressive marketing and public relations. We believe that we have strong market opportunities for our remote restraint solution throughout the world in the law enforcement and security sectors as a result of increasing demands for less lethal policing and increasing threats posed by non-compliant subjects.</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continue to receive field reports of successful BolaWrap usage from law enforcement agencies. Many agencies consider BolaWrap as a very low level, or non-reportable, use of force option and, accordingly, many uses are not reported to us. Others are considered evidence and are also not shared. Some law enforcement agencies have shared bodycam footage of their field uses, some of which we are allowed to use in our marketing activities. We believe increased reports of avoiding escalation will help grow revenues in the future.</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we have a robust and growing pipeline of market opportunities for our restraint product offering and training services within the law enforcement, military and homeland security business sectors domestically and internationally. Social trends demanding more compassionate and safe policing practices are expected to continue to drive our global business. We are pursuing large business prospects internationally and also pursuing business with large police agencies in the U.S. It is difficult to anticipate how long it will take to close these opportunities, or if they will ultimately come to fruition especially given the uncertainty of COVID-19 and social unrest, as discussed below.</w:t>
      </w:r>
    </w:p>
    <w:p>
      <w:pPr>
        <w:spacing w:after="0" w:line="18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To support our increased sales and distribution activities we have developed and offer robust training and class materials that certify law enforcement officers and trainers as BolaWrap instructors in the use and limitations of the BolaWrap in conjunction with modern policing tactics for de-escalation of encounters. We believe that law enforcement trainers and officers that have seen demonstrations or have been trained about our products are more supportive of their department’s purchase and deployment of product. As of March 31, 2022, over 1,040 agencies have received BolaWrap training with over 3,200 training officers at those agencies certified as BolaWrap instructors and qualified to train the rest of their departments. This represents a 68% increase in agencies and a 63% increase in training officers compared to March 31, 2021.</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With the acquisition of NSENA in December 2020, and the rebranding of the NSENA business as Wrap Reality, we have continued to market our virtual reality system while working to integrate previous scenarios into a robust platform, employing BolaWrap and additional de-escalation techniques into new Wrap Reality scenarios. In August 2021, we announced the development of a new expanded Wrap Reality Virtual Training platform powered by, and developed through, a collaboration with AWS using AWS GovCloud (US). The new platform combines our advanced law enforcement simulator with secure cloud services to automatically track training progress and provide the ability to replay recorded training sessions. We plan to increase marketing activities for our virtual reality solution as our platform enhancements are introduced to market.</w:t>
      </w:r>
    </w:p>
    <w:p>
      <w:pPr>
        <w:spacing w:after="0" w:line="17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At March 31, 2022, we had backlog of approximately $505 thousand expected to be delivered in the next twelve months. We had deferred revenue of $282 thousand expected to be recognized generally over the next five years. Distributor and customer orders for future deliveries are generally subject to modification, rescheduling or in some instances, cancellation, in the normal course of business.</w:t>
      </w:r>
    </w:p>
    <w:p>
      <w:pPr>
        <w:spacing w:after="0" w:line="18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Since inception in March 2016, we have generated significant losses from operations and anticipate that we will continue to generate significant losses from operations for the foreseeable future. We believe that we have adequate financial resources to sustain our operations for the next year.</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that we will need to continue to innovate new applications for our public safety technology, develop new products and technologies to meet diverse customer requirements and identify and develop new markets for our products.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experienced recent changes in management. Changes in management and other key personnel have the potential to disrupt our business, and any such disruption could adversely affect our operations, programs, growth, financial condition or results of operations. In addition, new members of management may have different perspectives regarding product development and opportunities for our business, which may cause us to focus on new business opportunities or reduce or change emphasis on our existing products and business.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Social Unrest and Geopolitical Events on our Business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December 2019</w:t>
      </w:r>
      <w:r>
        <w:rPr>
          <w:rFonts w:ascii="Arial" w:cs="Arial" w:eastAsia="Arial" w:hAnsi="Arial"/>
          <w:sz w:val="17"/>
          <w:szCs w:val="17"/>
          <w:i w:val="1"/>
          <w:iCs w:val="1"/>
          <w:color w:val="auto"/>
        </w:rPr>
        <w:t>,</w:t>
      </w:r>
      <w:r>
        <w:rPr>
          <w:rFonts w:ascii="Arial" w:cs="Arial" w:eastAsia="Arial" w:hAnsi="Arial"/>
          <w:sz w:val="17"/>
          <w:szCs w:val="17"/>
          <w:color w:val="auto"/>
        </w:rPr>
        <w:t xml:space="preserve"> a novel strain of coronavirus </w:t>
      </w:r>
      <w:r>
        <w:rPr>
          <w:rFonts w:ascii="Arial" w:cs="Arial" w:eastAsia="Arial" w:hAnsi="Arial"/>
          <w:sz w:val="17"/>
          <w:szCs w:val="17"/>
          <w:i w:val="1"/>
          <w:iCs w:val="1"/>
          <w:color w:val="auto"/>
        </w:rPr>
        <w:t>(</w:t>
      </w:r>
      <w:r>
        <w:rPr>
          <w:rFonts w:ascii="Arial" w:cs="Arial" w:eastAsia="Arial" w:hAnsi="Arial"/>
          <w:sz w:val="17"/>
          <w:szCs w:val="17"/>
          <w:color w:val="auto"/>
        </w:rPr>
        <w:t>“</w:t>
      </w:r>
      <w:r>
        <w:rPr>
          <w:rFonts w:ascii="Arial" w:cs="Arial" w:eastAsia="Arial" w:hAnsi="Arial"/>
          <w:sz w:val="17"/>
          <w:szCs w:val="17"/>
          <w:i w:val="1"/>
          <w:iCs w:val="1"/>
          <w:color w:val="auto"/>
        </w:rPr>
        <w:t>COVID-19</w:t>
      </w:r>
      <w:r>
        <w:rPr>
          <w:rFonts w:ascii="Arial" w:cs="Arial" w:eastAsia="Arial" w:hAnsi="Arial"/>
          <w:sz w:val="17"/>
          <w:szCs w:val="17"/>
          <w:color w:val="auto"/>
        </w:rPr>
        <w:t>”) emerged in China. In March 2020</w:t>
      </w:r>
      <w:r>
        <w:rPr>
          <w:rFonts w:ascii="Arial" w:cs="Arial" w:eastAsia="Arial" w:hAnsi="Arial"/>
          <w:sz w:val="17"/>
          <w:szCs w:val="17"/>
          <w:i w:val="1"/>
          <w:iCs w:val="1"/>
          <w:color w:val="auto"/>
        </w:rPr>
        <w:t>,</w:t>
      </w:r>
      <w:r>
        <w:rPr>
          <w:rFonts w:ascii="Arial" w:cs="Arial" w:eastAsia="Arial" w:hAnsi="Arial"/>
          <w:sz w:val="17"/>
          <w:szCs w:val="17"/>
          <w:color w:val="auto"/>
        </w:rPr>
        <w:t xml:space="preserve"> the World Health Organization declared the outbreak as a pandemic. The extent to which the coronavirus impacts our operations will continue to depend on future developments, which are highly uncertain and cannot be predicted with confidence, including the duration of the outbreak, new information which may emerge concerning the severity of the coronavirus and the actions to contain the coronavirus or treat its impact, among others. In particular, the continued spread of the coronavirus globally and emergence of new strains could adversely impact our operations, including our manufacturing, logistics and supply chain. Our operations could be negatively affected if employees are quarantined as the result of exposure to a contagious illness. Similarly, travel restrictions resulting from the rapid spread of contagious illnesses </w:t>
      </w:r>
      <w:r>
        <w:rPr>
          <w:rFonts w:ascii="Arial" w:cs="Arial" w:eastAsia="Arial" w:hAnsi="Arial"/>
          <w:sz w:val="17"/>
          <w:szCs w:val="17"/>
          <w:i w:val="1"/>
          <w:iCs w:val="1"/>
          <w:color w:val="auto"/>
        </w:rPr>
        <w:t>may</w:t>
      </w:r>
      <w:r>
        <w:rPr>
          <w:rFonts w:ascii="Arial" w:cs="Arial" w:eastAsia="Arial" w:hAnsi="Arial"/>
          <w:sz w:val="17"/>
          <w:szCs w:val="17"/>
          <w:color w:val="auto"/>
        </w:rPr>
        <w:t xml:space="preserve"> have a material adverse effect on our business and results of operations.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also may be adversely affected by continued social unrest, protests against police and movements such as “Defund the Police”. These events have directly or indirectly affected police agency budgets and funding available to current and potential customers. Participants in these events may also attempt to create the perception that our solutions are contributing to the perceived problems or ineffective as a solution, which may adversely affect us, our business and results of operations, including our revenues, earnings and cash flows from operations.</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 may be impacted by global economic conditions, which have been in recent years, and continue to be, volatile. Geopolitical conflict, such as the recent conflict in Ukraine, and related international economic sanctions and their impact may exacerbate this volatility. Specifically, our revenues and gross margins depend significantly on global economic conditions and the demand by foreign governments and agencies for the BolaWrap in many of our target markets.</w:t>
      </w:r>
    </w:p>
    <w:p>
      <w:pPr>
        <w:spacing w:after="0" w:line="18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It is currently not possible to predict the magnitude or duration of the COVID-19 pandemic’s impact on our business and supply chain or the future impact of the recent, ongoing and possible future social unrest nor the impact of global economic conditions. The extent to which these events impact our business will depend on numerous evolving factors that we may not be able to control or accurately predict, including without limitation:</w:t>
      </w:r>
    </w:p>
    <w:p>
      <w:pPr>
        <w:spacing w:after="0" w:line="16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duration and scope of the challenges created by the COVID-19 pandemic or by ongoing social unrest;</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governmental, business and individuals’ actions that have been and continue to be taken in response to these events;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the COVID-19 pandemic and social unrest on economic activity and actions taken in response;</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effect on our customers and demand for our products and services;</w:t>
      </w:r>
    </w:p>
    <w:p>
      <w:pPr>
        <w:spacing w:after="0" w:line="36" w:lineRule="exact"/>
        <w:rPr>
          <w:rFonts w:ascii="Arial" w:cs="Arial" w:eastAsia="Arial" w:hAnsi="Arial"/>
          <w:sz w:val="18"/>
          <w:szCs w:val="18"/>
          <w:color w:val="auto"/>
        </w:rPr>
      </w:pPr>
    </w:p>
    <w:p>
      <w:pPr>
        <w:ind w:left="660" w:hanging="328"/>
        <w:spacing w:after="0" w:line="258"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continue to sell and deliver our products and services, including as a result of travel restrictions, logistic and supply chain challenges, people working from home, or restrictions on access to our potential customers;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ability of our customers to pay for our products and services;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any closures of our facilities and the facilities of our customers and suppliers; and</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degree to which our employees or those of our customers or suppliers become ill with COVID-19.</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preparation of financial statements in accordance with accounting principles generally accepted in the United States (“</w:t>
      </w:r>
      <w:r>
        <w:rPr>
          <w:rFonts w:ascii="Arial" w:cs="Arial" w:eastAsia="Arial" w:hAnsi="Arial"/>
          <w:sz w:val="17"/>
          <w:szCs w:val="17"/>
          <w:i w:val="1"/>
          <w:iCs w:val="1"/>
          <w:color w:val="auto"/>
        </w:rPr>
        <w:t>U.S. GAAP</w:t>
      </w:r>
      <w:r>
        <w:rPr>
          <w:rFonts w:ascii="Arial" w:cs="Arial" w:eastAsia="Arial" w:hAnsi="Arial"/>
          <w:sz w:val="17"/>
          <w:szCs w:val="17"/>
          <w:color w:val="auto"/>
        </w:rPr>
        <w:t>”) requires us to make estimates and judgments that affect the reported amounts of assets, liabilities, revenue and expense, and related disclosure of contingent assets and liabilities. We evaluate our estimates, on an on-going basis, including those estimates related to recognition and measurement of contingencies and accrued expense. We base our estimates on historical experience and on various other assumptions we believe to be reasonable under the circumstances. Actual results may differ from these estimates under different assumptions or conditions.</w:t>
      </w:r>
    </w:p>
    <w:p>
      <w:pPr>
        <w:spacing w:after="0" w:line="17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As part of the process of preparing our financial statements, we are required to estimate our provision for income taxes. Significant management judgment is required in determining our provision for income taxes, deferred tax assets and liabilities, tax contingencies, unrecognized tax benefits, and any required valuation allowance, including taking into consideration the probability of the tax contingencies being incurred. Management assesses this probability based upon information provided by its tax advisers, its legal advisers and similar tax cases. If later our assessment of the probability of these tax contingencies changes, our accrual for such tax uncertainties may increase or decrease. Our effective tax rate for annual and interim reporting periods could be impacted if uncertain tax positions that are not recognized are settled at an amount which differs from our estimates.</w:t>
      </w:r>
    </w:p>
    <w:p>
      <w:pPr>
        <w:spacing w:after="0" w:line="16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Some of our accounting policies require higher degrees of judgment than others in their application. These include share-based compensation and contingencies and areas such as revenue recognition, allowance for doubtful accounts, valuation of inventory and intangible assets, estimates of product line exit costs, warranty liabilities and impairments.</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Revenue Recognition</w:t>
      </w:r>
      <w:r>
        <w:rPr>
          <w:rFonts w:ascii="Arial" w:cs="Arial" w:eastAsia="Arial" w:hAnsi="Arial"/>
          <w:sz w:val="17"/>
          <w:szCs w:val="17"/>
          <w:color w:val="auto"/>
        </w:rPr>
        <w:t>. We sell our products to customers including law enforcement agencies, domestic distributors and international distributors and</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from such transactions is recognized in the periods that products are shipped (free on board (“</w:t>
      </w:r>
      <w:r>
        <w:rPr>
          <w:rFonts w:ascii="Arial" w:cs="Arial" w:eastAsia="Arial" w:hAnsi="Arial"/>
          <w:sz w:val="17"/>
          <w:szCs w:val="17"/>
          <w:i w:val="1"/>
          <w:iCs w:val="1"/>
          <w:color w:val="auto"/>
        </w:rPr>
        <w:t>FOB</w:t>
      </w:r>
      <w:r>
        <w:rPr>
          <w:rFonts w:ascii="Arial" w:cs="Arial" w:eastAsia="Arial" w:hAnsi="Arial"/>
          <w:sz w:val="17"/>
          <w:szCs w:val="17"/>
          <w:color w:val="auto"/>
        </w:rPr>
        <w:t>”) shipping point) or received by customers (FOB destination), when the fee is fixed or determinable and when collection of resulting receivables is reasonably assured. We identify customer performance obligations, determine the transaction price, allocate the transaction price to the performance obligations and recognize revenue as we satisfy the performance obligations. Our primary performance obligations are products/accessories and virtual reality software licensing or sale. Our customers do not have the right to return product unless the product is found to be defective.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Share-Based Compensation. </w:t>
      </w:r>
      <w:r>
        <w:rPr>
          <w:rFonts w:ascii="Arial" w:cs="Arial" w:eastAsia="Arial" w:hAnsi="Arial"/>
          <w:sz w:val="16"/>
          <w:szCs w:val="16"/>
          <w:color w:val="auto"/>
        </w:rPr>
        <w:t>We follow the fair value recognition provisions issued by the Financial Accounting Standards Board (“</w:t>
      </w:r>
      <w:r>
        <w:rPr>
          <w:rFonts w:ascii="Arial" w:cs="Arial" w:eastAsia="Arial" w:hAnsi="Arial"/>
          <w:sz w:val="16"/>
          <w:szCs w:val="16"/>
          <w:i w:val="1"/>
          <w:iCs w:val="1"/>
          <w:color w:val="auto"/>
        </w:rPr>
        <w:t>FASB</w:t>
      </w:r>
      <w:r>
        <w:rPr>
          <w:rFonts w:ascii="Arial" w:cs="Arial" w:eastAsia="Arial" w:hAnsi="Arial"/>
          <w:sz w:val="16"/>
          <w:szCs w:val="16"/>
          <w:color w:val="auto"/>
        </w:rPr>
        <w:t>”) in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Standards Codification (“</w:t>
      </w:r>
      <w:r>
        <w:rPr>
          <w:rFonts w:ascii="Arial" w:cs="Arial" w:eastAsia="Arial" w:hAnsi="Arial"/>
          <w:sz w:val="16"/>
          <w:szCs w:val="16"/>
          <w:i w:val="1"/>
          <w:iCs w:val="1"/>
          <w:color w:val="auto"/>
        </w:rPr>
        <w:t>ASC</w:t>
      </w:r>
      <w:r>
        <w:rPr>
          <w:rFonts w:ascii="Arial" w:cs="Arial" w:eastAsia="Arial" w:hAnsi="Arial"/>
          <w:sz w:val="16"/>
          <w:szCs w:val="16"/>
          <w:color w:val="auto"/>
        </w:rPr>
        <w:t>”) Topic 718, Stock Compensation (“</w:t>
      </w:r>
      <w:r>
        <w:rPr>
          <w:rFonts w:ascii="Arial" w:cs="Arial" w:eastAsia="Arial" w:hAnsi="Arial"/>
          <w:sz w:val="16"/>
          <w:szCs w:val="16"/>
          <w:i w:val="1"/>
          <w:iCs w:val="1"/>
          <w:color w:val="auto"/>
        </w:rPr>
        <w:t>ASC 718</w:t>
      </w:r>
      <w:r>
        <w:rPr>
          <w:rFonts w:ascii="Arial" w:cs="Arial" w:eastAsia="Arial" w:hAnsi="Arial"/>
          <w:sz w:val="16"/>
          <w:szCs w:val="16"/>
          <w:color w:val="auto"/>
        </w:rPr>
        <w:t>”) and we adopted Accounting Standards Update (“</w:t>
      </w:r>
      <w:r>
        <w:rPr>
          <w:rFonts w:ascii="Arial" w:cs="Arial" w:eastAsia="Arial" w:hAnsi="Arial"/>
          <w:sz w:val="16"/>
          <w:szCs w:val="16"/>
          <w:i w:val="1"/>
          <w:iCs w:val="1"/>
          <w:color w:val="auto"/>
        </w:rPr>
        <w:t>ASU</w:t>
      </w:r>
      <w:r>
        <w:rPr>
          <w:rFonts w:ascii="Arial" w:cs="Arial" w:eastAsia="Arial" w:hAnsi="Arial"/>
          <w:sz w:val="16"/>
          <w:szCs w:val="16"/>
          <w:color w:val="auto"/>
        </w:rPr>
        <w:t xml:space="preserve">”) 2018-07 for share-based transactions with non-employees. Share-based compensation expense recognized includes stock option and restricted stock unit compensation expense. The grant date fair value of stock options is determined using the Black-Scholes option-pricing model. The grant date is the date at which an employer and employee or non-employee reach a mutual understanding of the key terms and conditions of a share-based payment award. The Black-Scholes option-pricing model requires inputs including the market price of the Company’s common stock, par value $0.0001 per share </w:t>
      </w:r>
      <w:r>
        <w:rPr>
          <w:rFonts w:ascii="Arial" w:cs="Arial" w:eastAsia="Arial" w:hAnsi="Arial"/>
          <w:sz w:val="16"/>
          <w:szCs w:val="16"/>
          <w:i w:val="1"/>
          <w:iCs w:val="1"/>
          <w:color w:val="auto"/>
        </w:rPr>
        <w:t>(</w:t>
      </w:r>
      <w:r>
        <w:rPr>
          <w:rFonts w:ascii="Arial" w:cs="Arial" w:eastAsia="Arial" w:hAnsi="Arial"/>
          <w:sz w:val="16"/>
          <w:szCs w:val="16"/>
          <w:color w:val="auto"/>
        </w:rPr>
        <w:t>“</w:t>
      </w:r>
      <w:r>
        <w:rPr>
          <w:rFonts w:ascii="Arial" w:cs="Arial" w:eastAsia="Arial" w:hAnsi="Arial"/>
          <w:sz w:val="16"/>
          <w:szCs w:val="16"/>
          <w:i w:val="1"/>
          <w:iCs w:val="1"/>
          <w:color w:val="auto"/>
        </w:rPr>
        <w:t>Common Stock</w:t>
      </w:r>
      <w:r>
        <w:rPr>
          <w:rFonts w:ascii="Arial" w:cs="Arial" w:eastAsia="Arial" w:hAnsi="Arial"/>
          <w:sz w:val="16"/>
          <w:szCs w:val="16"/>
          <w:color w:val="auto"/>
        </w:rPr>
        <w:t>”), on the date of grant, the term that the stock options are expected to be outstanding, the implied stock volatilities of several publicly traded peers over the expected term of stock options, risk-free interest rate and expected dividend. Each of these inputs is subjective and generally requires significant judgment to determine. The grant date fair value of restricted stock units is based upon the market price of the Company’s Common Stock on the date of the grant. We determine the amount of share-based compensation expense based on awards that we ultimately expect to vest and account for forfeitures as they occur. The fair value of share-based compensation is amortized to compensation expense over the vesting term.</w:t>
      </w:r>
    </w:p>
    <w:p>
      <w:pPr>
        <w:spacing w:after="0" w:line="17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Allowance for Doubtful Accounts. </w:t>
      </w:r>
      <w:r>
        <w:rPr>
          <w:rFonts w:ascii="Arial" w:cs="Arial" w:eastAsia="Arial" w:hAnsi="Arial"/>
          <w:sz w:val="18"/>
          <w:szCs w:val="18"/>
          <w:color w:val="auto"/>
        </w:rPr>
        <w:t>Our products are sold to customers in many different markets and geographic locations. We estimate our bad debt</w:t>
      </w:r>
      <w:r>
        <w:rPr>
          <w:rFonts w:ascii="Arial" w:cs="Arial" w:eastAsia="Arial" w:hAnsi="Arial"/>
          <w:sz w:val="18"/>
          <w:szCs w:val="18"/>
          <w:i w:val="1"/>
          <w:iCs w:val="1"/>
          <w:color w:val="auto"/>
        </w:rPr>
        <w:t xml:space="preserve"> </w:t>
      </w:r>
      <w:r>
        <w:rPr>
          <w:rFonts w:ascii="Arial" w:cs="Arial" w:eastAsia="Arial" w:hAnsi="Arial"/>
          <w:sz w:val="18"/>
          <w:szCs w:val="18"/>
          <w:color w:val="auto"/>
        </w:rPr>
        <w:t>reserve on a case-by-case basis and the aging of accounts due to a limited number of customers mostly government agencies or well-established distributors. We base these estimates on many factors including customer credit worthiness, past transaction history with the customer, current economic industry trends and changes in customer payment terms. Our judgments and estimates regarding collectability of accounts receivable have an impact on our financial statements.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Valuation of Inventory</w:t>
      </w:r>
      <w:r>
        <w:rPr>
          <w:rFonts w:ascii="Arial" w:cs="Arial" w:eastAsia="Arial" w:hAnsi="Arial"/>
          <w:sz w:val="18"/>
          <w:szCs w:val="18"/>
          <w:color w:val="auto"/>
        </w:rPr>
        <w:t>. Our inventory is comprised of raw materials, assemblies and finished products. We must periodically make judgments and estimates</w:t>
      </w:r>
      <w:r>
        <w:rPr>
          <w:rFonts w:ascii="Arial" w:cs="Arial" w:eastAsia="Arial" w:hAnsi="Arial"/>
          <w:sz w:val="18"/>
          <w:szCs w:val="18"/>
          <w:i w:val="1"/>
          <w:iCs w:val="1"/>
          <w:color w:val="auto"/>
        </w:rPr>
        <w:t xml:space="preserve"> </w:t>
      </w:r>
      <w:r>
        <w:rPr>
          <w:rFonts w:ascii="Arial" w:cs="Arial" w:eastAsia="Arial" w:hAnsi="Arial"/>
          <w:sz w:val="18"/>
          <w:szCs w:val="18"/>
          <w:color w:val="auto"/>
        </w:rPr>
        <w:t>regarding the future utility and carrying value of our inventory. The carrying value of our inventory is periodically reviewed and impairments, if any, are recognized when the expected future benefit from our inventory is less than carrying value.</w:t>
      </w:r>
    </w:p>
    <w:p>
      <w:pPr>
        <w:spacing w:after="0" w:line="18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Valuation of Intangible Assets. </w:t>
      </w:r>
      <w:r>
        <w:rPr>
          <w:rFonts w:ascii="Arial" w:cs="Arial" w:eastAsia="Arial" w:hAnsi="Arial"/>
          <w:sz w:val="17"/>
          <w:szCs w:val="17"/>
          <w:color w:val="auto"/>
        </w:rPr>
        <w:t>Intangible assets consisted of (a) capitalized legal fees and filing expense related to obtaining patents and trademarks, (b)</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 agreements, tradenames, software, non-solicitation and non-compete agreements acquired in business combinations and valued at fair value at the acquisition date, and (c) the purchase cost of indefinite-lived website domains. We must make judgments and estimates regarding the future utility and carrying value of intangible assets. The carrying values of such assets are periodically reviewed and impairments, if any, are recognized when the expected future benefit to be derived from an individual intangible asset is less than carrying value. This generally could occur when certain assets are no longer consistent with our business strategy and whose expected future value has decreased.</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Accrued Expense. </w:t>
      </w:r>
      <w:r>
        <w:rPr>
          <w:rFonts w:ascii="Arial" w:cs="Arial" w:eastAsia="Arial" w:hAnsi="Arial"/>
          <w:sz w:val="18"/>
          <w:szCs w:val="18"/>
          <w:color w:val="auto"/>
        </w:rPr>
        <w:t>We establish a warranty reserve based on anticipated warranty claims at the time product revenue is recognized. This reserve requires us</w:t>
      </w:r>
      <w:r>
        <w:rPr>
          <w:rFonts w:ascii="Arial" w:cs="Arial" w:eastAsia="Arial" w:hAnsi="Arial"/>
          <w:sz w:val="18"/>
          <w:szCs w:val="18"/>
          <w:i w:val="1"/>
          <w:iCs w:val="1"/>
          <w:color w:val="auto"/>
        </w:rPr>
        <w:t xml:space="preserve"> </w:t>
      </w:r>
      <w:r>
        <w:rPr>
          <w:rFonts w:ascii="Arial" w:cs="Arial" w:eastAsia="Arial" w:hAnsi="Arial"/>
          <w:sz w:val="18"/>
          <w:szCs w:val="18"/>
          <w:color w:val="auto"/>
        </w:rPr>
        <w:t>to make estimates regarding the amount and costs of warranty repairs we expect to make over a period of time. Factors affecting warranty reserve levels include the number of units sold, anticipated cost of warranty repairs, and anticipated rates of warranty claims. We have very limited history to make such estimates and warranty estimates have an impact on our financial statements. Warranty expense is recorded in cost of revenues. We evaluate the adequacy of this reserve each reporting period.</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use the recognition criteria of ASC 450-20, “Loss Contingencies” to estimate the amount of bonuses when it becomes probable a bonus liability will be incurred and we recognize expense ratably over the service period. We accrue bonus expense each quarter based on estimated year-end results, and then adjust the actual in the fourth quarter based on our final results compared to targets.</w:t>
      </w:r>
    </w:p>
    <w:p>
      <w:pPr>
        <w:spacing w:after="0" w:line="18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Historically, our assumptions, judgments and estimates relative to our critical accounting policies have not differed materially from actual results. Other than the planned production change requiring a new estimate of exit expense, there were no significant changes or modification of our critical accounting policies and estimates involving management valuation adjustments affecting our results for the period ended March 31, 2022.</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and Related Information</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operates as a single segment. The Company’s chief operating decision maker is its Chief Executive Officer, who manages operations for purposes of allocating resources. Refer to Note 13, Major Customers and Related Information, in our financial statements for further discussion.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Expenses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Our operating expenses include (i) selling, general and administrative expense, (ii) research and development expense, and in the most recent fiscal quarter,</w:t>
      </w:r>
    </w:p>
    <w:p>
      <w:pPr>
        <w:spacing w:after="0" w:line="46" w:lineRule="exact"/>
        <w:rPr>
          <w:sz w:val="20"/>
          <w:szCs w:val="20"/>
          <w:color w:val="auto"/>
        </w:rPr>
      </w:pPr>
    </w:p>
    <w:p>
      <w:pPr>
        <w:jc w:val="both"/>
        <w:ind w:firstLine="8"/>
        <w:spacing w:after="0" w:line="252" w:lineRule="auto"/>
        <w:tabs>
          <w:tab w:leader="none" w:pos="316"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line exit expense. Research and development expense is comprised of the costs incurred in performing research and development activities and developing production on our behalf, including compensation and consulting, design and prototype costs, contract services, patent costs and other outside expense. The scope and magnitude of our future research and development expense is difficult to predict at this time and will depend on elections made regarding research projects, staffing levels and outside consulting and contract costs. The future level of selling, general and administrative expense will be dependent on staffing levels, elections regarding expenditures on sales, marketing and customer training, the use of outside resources, public company and regulatory expense, and other factors, some of which are outside of our control. We do not expect any significant further material restructuring and other costs.</w:t>
      </w:r>
    </w:p>
    <w:p>
      <w:pPr>
        <w:spacing w:after="0" w:line="19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expect our operating costs, excluding restructuring and other costs, will increase as we expand product distribution activities and expand our research and development, production, distribution, training, service and administrative functions in the near term. We may also incur substantial non-cash share-based compensation costs depending on future option and restricted stock unit grants that are impacted by stock prices and other valuation factors. Historical expenditures are not indicative of future expenditures.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March 31, 2022 Compared to Three Months Ended March 31, 2021</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for the periods indicated certain items of our condensed consolidated statement of operations. The financial information and the discussion below should be read in conjunction with the financial statements and notes contained in this Report.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6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w w:val="93"/>
              </w:rPr>
              <w:t>Three Months Ended March</w:t>
            </w: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9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31,</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ind w:left="580"/>
              <w:spacing w:after="0"/>
              <w:rPr>
                <w:sz w:val="20"/>
                <w:szCs w:val="20"/>
                <w:color w:val="auto"/>
              </w:rPr>
            </w:pPr>
            <w:r>
              <w:rPr>
                <w:rFonts w:ascii="Arial" w:cs="Arial" w:eastAsia="Arial" w:hAnsi="Arial"/>
                <w:sz w:val="18"/>
                <w:szCs w:val="18"/>
                <w:b w:val="1"/>
                <w:bCs w:val="1"/>
                <w:color w:val="auto"/>
              </w:rPr>
              <w:t>Change</w:t>
            </w:r>
          </w:p>
        </w:tc>
        <w:tc>
          <w:tcPr>
            <w:tcW w:w="7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980" w:type="dxa"/>
            <w:vAlign w:val="bottom"/>
            <w:vMerge w:val="restart"/>
          </w:tcPr>
          <w:p>
            <w:pPr>
              <w:spacing w:after="0"/>
              <w:rPr>
                <w:sz w:val="20"/>
                <w:szCs w:val="20"/>
                <w:color w:val="auto"/>
              </w:rPr>
            </w:pPr>
            <w:r>
              <w:rPr>
                <w:rFonts w:ascii="Arial" w:cs="Arial" w:eastAsia="Arial" w:hAnsi="Arial"/>
                <w:sz w:val="18"/>
                <w:szCs w:val="18"/>
                <w:b w:val="1"/>
                <w:bCs w:val="1"/>
                <w:color w:val="auto"/>
              </w:rPr>
              <w:t>Revenues:</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Product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1,462</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1,427</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Other revenue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137</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115</w:t>
            </w:r>
          </w:p>
        </w:tc>
        <w:tc>
          <w:tcPr>
            <w:tcW w:w="3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1,599</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1,542</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57</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Cost of revenues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932</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937</w:t>
            </w:r>
          </w:p>
        </w:tc>
        <w:tc>
          <w:tcPr>
            <w:tcW w:w="3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667</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605</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4,606</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4,978</w:t>
            </w:r>
          </w:p>
        </w:tc>
        <w:tc>
          <w:tcPr>
            <w:tcW w:w="34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(372)</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1,495</w:t>
            </w:r>
          </w:p>
        </w:tc>
        <w:tc>
          <w:tcPr>
            <w:tcW w:w="2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1,065</w:t>
            </w:r>
          </w:p>
        </w:tc>
        <w:tc>
          <w:tcPr>
            <w:tcW w:w="3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430</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6,101</w:t>
            </w:r>
          </w:p>
        </w:tc>
        <w:tc>
          <w:tcPr>
            <w:tcW w:w="24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6,043</w:t>
            </w:r>
          </w:p>
        </w:tc>
        <w:tc>
          <w:tcPr>
            <w:tcW w:w="3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58</w:t>
            </w:r>
          </w:p>
        </w:tc>
        <w:tc>
          <w:tcPr>
            <w:tcW w:w="32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59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(5,434)</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(5,438)</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w:t>
            </w:r>
          </w:p>
        </w:tc>
        <w:tc>
          <w:tcPr>
            <w:tcW w:w="3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
        </w:trPr>
        <w:tc>
          <w:tcPr>
            <w:tcW w:w="59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reported net revenue of $1.6 million for the three months ended March 31, 2022, as compared to $1.5 million for the quarter ended March 31, 2021, a 4% increase over the prior year. We believe our sales during the first quarter of 2022 were negatively impacted by the transition to the BolaWrap 150 product and effects of limited ability to demonstrate and train in 2021 due to the COVID-19 pandemic, especially internationally. We also incurred discounts of $388 thousand during the three months ended March 31, 2022, as a result of promotional programs designed to encourage customers to upgrade to the BolaWrap 150. Gross sales were $1.99 million for the three months ended March 31, 2022, before such discounts. The discounts compares to normal business discounts of $4 thousand in the comparable quarter of the prior year. We expect such discounts to continue in the second quarter but thereafter decline to the norm of minimal discounts as we phase out our promotional upgrade offers.</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incurred product promotional costs of $215 thousand during the three months ended March 31, 2022, related primarily to the cost of demonstration and training products and accessories delivered to law enforcement agencies that were expensed as marketing costs. A total of $298 thousand of such product promotional costs were incurred during the three months ended March 31, 2021. We are responding to increased demand for training as a result of expanded product and brand awareness and increased successful field use by agencies but due to awareness expect reductions in product promotional costs from the prior year.</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We had $282 thousand of deferred revenue at March 31, 2022, of which $170 thousand related to virtual reality training and $112 thousand related to BolaWrap extended warranties and services.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2022, we had backlog of $505 thousand expected to be delivered in the next twelve months. Distributor and customer orders for future deliveries are generally subject to modification, rescheduling or in some instance’s cancellation in the normal course of business.</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impact of the COVID-19 pandemic and geopolitical conflicts, including the recent war in Ukraine, has created much uncertainty in the global marketplace, with the COVID-19 pandemic continuing to restrict our ability to travel internationally and, to a more limited extent, domestically. These conditions are expected to continue at least through mid 2022. We are therefore unable to predict at this time whether our sales will continue to increase during fiscal year ending December 31, 2022. Although no assurances can be given, we do believe, however, that the challenges to substantially increasing sales caused by COVID-19 will abate as the pandemic wanes, especially given the number of BolaWrap trials currently ongoing and the current environment where non-lethal options are being widely considered by law enforcement domestically and internationally. As a result, we believe that revenue during the fiscal year 2022 will increase compared to the revenue recorded during 2021, although no assurances can be given.</w:t>
      </w:r>
    </w:p>
    <w:p>
      <w:pPr>
        <w:spacing w:after="0" w:line="166"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experienced recent changes in management. Changes in management and other key personnel have the potential to disrupt our business, and any such disruption could adversely affect our revenue growth in future periods, especially in the near term as we execute our Management Transition plan.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Gross Profit</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cost of revenue for the three months ended March 31, 2022, was $932 thousand resulting in a gross margin of 42%. The gross margin for the three months ended March 31, 2021, was 39%. The most recent period gross margin was impacted by the promotional discounts discussed above and is expected to improve in future quarters.</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Due to our limited history of revenue historical margins, however, may not be indicative of planned future margins. In late 2021 we began production of our new generation BolaWrap 150 product with different material inputs and manufacturing processes such that historical margins may not be indicative of future margins. We expect that the BolaWrap 150, after a startup period, will have higher margins than historical production. Our margins also vary based on the sales channels through which our products are sold and product mix. Currently, our cassettes have lower margins than BolaWrap devices. We implement product updates and revisions, including raw material and component changes that may impact product costs. With such product updates and revisions, we have limited warranty cost experience and estimated future warranty costs can impact our gross margins.</w:t>
      </w:r>
    </w:p>
    <w:p>
      <w:pPr>
        <w:spacing w:after="0" w:line="16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global supply chain has been subject to component shortages, increased lead times, cost fluctuations, and logistics constraints that have impacted our product costs. We expect these supply chain challenges to continue throughout 2022. Supplier shortages, quality issues and logistic delays affect our production schedules and could in turn have a material adverse effect on our financial condition, results of operation and cash flows.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Selling, General and Administrative Expense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Selling, general and administrative </w:t>
      </w:r>
      <w:r>
        <w:rPr>
          <w:rFonts w:ascii="Arial" w:cs="Arial" w:eastAsia="Arial" w:hAnsi="Arial"/>
          <w:sz w:val="18"/>
          <w:szCs w:val="18"/>
          <w:i w:val="1"/>
          <w:iCs w:val="1"/>
          <w:color w:val="auto"/>
        </w:rPr>
        <w:t>(</w:t>
      </w:r>
      <w:r>
        <w:rPr>
          <w:rFonts w:ascii="Arial" w:cs="Arial" w:eastAsia="Arial" w:hAnsi="Arial"/>
          <w:sz w:val="18"/>
          <w:szCs w:val="18"/>
          <w:color w:val="auto"/>
        </w:rPr>
        <w:t>“</w:t>
      </w:r>
      <w:r>
        <w:rPr>
          <w:rFonts w:ascii="Arial" w:cs="Arial" w:eastAsia="Arial" w:hAnsi="Arial"/>
          <w:sz w:val="18"/>
          <w:szCs w:val="18"/>
          <w:i w:val="1"/>
          <w:iCs w:val="1"/>
          <w:color w:val="auto"/>
        </w:rPr>
        <w:t>SG&amp;A</w:t>
      </w:r>
      <w:r>
        <w:rPr>
          <w:rFonts w:ascii="Arial" w:cs="Arial" w:eastAsia="Arial" w:hAnsi="Arial"/>
          <w:sz w:val="18"/>
          <w:szCs w:val="18"/>
          <w:color w:val="auto"/>
        </w:rPr>
        <w:t>”) expense for the three months ended March 31, 2022, decreased by $372 thousand when compared to the three months ended March 31, 2021.</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Share-based compensation increased $292 primarily as a result of termination and severance accelerations of $242 thousand incurred during the three months ended March 31, 2022.</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SG&amp;A compensation increases in the current period included a $300 thousand severance expense offset by cost containment efforts resulting in a net $110 thousand increase in cash compensation costs. A $112 thousand increase in legal fees primarily related to fees associated with management changes. SG&amp;A reductions included a $85 thousand decrease in product promotion costs. In the first quarter of 2021 we incurred $803 thousand of shareholder activism costs with no such costs in the most recent quarter. We expect expenditures for SG&amp;A expenses for the balance of 2022 to remain below the prior year due to active cost containment efforts.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 Expense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Research and development expense increased by $430 thousand for the three months ended March 31, 2022, compared to the comparable three-month period in fiscal 2021. We incurred a $122 thousand period over period decrease in non-cash share-based compensation expense allocated to research and development personnel. The increase in costs during the three months ended March 31, 2022, compared to the prior year included a $200 thousand increase in cash compensation costs resulting from an increase in headcount primarily associated with product development. Outside consulting costs increased by $88 thousand for the three months ended March 31, 2022, primarily due to costs related to finalizing development and testing of our next generation BolaWrap 150 product, initiatives to develop new products and increased development of virtual reality software. Prototype related costs for three months ended March 31, 2021, increased $199 thousand related to BolaWrap 150 startup. We expect our research and development costs to remain at comparable levels for the balance of 2022.</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Loss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Loss from operations during the three months ended March 31, 2022, of $5.4 million was comparable to that of the three months ended March 31, 2021.</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experienced net losses and negative cash flows from operations since our inception. As of March 31, 2022, we had cash and cash equivalents of $5 million, short-term investments of $25 million, positive working capital of $34 million and had sustained cumulative losses attributable to stockholders of $55 million. We believe that our cash on hand and short-term investments will sustain our operations for at least the next twelve months from the date of this Report.</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primary source of liquidity to date has been funding from our stockholders from the sale of equity securities and the exercise of derivative securities, consisting of options and warrants. We expect our primary source of future liquidity will be from the sale of products, exercise of stock options and warrants and if required from future equity or debt financings.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Capital Requirements</w:t>
      </w:r>
    </w:p>
    <w:p>
      <w:pPr>
        <w:spacing w:after="0" w:line="22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Due in part to the volatility caused by COVID-19, we do not have a high degree of confidence in our estimates for our future liquidity requirements or future capital needs, which will depend on, among other things, capital required to introduce new products and the operational staffing and support requirements, as well as the timing and amount of future revenue and product costs. We anticipate that demands for operating and working capital may grow depending on decisions on staffing, development, production, marketing, training and other functions and based on other factors outside of our control. We believe we have sufficient capital to sustain our operations for the next twelve months.</w:t>
      </w:r>
    </w:p>
    <w:p>
      <w:pPr>
        <w:spacing w:after="0" w:line="1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future capital requirements, cash flows and results of operations could be affected by, and will depend on, many factors, some of which are currently unknown to us, including, among other things:</w:t>
      </w:r>
    </w:p>
    <w:p>
      <w:pPr>
        <w:spacing w:after="0" w:line="170" w:lineRule="exact"/>
        <w:rPr>
          <w:sz w:val="20"/>
          <w:szCs w:val="20"/>
          <w:color w:val="auto"/>
        </w:rPr>
      </w:pPr>
    </w:p>
    <w:p>
      <w:pPr>
        <w:ind w:left="660" w:hanging="328"/>
        <w:spacing w:after="0" w:line="258"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impact and effects of the global outbreak of the COVID-19 pandemic, and other potential pandemics or contagious diseases or fear of such outbreaks;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Decisions regarding staffing, development, production, marketing and other functions;</w:t>
      </w:r>
    </w:p>
    <w:p>
      <w:pPr>
        <w:spacing w:after="0" w:line="2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timing and extent of market acceptance of our products;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timing and outcome of planned production and required customer and regulatory compliance of our products;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of preparing, filing and prosecuting our patent applications and defending any future intellectual property-related claims;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and timing of additional product development;</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Costs, timing and outcome of any future warranty claims or litigation against us associated with any of our products;</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Ability to collect accounts receivable; and</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Timing and costs associated with any new financing.</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Principal factors that could affect our ability to obtain cash from external sources including from exercise of outstanding warrants and options include:</w:t>
      </w:r>
    </w:p>
    <w:p>
      <w:pPr>
        <w:spacing w:after="0" w:line="23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Volatility in the capital markets; and</w:t>
      </w:r>
    </w:p>
    <w:p>
      <w:pPr>
        <w:spacing w:after="0" w:line="36"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Market price and trading volume of our Common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no off-balance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three months ended March 31, 2022, net cash used in operating activities was $4.85 million. The net loss of $5.43 million was decreased by non-cash expense of $1.16 million consisting primarily of share-based compensation expense of $1.03 million. Other major component changes using operating cash included an increase of $399 thousand in accounts receivable and an increase in inventories of $304 thousand.</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three months ended March 31, 2021, net cash used in operating activities was $4.4 million. The net loss of $5.43 million was decreased by non-cash expense of $1.08 million consisting primarily of share-based compensation expense of $859 thousand and shares issued for services of $100 thousand. Other major component changes using operating cash included an increase of $341 thousand in accounts receivable, an increase in inventories of $924 thousand, and a $136 thousand decrease in accrued liabilities. An increase of $1.2 million in accounts payable and an increase of $156 thousand in deferred revenue reduced the cash used in operating activities.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March 31, 2022, we used $4.85 million of cash to purchase short-term investments and we had proceeds from maturities of short-term investments of $10 million. During the three months ended March 31, 2021, we used $25 million of cash to purchase short-term investments and we had proceeds from maturities of short-term investments of $15 million.</w:t>
      </w:r>
    </w:p>
    <w:p>
      <w:pPr>
        <w:spacing w:after="0" w:line="18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used $81 thousand and $160 thousand of cash for the purchase of property and equipment during the three months ended March 31, 2022, and 2021, respectively. We invested $69 thousand and $56 thousand in patents during the three months ended March 31, 2022, and 2021, respectively.</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three months ended March 31, 2022, we received $75 thousand in proceeds from the exercise of previously issued stock options. During the three months ended March 31, 2021, we received $113 thousand in proceeds from the exercise of previously issued stock options and repaid $100 thousand in debt relating to the NSENA acquisition.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Pursuant to that certain exclusive Amended and Restated Intellectual Property License Agreement dated September 30, 2016, by and between the Company and Syzygy Licensing, LLC (“</w:t>
      </w:r>
      <w:r>
        <w:rPr>
          <w:rFonts w:ascii="Arial" w:cs="Arial" w:eastAsia="Arial" w:hAnsi="Arial"/>
          <w:sz w:val="18"/>
          <w:szCs w:val="18"/>
          <w:i w:val="1"/>
          <w:iCs w:val="1"/>
          <w:color w:val="auto"/>
        </w:rPr>
        <w:t>Syzygy</w:t>
      </w:r>
      <w:r>
        <w:rPr>
          <w:rFonts w:ascii="Arial" w:cs="Arial" w:eastAsia="Arial" w:hAnsi="Arial"/>
          <w:sz w:val="18"/>
          <w:szCs w:val="18"/>
          <w:color w:val="auto"/>
        </w:rPr>
        <w:t>”), we are obligated to pay to Syzygy a 4% royalty fee on future product sales up to an aggregate amount of $1.0 million in royalty payments or until September 30, 2026, whichever occurs earlier.</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committed to aggregate lease payments on our facility lease of $82 thousand in 2022, $121 thousand in 2023, $126 thousand in 2024, and $75 thousand in 2025.</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At March 31, 2022, the Company was committed for approximately $2.3 million for future component deliveries and contract services that are generally subject to modification or rescheduling in the normal course of business.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Inflation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do not believe that inflation has had a material impact on our business, revenue or operating results during the periods presented.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recent accounting pronouncements or changes in accounting pronouncements during the period ended March 31, 2022, or subsequently thereto, that we believe are of potential significance to our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required to maintain disclosure controls and procedures designed to ensure that material information related to us, including our consolidated subsidiaries, is recorded, processed, summarized and reported within the time periods specified in the SEC rules and forms.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Conclusion Regarding the Effectiveness of Disclosure Controls and Procedures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Under the supervision and with the participation of our management, including our principal executive officer and our principal financial officer, as of March 31, 2022, we conducted an evaluation of our disclosure controls and procedures as such term is defined under Rules 13a-15(e) and 15d-15(e) promulgated under the Securities Exchange Act of 1934, as amended (the “</w:t>
      </w:r>
      <w:r>
        <w:rPr>
          <w:rFonts w:ascii="Arial" w:cs="Arial" w:eastAsia="Arial" w:hAnsi="Arial"/>
          <w:sz w:val="17"/>
          <w:szCs w:val="17"/>
          <w:i w:val="1"/>
          <w:iCs w:val="1"/>
          <w:color w:val="auto"/>
        </w:rPr>
        <w:t>Exchange Act</w:t>
      </w:r>
      <w:r>
        <w:rPr>
          <w:rFonts w:ascii="Arial" w:cs="Arial" w:eastAsia="Arial" w:hAnsi="Arial"/>
          <w:sz w:val="17"/>
          <w:szCs w:val="17"/>
          <w:color w:val="auto"/>
        </w:rPr>
        <w:t>”). Based on this evaluation, our principal executive officer and our principal financial officer concluded that our disclosure controls and procedures were effective at the reasonable assurance level.</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Changes in Internal Control over Financial Reporting</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have been no changes in our internal control over financial reporting during our fiscal quarter ended March 31, 2022, that have materially affected, or are reasonably likely to materially affect, our internal control over financial reporting. Our process for evaluating controls and procedures is continuous and encompasses constant improvement of the design and effectiveness of established controls and procedures and the remediation of any deficiencies, which may be identified during this process.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 are subject to the risk that the controls may become inadequate because of changes in conditions, or that the degree of compliance with the policies or procedures may deteriorate.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Shareholder Derivative Litigation</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On November 13, 2020</w:t>
      </w:r>
      <w:r>
        <w:rPr>
          <w:rFonts w:ascii="Arial" w:cs="Arial" w:eastAsia="Arial" w:hAnsi="Arial"/>
          <w:sz w:val="16"/>
          <w:szCs w:val="16"/>
          <w:i w:val="1"/>
          <w:iCs w:val="1"/>
          <w:color w:val="auto"/>
        </w:rPr>
        <w:t>,</w:t>
      </w:r>
      <w:r>
        <w:rPr>
          <w:rFonts w:ascii="Arial" w:cs="Arial" w:eastAsia="Arial" w:hAnsi="Arial"/>
          <w:sz w:val="16"/>
          <w:szCs w:val="16"/>
          <w:color w:val="auto"/>
        </w:rPr>
        <w:t xml:space="preserve"> Naresh Rammohan filed a shareholder derivative action in the United States District Court for the Central District of California against current and former Company officers Tom Smith, James Barnes, Mike Rothans, Marc Thomas, and David Norris, as well as current and former Company directors Messrs. Scot Cohen, Patrick Kinsella, Michael Parris, and Wayne Walker, alleging unjust enrichment, breach of fiduciary duty, waste of corporate assets, and contribution claims under the Securities Exchange Act of 1934</w:t>
      </w:r>
      <w:r>
        <w:rPr>
          <w:rFonts w:ascii="Arial" w:cs="Arial" w:eastAsia="Arial" w:hAnsi="Arial"/>
          <w:sz w:val="16"/>
          <w:szCs w:val="16"/>
          <w:i w:val="1"/>
          <w:iCs w:val="1"/>
          <w:color w:val="auto"/>
        </w:rPr>
        <w:t>,</w:t>
      </w:r>
      <w:r>
        <w:rPr>
          <w:rFonts w:ascii="Arial" w:cs="Arial" w:eastAsia="Arial" w:hAnsi="Arial"/>
          <w:sz w:val="16"/>
          <w:szCs w:val="16"/>
          <w:color w:val="auto"/>
        </w:rPr>
        <w:t xml:space="preserve"> docketed as Case No. 2:20-cv-10444-DMG-PVCx. On January 20, 2021</w:t>
      </w:r>
      <w:r>
        <w:rPr>
          <w:rFonts w:ascii="Arial" w:cs="Arial" w:eastAsia="Arial" w:hAnsi="Arial"/>
          <w:sz w:val="16"/>
          <w:szCs w:val="16"/>
          <w:i w:val="1"/>
          <w:iCs w:val="1"/>
          <w:color w:val="auto"/>
        </w:rPr>
        <w:t>,</w:t>
      </w:r>
      <w:r>
        <w:rPr>
          <w:rFonts w:ascii="Arial" w:cs="Arial" w:eastAsia="Arial" w:hAnsi="Arial"/>
          <w:sz w:val="16"/>
          <w:szCs w:val="16"/>
          <w:color w:val="auto"/>
        </w:rPr>
        <w:t xml:space="preserve"> Ray Westerman filed a second derivative action in the same court against the same parties, alleging breach of fiduciary duty and contribution claims under the Securities Exchange Act of 1934</w:t>
      </w:r>
      <w:r>
        <w:rPr>
          <w:rFonts w:ascii="Arial" w:cs="Arial" w:eastAsia="Arial" w:hAnsi="Arial"/>
          <w:sz w:val="16"/>
          <w:szCs w:val="16"/>
          <w:i w:val="1"/>
          <w:iCs w:val="1"/>
          <w:color w:val="auto"/>
        </w:rPr>
        <w:t>,</w:t>
      </w:r>
      <w:r>
        <w:rPr>
          <w:rFonts w:ascii="Arial" w:cs="Arial" w:eastAsia="Arial" w:hAnsi="Arial"/>
          <w:sz w:val="16"/>
          <w:szCs w:val="16"/>
          <w:color w:val="auto"/>
        </w:rPr>
        <w:t xml:space="preserve"> docketed as Case No. 2:21-cv-00550-DMG-PVCx. On January 22, 2021</w:t>
      </w:r>
      <w:r>
        <w:rPr>
          <w:rFonts w:ascii="Arial" w:cs="Arial" w:eastAsia="Arial" w:hAnsi="Arial"/>
          <w:sz w:val="16"/>
          <w:szCs w:val="16"/>
          <w:i w:val="1"/>
          <w:iCs w:val="1"/>
          <w:color w:val="auto"/>
        </w:rPr>
        <w:t>,</w:t>
      </w:r>
      <w:r>
        <w:rPr>
          <w:rFonts w:ascii="Arial" w:cs="Arial" w:eastAsia="Arial" w:hAnsi="Arial"/>
          <w:sz w:val="16"/>
          <w:szCs w:val="16"/>
          <w:color w:val="auto"/>
        </w:rPr>
        <w:t xml:space="preserve"> Jesse Lowe filed a third derivative action in the same court against the same parties, alleging breach of fiduciary duty and asserting various claims under the Securities Exchange Act of 1934</w:t>
      </w:r>
      <w:r>
        <w:rPr>
          <w:rFonts w:ascii="Arial" w:cs="Arial" w:eastAsia="Arial" w:hAnsi="Arial"/>
          <w:sz w:val="16"/>
          <w:szCs w:val="16"/>
          <w:i w:val="1"/>
          <w:iCs w:val="1"/>
          <w:color w:val="auto"/>
        </w:rPr>
        <w:t>,</w:t>
      </w:r>
      <w:r>
        <w:rPr>
          <w:rFonts w:ascii="Arial" w:cs="Arial" w:eastAsia="Arial" w:hAnsi="Arial"/>
          <w:sz w:val="16"/>
          <w:szCs w:val="16"/>
          <w:color w:val="auto"/>
        </w:rPr>
        <w:t xml:space="preserve"> docketed as Case No. 2:21-cv-00597-DMG-PVCx. The Company is named as a nominal defendant in each of these actions.</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16, 2021</w:t>
      </w:r>
      <w:r>
        <w:rPr>
          <w:rFonts w:ascii="Arial" w:cs="Arial" w:eastAsia="Arial" w:hAnsi="Arial"/>
          <w:sz w:val="18"/>
          <w:szCs w:val="18"/>
          <w:i w:val="1"/>
          <w:iCs w:val="1"/>
          <w:color w:val="auto"/>
        </w:rPr>
        <w:t>,</w:t>
      </w:r>
      <w:r>
        <w:rPr>
          <w:rFonts w:ascii="Arial" w:cs="Arial" w:eastAsia="Arial" w:hAnsi="Arial"/>
          <w:sz w:val="18"/>
          <w:szCs w:val="18"/>
          <w:color w:val="auto"/>
        </w:rPr>
        <w:t xml:space="preserve"> the Honorable Dolly M. Gee issued an order consolidating the three derivative actions under the caption </w:t>
      </w:r>
      <w:r>
        <w:rPr>
          <w:rFonts w:ascii="Arial" w:cs="Arial" w:eastAsia="Arial" w:hAnsi="Arial"/>
          <w:sz w:val="18"/>
          <w:szCs w:val="18"/>
          <w:i w:val="1"/>
          <w:iCs w:val="1"/>
          <w:color w:val="auto"/>
        </w:rPr>
        <w:t>In re Wrap Technologies,</w:t>
      </w:r>
      <w:r>
        <w:rPr>
          <w:rFonts w:ascii="Arial" w:cs="Arial" w:eastAsia="Arial" w:hAnsi="Arial"/>
          <w:sz w:val="18"/>
          <w:szCs w:val="18"/>
          <w:color w:val="auto"/>
        </w:rPr>
        <w:t xml:space="preserve"> </w:t>
      </w:r>
      <w:r>
        <w:rPr>
          <w:rFonts w:ascii="Arial" w:cs="Arial" w:eastAsia="Arial" w:hAnsi="Arial"/>
          <w:sz w:val="18"/>
          <w:szCs w:val="18"/>
          <w:i w:val="1"/>
          <w:iCs w:val="1"/>
          <w:color w:val="auto"/>
        </w:rPr>
        <w:t>Inc. Shareholder Derivative Litigation</w:t>
      </w:r>
      <w:r>
        <w:rPr>
          <w:rFonts w:ascii="Arial" w:cs="Arial" w:eastAsia="Arial" w:hAnsi="Arial"/>
          <w:sz w:val="18"/>
          <w:szCs w:val="18"/>
          <w:color w:val="auto"/>
        </w:rPr>
        <w:t>, Case No. 2:20-10444-DMG-PVCx, (the “</w:t>
      </w:r>
      <w:r>
        <w:rPr>
          <w:rFonts w:ascii="Arial" w:cs="Arial" w:eastAsia="Arial" w:hAnsi="Arial"/>
          <w:sz w:val="18"/>
          <w:szCs w:val="18"/>
          <w:i w:val="1"/>
          <w:iCs w:val="1"/>
          <w:color w:val="auto"/>
        </w:rPr>
        <w:t>Derivative Action</w:t>
      </w:r>
      <w:r>
        <w:rPr>
          <w:rFonts w:ascii="Arial" w:cs="Arial" w:eastAsia="Arial" w:hAnsi="Arial"/>
          <w:sz w:val="18"/>
          <w:szCs w:val="18"/>
          <w:color w:val="auto"/>
        </w:rPr>
        <w:t>”) and stayed the Derivative Action at least until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resolution of the action captioned </w:t>
      </w:r>
      <w:r>
        <w:rPr>
          <w:rFonts w:ascii="Arial" w:cs="Arial" w:eastAsia="Arial" w:hAnsi="Arial"/>
          <w:sz w:val="18"/>
          <w:szCs w:val="18"/>
          <w:i w:val="1"/>
          <w:iCs w:val="1"/>
          <w:color w:val="auto"/>
        </w:rPr>
        <w:t>In re Wrap Technologies, Inc. Securities Exchange Act Litigation</w:t>
      </w:r>
      <w:r>
        <w:rPr>
          <w:rFonts w:ascii="Arial" w:cs="Arial" w:eastAsia="Arial" w:hAnsi="Arial"/>
          <w:sz w:val="18"/>
          <w:szCs w:val="18"/>
          <w:color w:val="auto"/>
        </w:rPr>
        <w:t>, Case No. 2:20-cv-08760-DMG (the “</w:t>
      </w:r>
      <w:r>
        <w:rPr>
          <w:rFonts w:ascii="Arial" w:cs="Arial" w:eastAsia="Arial" w:hAnsi="Arial"/>
          <w:sz w:val="18"/>
          <w:szCs w:val="18"/>
          <w:i w:val="1"/>
          <w:iCs w:val="1"/>
          <w:color w:val="auto"/>
        </w:rPr>
        <w:t>Securities</w:t>
      </w:r>
      <w:r>
        <w:rPr>
          <w:rFonts w:ascii="Arial" w:cs="Arial" w:eastAsia="Arial" w:hAnsi="Arial"/>
          <w:sz w:val="18"/>
          <w:szCs w:val="18"/>
          <w:color w:val="auto"/>
        </w:rPr>
        <w:t xml:space="preserve"> </w:t>
      </w:r>
      <w:r>
        <w:rPr>
          <w:rFonts w:ascii="Arial" w:cs="Arial" w:eastAsia="Arial" w:hAnsi="Arial"/>
          <w:sz w:val="18"/>
          <w:szCs w:val="18"/>
          <w:i w:val="1"/>
          <w:iCs w:val="1"/>
          <w:color w:val="auto"/>
        </w:rPr>
        <w:t>Action</w:t>
      </w:r>
      <w:r>
        <w:rPr>
          <w:rFonts w:ascii="Arial" w:cs="Arial" w:eastAsia="Arial" w:hAnsi="Arial"/>
          <w:sz w:val="18"/>
          <w:szCs w:val="18"/>
          <w:color w:val="auto"/>
        </w:rPr>
        <w:t>”). On December 20, 2021, Judge Gee dismissed the Securities Action with prejudice. On April 29, 2022 the above-mentioned parties jointly filed a</w:t>
      </w:r>
      <w:r>
        <w:rPr>
          <w:rFonts w:ascii="Arial" w:cs="Arial" w:eastAsia="Arial" w:hAnsi="Arial"/>
          <w:sz w:val="18"/>
          <w:szCs w:val="18"/>
          <w:i w:val="1"/>
          <w:iCs w:val="1"/>
          <w:color w:val="auto"/>
        </w:rPr>
        <w:t xml:space="preserve"> </w:t>
      </w:r>
      <w:r>
        <w:rPr>
          <w:rFonts w:ascii="Arial" w:cs="Arial" w:eastAsia="Arial" w:hAnsi="Arial"/>
          <w:sz w:val="18"/>
          <w:szCs w:val="18"/>
          <w:color w:val="auto"/>
        </w:rPr>
        <w:t>stipulation of voluntary dismissal in order to dismiss the Derivative Action without prejudice to the plaintiffs, the Company, or Wrap shareholders (“</w:t>
      </w:r>
      <w:r>
        <w:rPr>
          <w:rFonts w:ascii="Arial" w:cs="Arial" w:eastAsia="Arial" w:hAnsi="Arial"/>
          <w:sz w:val="18"/>
          <w:szCs w:val="18"/>
          <w:i w:val="1"/>
          <w:iCs w:val="1"/>
          <w:color w:val="auto"/>
        </w:rPr>
        <w:t>the</w:t>
      </w:r>
      <w:r>
        <w:rPr>
          <w:rFonts w:ascii="Arial" w:cs="Arial" w:eastAsia="Arial" w:hAnsi="Arial"/>
          <w:sz w:val="18"/>
          <w:szCs w:val="18"/>
          <w:color w:val="auto"/>
        </w:rPr>
        <w:t xml:space="preserve"> </w:t>
      </w:r>
      <w:r>
        <w:rPr>
          <w:rFonts w:ascii="Arial" w:cs="Arial" w:eastAsia="Arial" w:hAnsi="Arial"/>
          <w:sz w:val="18"/>
          <w:szCs w:val="18"/>
          <w:i w:val="1"/>
          <w:iCs w:val="1"/>
          <w:color w:val="auto"/>
        </w:rPr>
        <w:t>Stipulation</w:t>
      </w:r>
      <w:r>
        <w:rPr>
          <w:rFonts w:ascii="Arial" w:cs="Arial" w:eastAsia="Arial" w:hAnsi="Arial"/>
          <w:sz w:val="18"/>
          <w:szCs w:val="18"/>
          <w:color w:val="auto"/>
        </w:rPr>
        <w:t>”). The Stipulation is currently pending before Judge Gee.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Legal Proceeding Information</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may become subject to other legal proceedings, as well as demands and claims that arise in the normal course of our business, including claims of alleged infringement of third-party patents and other intellectual property rights, breach of contract, employment law violations, and other matters and matters involving requests for information from us or our customers under federal or state law. Such claims, even if not meritorious, could result in the expenditure of significant financial and management resources. We make a provision for a liability relating to legal matters when it is both probable that a liability has been incurred and the amount of the loss can be reasonably estimated. These provisions are reviewed and adjusted to include the impacts of negotiations, estimated settlements, legal rulings, advice of legal counsel, and other information and events pertaining to a particular matter. At March 31, 2022, we had no provision for liability under existing litigation.</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 unfavorable outcome on any litigation matters could require payment of substantial damages, or, in connection with any intellectual property infringement claims, could require us to pay ongoing royalty payments or could prevent us from selling certain of our products. As a result, a settlement of, or an unfavorable outcome on, any of the matters referenced above or other litigation matters, or legal proceedings could have a material adverse effect on our business, operating results, financial condition and cash flows.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Management is not aware of any material changes to the risk factors discussed in Part 1, Item 1A, of the Annual Report on Form 10-K for the year ended December 31, 2021. In addition to the other information set forth in this Quarterly Report on Form 10-Q, you should carefully consider the risk factors discussed in Part 1, Item 1A, of the Annual Report on Form 10-K for the year ended December 31, 2021, and subsequent reports filed pursuant to the Exchange Act which could materially and adversely affect the Company</w:t>
      </w:r>
      <w:r>
        <w:rPr>
          <w:rFonts w:ascii="Arial" w:cs="Arial" w:eastAsia="Arial" w:hAnsi="Arial"/>
          <w:sz w:val="17"/>
          <w:szCs w:val="17"/>
          <w:color w:val="auto"/>
        </w:rPr>
        <w:t>’</w:t>
      </w:r>
      <w:r>
        <w:rPr>
          <w:rFonts w:ascii="Arial" w:cs="Arial" w:eastAsia="Arial" w:hAnsi="Arial"/>
          <w:sz w:val="17"/>
          <w:szCs w:val="17"/>
          <w:i w:val="1"/>
          <w:iCs w:val="1"/>
          <w:color w:val="auto"/>
        </w:rPr>
        <w:t>s business, financial condition, results of operations, and stock price. The risks described in the Annual Report on Form 10-K and subsequent reports filed pursuant to the Exchange Act are not the only risks facing the Company. Additional risks and uncertainties not presently known to management, or that management presently believes not to be material, may also result in material and adverse effects on our business, financial condition, and results of operations.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unregistered securities were issued during the three months ended March 31, 2022, that were not previously reported.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520" w:type="dxa"/>
            <w:vAlign w:val="bottom"/>
            <w:gridSpan w:val="2"/>
          </w:tcPr>
          <w:p>
            <w:pPr>
              <w:spacing w:after="0"/>
              <w:rPr>
                <w:sz w:val="20"/>
                <w:szCs w:val="20"/>
                <w:color w:val="auto"/>
              </w:rPr>
            </w:pPr>
            <w:r>
              <w:rPr>
                <w:rFonts w:ascii="Arial" w:cs="Arial" w:eastAsia="Arial" w:hAnsi="Arial"/>
                <w:sz w:val="18"/>
                <w:szCs w:val="18"/>
                <w:color w:val="auto"/>
              </w:rPr>
              <w:t>None.</w:t>
            </w:r>
          </w:p>
        </w:tc>
        <w:tc>
          <w:tcPr>
            <w:tcW w:w="458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520" w:type="dxa"/>
            <w:vAlign w:val="bottom"/>
            <w:gridSpan w:val="2"/>
          </w:tcPr>
          <w:p>
            <w:pPr>
              <w:spacing w:after="0"/>
              <w:rPr>
                <w:sz w:val="20"/>
                <w:szCs w:val="20"/>
                <w:color w:val="auto"/>
              </w:rPr>
            </w:pPr>
            <w:r>
              <w:rPr>
                <w:rFonts w:ascii="Arial" w:cs="Arial" w:eastAsia="Arial" w:hAnsi="Arial"/>
                <w:sz w:val="18"/>
                <w:szCs w:val="18"/>
                <w:b w:val="1"/>
                <w:bCs w:val="1"/>
                <w:color w:val="auto"/>
              </w:rPr>
              <w:t>Item 6. Exhibits</w:t>
            </w:r>
          </w:p>
        </w:tc>
        <w:tc>
          <w:tcPr>
            <w:tcW w:w="4580" w:type="dxa"/>
            <w:vAlign w:val="bottom"/>
          </w:tcPr>
          <w:p>
            <w:pPr>
              <w:spacing w:after="0"/>
              <w:rPr>
                <w:sz w:val="24"/>
                <w:szCs w:val="24"/>
                <w:color w:val="auto"/>
              </w:rPr>
            </w:pPr>
          </w:p>
        </w:tc>
        <w:tc>
          <w:tcPr>
            <w:tcW w:w="5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520" w:type="dxa"/>
            <w:vAlign w:val="bottom"/>
            <w:gridSpan w:val="2"/>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Exhibit 31.1</w:t>
              </w:r>
            </w:hyperlink>
          </w:p>
        </w:tc>
        <w:tc>
          <w:tcPr>
            <w:tcW w:w="9720" w:type="dxa"/>
            <w:vAlign w:val="bottom"/>
            <w:gridSpan w:val="2"/>
          </w:tcPr>
          <w:p>
            <w:pPr>
              <w:ind w:left="180"/>
              <w:spacing w:after="0"/>
              <w:rPr>
                <w:sz w:val="20"/>
                <w:szCs w:val="20"/>
                <w:color w:val="auto"/>
              </w:rPr>
            </w:pPr>
            <w:r>
              <w:rPr>
                <w:rFonts w:ascii="Arial" w:cs="Arial" w:eastAsia="Arial" w:hAnsi="Arial"/>
                <w:sz w:val="18"/>
                <w:szCs w:val="18"/>
                <w:color w:val="auto"/>
                <w:w w:val="93"/>
              </w:rPr>
              <w:t>Certification of TJ Kennedy, Principal Executive Officer, pursuant to Rule 13a-14(a) or 15d-14(a) of the Securities and Exchange</w:t>
            </w:r>
          </w:p>
        </w:tc>
        <w:tc>
          <w:tcPr>
            <w:tcW w:w="0" w:type="dxa"/>
            <w:vAlign w:val="bottom"/>
          </w:tcPr>
          <w:p>
            <w:pPr>
              <w:spacing w:after="0"/>
              <w:rPr>
                <w:sz w:val="1"/>
                <w:szCs w:val="1"/>
                <w:color w:val="auto"/>
              </w:rPr>
            </w:pPr>
          </w:p>
        </w:tc>
      </w:tr>
      <w:tr>
        <w:trPr>
          <w:trHeight w:val="222"/>
        </w:trPr>
        <w:tc>
          <w:tcPr>
            <w:tcW w:w="900" w:type="dxa"/>
            <w:vAlign w:val="bottom"/>
            <w:tcBorders>
              <w:top w:val="single" w:sz="8" w:color="0000EE"/>
            </w:tcBorders>
          </w:tcPr>
          <w:p>
            <w:pPr>
              <w:spacing w:after="0"/>
              <w:rPr>
                <w:sz w:val="19"/>
                <w:szCs w:val="19"/>
                <w:color w:val="auto"/>
              </w:rPr>
            </w:pPr>
          </w:p>
        </w:tc>
        <w:tc>
          <w:tcPr>
            <w:tcW w:w="620" w:type="dxa"/>
            <w:vAlign w:val="bottom"/>
          </w:tcPr>
          <w:p>
            <w:pPr>
              <w:spacing w:after="0"/>
              <w:rPr>
                <w:sz w:val="19"/>
                <w:szCs w:val="19"/>
                <w:color w:val="auto"/>
              </w:rPr>
            </w:pPr>
          </w:p>
        </w:tc>
        <w:tc>
          <w:tcPr>
            <w:tcW w:w="9720" w:type="dxa"/>
            <w:vAlign w:val="bottom"/>
            <w:gridSpan w:val="2"/>
          </w:tcPr>
          <w:p>
            <w:pPr>
              <w:ind w:left="180"/>
              <w:spacing w:after="0"/>
              <w:rPr>
                <w:sz w:val="20"/>
                <w:szCs w:val="20"/>
                <w:color w:val="auto"/>
              </w:rPr>
            </w:pPr>
            <w:r>
              <w:rPr>
                <w:rFonts w:ascii="Arial" w:cs="Arial" w:eastAsia="Arial" w:hAnsi="Arial"/>
                <w:sz w:val="18"/>
                <w:szCs w:val="18"/>
                <w:color w:val="auto"/>
              </w:rPr>
              <w:t>Act of 1934, as amended, as adopted pursuant to Section 302 of the Sarbanes-Oxley Act of 2002.*</w:t>
            </w:r>
          </w:p>
        </w:tc>
        <w:tc>
          <w:tcPr>
            <w:tcW w:w="0" w:type="dxa"/>
            <w:vAlign w:val="bottom"/>
          </w:tcPr>
          <w:p>
            <w:pPr>
              <w:spacing w:after="0"/>
              <w:rPr>
                <w:sz w:val="1"/>
                <w:szCs w:val="1"/>
                <w:color w:val="auto"/>
              </w:rPr>
            </w:pPr>
          </w:p>
        </w:tc>
      </w:tr>
      <w:tr>
        <w:trPr>
          <w:trHeight w:val="190"/>
        </w:trPr>
        <w:tc>
          <w:tcPr>
            <w:tcW w:w="1520" w:type="dxa"/>
            <w:vAlign w:val="bottom"/>
            <w:gridSpan w:val="2"/>
          </w:tcPr>
          <w:p>
            <w:pPr>
              <w:spacing w:after="0" w:line="190" w:lineRule="exact"/>
              <w:rPr>
                <w:rFonts w:ascii="Arial" w:cs="Arial" w:eastAsia="Arial" w:hAnsi="Arial"/>
                <w:sz w:val="18"/>
                <w:szCs w:val="18"/>
                <w:color w:val="0000EE"/>
              </w:rPr>
            </w:pPr>
            <w:hyperlink w:anchor="page31">
              <w:r>
                <w:rPr>
                  <w:rFonts w:ascii="Arial" w:cs="Arial" w:eastAsia="Arial" w:hAnsi="Arial"/>
                  <w:sz w:val="18"/>
                  <w:szCs w:val="18"/>
                  <w:color w:val="0000EE"/>
                </w:rPr>
                <w:t>Exhibit 31.2</w:t>
              </w:r>
            </w:hyperlink>
          </w:p>
        </w:tc>
        <w:tc>
          <w:tcPr>
            <w:tcW w:w="9720" w:type="dxa"/>
            <w:vAlign w:val="bottom"/>
            <w:gridSpan w:val="2"/>
          </w:tcPr>
          <w:p>
            <w:pPr>
              <w:ind w:left="180"/>
              <w:spacing w:after="0" w:line="190" w:lineRule="exact"/>
              <w:rPr>
                <w:sz w:val="20"/>
                <w:szCs w:val="20"/>
                <w:color w:val="auto"/>
              </w:rPr>
            </w:pPr>
            <w:r>
              <w:rPr>
                <w:rFonts w:ascii="Arial" w:cs="Arial" w:eastAsia="Arial" w:hAnsi="Arial"/>
                <w:sz w:val="18"/>
                <w:szCs w:val="18"/>
                <w:color w:val="auto"/>
                <w:w w:val="98"/>
              </w:rPr>
              <w:t>Certification of James A. Barnes, Principal Financial Officer, pursuant to Rule 13a-14(a) or 15d-14(a) of the Securities and</w:t>
            </w:r>
          </w:p>
        </w:tc>
        <w:tc>
          <w:tcPr>
            <w:tcW w:w="0" w:type="dxa"/>
            <w:vAlign w:val="bottom"/>
          </w:tcPr>
          <w:p>
            <w:pPr>
              <w:spacing w:after="0"/>
              <w:rPr>
                <w:sz w:val="1"/>
                <w:szCs w:val="1"/>
                <w:color w:val="auto"/>
              </w:rPr>
            </w:pPr>
          </w:p>
        </w:tc>
      </w:tr>
      <w:tr>
        <w:trPr>
          <w:trHeight w:val="222"/>
        </w:trPr>
        <w:tc>
          <w:tcPr>
            <w:tcW w:w="900" w:type="dxa"/>
            <w:vAlign w:val="bottom"/>
            <w:tcBorders>
              <w:top w:val="single" w:sz="8" w:color="0000EE"/>
            </w:tcBorders>
          </w:tcPr>
          <w:p>
            <w:pPr>
              <w:spacing w:after="0"/>
              <w:rPr>
                <w:sz w:val="19"/>
                <w:szCs w:val="19"/>
                <w:color w:val="auto"/>
              </w:rPr>
            </w:pPr>
          </w:p>
        </w:tc>
        <w:tc>
          <w:tcPr>
            <w:tcW w:w="620" w:type="dxa"/>
            <w:vAlign w:val="bottom"/>
          </w:tcPr>
          <w:p>
            <w:pPr>
              <w:spacing w:after="0"/>
              <w:rPr>
                <w:sz w:val="19"/>
                <w:szCs w:val="19"/>
                <w:color w:val="auto"/>
              </w:rPr>
            </w:pPr>
          </w:p>
        </w:tc>
        <w:tc>
          <w:tcPr>
            <w:tcW w:w="9720" w:type="dxa"/>
            <w:vAlign w:val="bottom"/>
            <w:gridSpan w:val="2"/>
          </w:tcPr>
          <w:p>
            <w:pPr>
              <w:ind w:left="180"/>
              <w:spacing w:after="0"/>
              <w:rPr>
                <w:sz w:val="20"/>
                <w:szCs w:val="20"/>
                <w:color w:val="auto"/>
              </w:rPr>
            </w:pPr>
            <w:r>
              <w:rPr>
                <w:rFonts w:ascii="Arial" w:cs="Arial" w:eastAsia="Arial" w:hAnsi="Arial"/>
                <w:sz w:val="18"/>
                <w:szCs w:val="18"/>
                <w:color w:val="auto"/>
              </w:rPr>
              <w:t>Exchange Act of 1934, as amended, as adopted pursuant to Section 302 of the Sarbanes-Oxley Act of 2002.*</w:t>
            </w:r>
          </w:p>
        </w:tc>
        <w:tc>
          <w:tcPr>
            <w:tcW w:w="0" w:type="dxa"/>
            <w:vAlign w:val="bottom"/>
          </w:tcPr>
          <w:p>
            <w:pPr>
              <w:spacing w:after="0"/>
              <w:rPr>
                <w:sz w:val="1"/>
                <w:szCs w:val="1"/>
                <w:color w:val="auto"/>
              </w:rPr>
            </w:pPr>
          </w:p>
        </w:tc>
      </w:tr>
      <w:tr>
        <w:trPr>
          <w:trHeight w:val="190"/>
        </w:trPr>
        <w:tc>
          <w:tcPr>
            <w:tcW w:w="1520" w:type="dxa"/>
            <w:vAlign w:val="bottom"/>
            <w:gridSpan w:val="2"/>
          </w:tcPr>
          <w:p>
            <w:pPr>
              <w:spacing w:after="0" w:line="190" w:lineRule="exact"/>
              <w:rPr>
                <w:rFonts w:ascii="Arial" w:cs="Arial" w:eastAsia="Arial" w:hAnsi="Arial"/>
                <w:sz w:val="18"/>
                <w:szCs w:val="18"/>
                <w:color w:val="0000EE"/>
              </w:rPr>
            </w:pPr>
            <w:hyperlink w:anchor="page32">
              <w:r>
                <w:rPr>
                  <w:rFonts w:ascii="Arial" w:cs="Arial" w:eastAsia="Arial" w:hAnsi="Arial"/>
                  <w:sz w:val="18"/>
                  <w:szCs w:val="18"/>
                  <w:color w:val="0000EE"/>
                </w:rPr>
                <w:t>Exhibit 32.1</w:t>
              </w:r>
            </w:hyperlink>
          </w:p>
        </w:tc>
        <w:tc>
          <w:tcPr>
            <w:tcW w:w="9720" w:type="dxa"/>
            <w:vAlign w:val="bottom"/>
            <w:gridSpan w:val="2"/>
          </w:tcPr>
          <w:p>
            <w:pPr>
              <w:ind w:left="180"/>
              <w:spacing w:after="0" w:line="190" w:lineRule="exact"/>
              <w:rPr>
                <w:sz w:val="20"/>
                <w:szCs w:val="20"/>
                <w:color w:val="auto"/>
              </w:rPr>
            </w:pPr>
            <w:r>
              <w:rPr>
                <w:rFonts w:ascii="Arial" w:cs="Arial" w:eastAsia="Arial" w:hAnsi="Arial"/>
                <w:sz w:val="18"/>
                <w:szCs w:val="18"/>
                <w:color w:val="auto"/>
                <w:w w:val="91"/>
              </w:rPr>
              <w:t>Certification pursuant to 18 U.S.C. Section 1350, as adopted pursuant to Section 906 of the Sarbanes-Oxley Act of 2002, executed</w:t>
            </w:r>
          </w:p>
        </w:tc>
        <w:tc>
          <w:tcPr>
            <w:tcW w:w="0" w:type="dxa"/>
            <w:vAlign w:val="bottom"/>
          </w:tcPr>
          <w:p>
            <w:pPr>
              <w:spacing w:after="0"/>
              <w:rPr>
                <w:sz w:val="1"/>
                <w:szCs w:val="1"/>
                <w:color w:val="auto"/>
              </w:rPr>
            </w:pPr>
          </w:p>
        </w:tc>
      </w:tr>
      <w:tr>
        <w:trPr>
          <w:trHeight w:val="237"/>
        </w:trPr>
        <w:tc>
          <w:tcPr>
            <w:tcW w:w="900" w:type="dxa"/>
            <w:vAlign w:val="bottom"/>
            <w:tcBorders>
              <w:top w:val="single" w:sz="8" w:color="0000EE"/>
            </w:tcBorders>
          </w:tcPr>
          <w:p>
            <w:pPr>
              <w:spacing w:after="0"/>
              <w:rPr>
                <w:sz w:val="20"/>
                <w:szCs w:val="20"/>
                <w:color w:val="auto"/>
              </w:rPr>
            </w:pPr>
          </w:p>
        </w:tc>
        <w:tc>
          <w:tcPr>
            <w:tcW w:w="620" w:type="dxa"/>
            <w:vAlign w:val="bottom"/>
          </w:tcPr>
          <w:p>
            <w:pPr>
              <w:spacing w:after="0"/>
              <w:rPr>
                <w:sz w:val="20"/>
                <w:szCs w:val="20"/>
                <w:color w:val="auto"/>
              </w:rPr>
            </w:pPr>
          </w:p>
        </w:tc>
        <w:tc>
          <w:tcPr>
            <w:tcW w:w="9720" w:type="dxa"/>
            <w:vAlign w:val="bottom"/>
            <w:gridSpan w:val="2"/>
          </w:tcPr>
          <w:p>
            <w:pPr>
              <w:ind w:left="180"/>
              <w:spacing w:after="0"/>
              <w:rPr>
                <w:sz w:val="20"/>
                <w:szCs w:val="20"/>
                <w:color w:val="auto"/>
              </w:rPr>
            </w:pPr>
            <w:r>
              <w:rPr>
                <w:rFonts w:ascii="Arial" w:cs="Arial" w:eastAsia="Arial" w:hAnsi="Arial"/>
                <w:sz w:val="18"/>
                <w:szCs w:val="18"/>
                <w:color w:val="auto"/>
              </w:rPr>
              <w:t>by TJ Kennedy, Principal Executive Officer, and James A. Barnes, Principal Financial Officer.*</w:t>
            </w:r>
          </w:p>
        </w:tc>
        <w:tc>
          <w:tcPr>
            <w:tcW w:w="0" w:type="dxa"/>
            <w:vAlign w:val="bottom"/>
          </w:tcPr>
          <w:p>
            <w:pPr>
              <w:spacing w:after="0"/>
              <w:rPr>
                <w:sz w:val="1"/>
                <w:szCs w:val="1"/>
                <w:color w:val="auto"/>
              </w:rPr>
            </w:pPr>
          </w:p>
        </w:tc>
      </w:tr>
      <w:tr>
        <w:trPr>
          <w:trHeight w:val="608"/>
        </w:trPr>
        <w:tc>
          <w:tcPr>
            <w:tcW w:w="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Extensible Business Reporting Language (XBRL) Exhibits*</w:t>
            </w:r>
          </w:p>
        </w:tc>
        <w:tc>
          <w:tcPr>
            <w:tcW w:w="5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520" w:type="dxa"/>
            <w:vAlign w:val="bottom"/>
            <w:gridSpan w:val="2"/>
            <w:vMerge w:val="restart"/>
          </w:tcPr>
          <w:p>
            <w:pPr>
              <w:spacing w:after="0"/>
              <w:rPr>
                <w:sz w:val="20"/>
                <w:szCs w:val="20"/>
                <w:color w:val="auto"/>
              </w:rPr>
            </w:pPr>
            <w:r>
              <w:rPr>
                <w:rFonts w:ascii="Arial" w:cs="Arial" w:eastAsia="Arial" w:hAnsi="Arial"/>
                <w:sz w:val="18"/>
                <w:szCs w:val="18"/>
                <w:color w:val="auto"/>
              </w:rPr>
              <w:t>101.INS</w:t>
            </w:r>
          </w:p>
        </w:tc>
        <w:tc>
          <w:tcPr>
            <w:tcW w:w="9720" w:type="dxa"/>
            <w:vAlign w:val="bottom"/>
            <w:gridSpan w:val="2"/>
          </w:tcPr>
          <w:p>
            <w:pPr>
              <w:spacing w:after="0"/>
              <w:rPr>
                <w:sz w:val="20"/>
                <w:szCs w:val="20"/>
                <w:color w:val="auto"/>
              </w:rPr>
            </w:pPr>
            <w:r>
              <w:rPr>
                <w:rFonts w:ascii="Arial" w:cs="Arial" w:eastAsia="Arial" w:hAnsi="Arial"/>
                <w:sz w:val="18"/>
                <w:szCs w:val="18"/>
                <w:color w:val="auto"/>
                <w:w w:val="95"/>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122"/>
        </w:trPr>
        <w:tc>
          <w:tcPr>
            <w:tcW w:w="1520" w:type="dxa"/>
            <w:vAlign w:val="bottom"/>
            <w:gridSpan w:val="2"/>
            <w:vMerge w:val="continue"/>
          </w:tcPr>
          <w:p>
            <w:pPr>
              <w:spacing w:after="0"/>
              <w:rPr>
                <w:sz w:val="10"/>
                <w:szCs w:val="10"/>
                <w:color w:val="auto"/>
              </w:rPr>
            </w:pPr>
          </w:p>
        </w:tc>
        <w:tc>
          <w:tcPr>
            <w:tcW w:w="9720" w:type="dxa"/>
            <w:vAlign w:val="bottom"/>
            <w:gridSpan w:val="2"/>
            <w:vMerge w:val="restart"/>
          </w:tcPr>
          <w:p>
            <w:pPr>
              <w:spacing w:after="0"/>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94"/>
        </w:trPr>
        <w:tc>
          <w:tcPr>
            <w:tcW w:w="900" w:type="dxa"/>
            <w:vAlign w:val="bottom"/>
          </w:tcPr>
          <w:p>
            <w:pPr>
              <w:spacing w:after="0"/>
              <w:rPr>
                <w:sz w:val="8"/>
                <w:szCs w:val="8"/>
                <w:color w:val="auto"/>
              </w:rPr>
            </w:pPr>
          </w:p>
        </w:tc>
        <w:tc>
          <w:tcPr>
            <w:tcW w:w="620" w:type="dxa"/>
            <w:vAlign w:val="bottom"/>
          </w:tcPr>
          <w:p>
            <w:pPr>
              <w:spacing w:after="0"/>
              <w:rPr>
                <w:sz w:val="8"/>
                <w:szCs w:val="8"/>
                <w:color w:val="auto"/>
              </w:rPr>
            </w:pPr>
          </w:p>
        </w:tc>
        <w:tc>
          <w:tcPr>
            <w:tcW w:w="97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5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9720" w:type="dxa"/>
            <w:vAlign w:val="bottom"/>
            <w:gridSpan w:val="2"/>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16"/>
        </w:trPr>
        <w:tc>
          <w:tcPr>
            <w:tcW w:w="15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9720" w:type="dxa"/>
            <w:vAlign w:val="bottom"/>
            <w:gridSpan w:val="2"/>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16"/>
        </w:trPr>
        <w:tc>
          <w:tcPr>
            <w:tcW w:w="15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9720" w:type="dxa"/>
            <w:vAlign w:val="bottom"/>
            <w:gridSpan w:val="2"/>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16"/>
        </w:trPr>
        <w:tc>
          <w:tcPr>
            <w:tcW w:w="15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9720" w:type="dxa"/>
            <w:vAlign w:val="bottom"/>
            <w:gridSpan w:val="2"/>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30"/>
        </w:trPr>
        <w:tc>
          <w:tcPr>
            <w:tcW w:w="15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9720" w:type="dxa"/>
            <w:vAlign w:val="bottom"/>
            <w:gridSpan w:val="2"/>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ind w:right="1940" w:firstLine="8"/>
        <w:spacing w:after="0" w:line="492" w:lineRule="auto"/>
        <w:tabs>
          <w:tab w:leader="none" w:pos="1512"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and include in Exhibit 101) * Filed concurrently herewith</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160" w:right="20"/>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p>
        </w:tc>
        <w:tc>
          <w:tcPr>
            <w:tcW w:w="8040" w:type="dxa"/>
            <w:vAlign w:val="bottom"/>
            <w:gridSpan w:val="3"/>
          </w:tcPr>
          <w:p>
            <w:pPr>
              <w:ind w:left="2420"/>
              <w:spacing w:after="0"/>
              <w:rPr>
                <w:sz w:val="20"/>
                <w:szCs w:val="20"/>
                <w:color w:val="auto"/>
              </w:rPr>
            </w:pPr>
            <w:r>
              <w:rPr>
                <w:rFonts w:ascii="Arial" w:cs="Arial" w:eastAsia="Arial" w:hAnsi="Arial"/>
                <w:sz w:val="18"/>
                <w:szCs w:val="18"/>
                <w:color w:val="auto"/>
              </w:rPr>
              <w:t>WRAP TECHNOLOGIES, INC.</w:t>
            </w:r>
          </w:p>
        </w:tc>
        <w:tc>
          <w:tcPr>
            <w:tcW w:w="0" w:type="dxa"/>
            <w:vAlign w:val="bottom"/>
          </w:tcPr>
          <w:p>
            <w:pPr>
              <w:spacing w:after="0"/>
              <w:rPr>
                <w:sz w:val="1"/>
                <w:szCs w:val="1"/>
                <w:color w:val="auto"/>
              </w:rPr>
            </w:pPr>
          </w:p>
        </w:tc>
      </w:tr>
      <w:tr>
        <w:trPr>
          <w:trHeight w:val="391"/>
        </w:trPr>
        <w:tc>
          <w:tcPr>
            <w:tcW w:w="3200" w:type="dxa"/>
            <w:vAlign w:val="bottom"/>
            <w:vMerge w:val="restart"/>
          </w:tcPr>
          <w:p>
            <w:pPr>
              <w:spacing w:after="0"/>
              <w:rPr>
                <w:sz w:val="20"/>
                <w:szCs w:val="20"/>
                <w:color w:val="auto"/>
              </w:rPr>
            </w:pPr>
            <w:r>
              <w:rPr>
                <w:rFonts w:ascii="Arial" w:cs="Arial" w:eastAsia="Arial" w:hAnsi="Arial"/>
                <w:sz w:val="18"/>
                <w:szCs w:val="18"/>
                <w:color w:val="auto"/>
              </w:rPr>
              <w:t>May 3, 2022</w:t>
            </w:r>
          </w:p>
        </w:tc>
        <w:tc>
          <w:tcPr>
            <w:tcW w:w="8040" w:type="dxa"/>
            <w:vAlign w:val="bottom"/>
            <w:gridSpan w:val="3"/>
          </w:tcPr>
          <w:p>
            <w:pPr>
              <w:ind w:left="2420"/>
              <w:spacing w:after="0"/>
              <w:rPr>
                <w:sz w:val="20"/>
                <w:szCs w:val="20"/>
                <w:color w:val="auto"/>
              </w:rPr>
            </w:pPr>
            <w:r>
              <w:rPr>
                <w:rFonts w:ascii="Arial" w:cs="Arial" w:eastAsia="Arial" w:hAnsi="Arial"/>
                <w:sz w:val="18"/>
                <w:szCs w:val="18"/>
                <w:color w:val="auto"/>
              </w:rPr>
              <w:t>By: /s/ JAMES A. BARNES</w:t>
            </w:r>
          </w:p>
        </w:tc>
        <w:tc>
          <w:tcPr>
            <w:tcW w:w="0" w:type="dxa"/>
            <w:vAlign w:val="bottom"/>
          </w:tcPr>
          <w:p>
            <w:pPr>
              <w:spacing w:after="0"/>
              <w:rPr>
                <w:sz w:val="1"/>
                <w:szCs w:val="1"/>
                <w:color w:val="auto"/>
              </w:rPr>
            </w:pPr>
          </w:p>
        </w:tc>
      </w:tr>
      <w:tr>
        <w:trPr>
          <w:trHeight w:val="20"/>
        </w:trPr>
        <w:tc>
          <w:tcPr>
            <w:tcW w:w="3200" w:type="dxa"/>
            <w:vAlign w:val="bottom"/>
            <w:vMerge w:val="continue"/>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3200" w:type="dxa"/>
            <w:vAlign w:val="bottom"/>
            <w:vMerge w:val="continue"/>
          </w:tcPr>
          <w:p>
            <w:pPr>
              <w:spacing w:after="0"/>
              <w:rPr>
                <w:sz w:val="11"/>
                <w:szCs w:val="11"/>
                <w:color w:val="auto"/>
              </w:rPr>
            </w:pPr>
          </w:p>
        </w:tc>
        <w:tc>
          <w:tcPr>
            <w:tcW w:w="8040" w:type="dxa"/>
            <w:vAlign w:val="bottom"/>
            <w:gridSpan w:val="3"/>
            <w:vMerge w:val="restart"/>
          </w:tcPr>
          <w:p>
            <w:pPr>
              <w:ind w:left="2740"/>
              <w:spacing w:after="0"/>
              <w:rPr>
                <w:sz w:val="20"/>
                <w:szCs w:val="20"/>
                <w:color w:val="auto"/>
              </w:rPr>
            </w:pPr>
            <w:r>
              <w:rPr>
                <w:rFonts w:ascii="Arial" w:cs="Arial" w:eastAsia="Arial" w:hAnsi="Arial"/>
                <w:sz w:val="18"/>
                <w:szCs w:val="18"/>
                <w:color w:val="auto"/>
              </w:rPr>
              <w:t>James A. Barnes</w:t>
            </w:r>
          </w:p>
        </w:tc>
        <w:tc>
          <w:tcPr>
            <w:tcW w:w="0" w:type="dxa"/>
            <w:vAlign w:val="bottom"/>
          </w:tcPr>
          <w:p>
            <w:pPr>
              <w:spacing w:after="0"/>
              <w:rPr>
                <w:sz w:val="1"/>
                <w:szCs w:val="1"/>
                <w:color w:val="auto"/>
              </w:rPr>
            </w:pPr>
          </w:p>
        </w:tc>
      </w:tr>
      <w:tr>
        <w:trPr>
          <w:trHeight w:val="94"/>
        </w:trPr>
        <w:tc>
          <w:tcPr>
            <w:tcW w:w="3200" w:type="dxa"/>
            <w:vAlign w:val="bottom"/>
          </w:tcPr>
          <w:p>
            <w:pPr>
              <w:spacing w:after="0"/>
              <w:rPr>
                <w:sz w:val="8"/>
                <w:szCs w:val="8"/>
                <w:color w:val="auto"/>
              </w:rPr>
            </w:pPr>
          </w:p>
        </w:tc>
        <w:tc>
          <w:tcPr>
            <w:tcW w:w="80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200" w:type="dxa"/>
            <w:vAlign w:val="bottom"/>
          </w:tcPr>
          <w:p>
            <w:pPr>
              <w:spacing w:after="0"/>
              <w:rPr>
                <w:sz w:val="18"/>
                <w:szCs w:val="18"/>
                <w:color w:val="auto"/>
              </w:rPr>
            </w:pPr>
          </w:p>
        </w:tc>
        <w:tc>
          <w:tcPr>
            <w:tcW w:w="8040" w:type="dxa"/>
            <w:vAlign w:val="bottom"/>
            <w:gridSpan w:val="3"/>
          </w:tcPr>
          <w:p>
            <w:pPr>
              <w:ind w:left="2740"/>
              <w:spacing w:after="0"/>
              <w:rPr>
                <w:sz w:val="20"/>
                <w:szCs w:val="20"/>
                <w:color w:val="auto"/>
              </w:rPr>
            </w:pPr>
            <w:r>
              <w:rPr>
                <w:rFonts w:ascii="Arial" w:cs="Arial" w:eastAsia="Arial" w:hAnsi="Arial"/>
                <w:sz w:val="18"/>
                <w:szCs w:val="18"/>
                <w:color w:val="auto"/>
              </w:rPr>
              <w:t>Chief Financial Officer, Secretary and Treasurer</w:t>
            </w:r>
          </w:p>
        </w:tc>
        <w:tc>
          <w:tcPr>
            <w:tcW w:w="0" w:type="dxa"/>
            <w:vAlign w:val="bottom"/>
          </w:tcPr>
          <w:p>
            <w:pPr>
              <w:spacing w:after="0"/>
              <w:rPr>
                <w:sz w:val="1"/>
                <w:szCs w:val="1"/>
                <w:color w:val="auto"/>
              </w:rPr>
            </w:pPr>
          </w:p>
        </w:tc>
      </w:tr>
      <w:tr>
        <w:trPr>
          <w:trHeight w:val="230"/>
        </w:trPr>
        <w:tc>
          <w:tcPr>
            <w:tcW w:w="3200" w:type="dxa"/>
            <w:vAlign w:val="bottom"/>
          </w:tcPr>
          <w:p>
            <w:pPr>
              <w:spacing w:after="0"/>
              <w:rPr>
                <w:sz w:val="20"/>
                <w:szCs w:val="20"/>
                <w:color w:val="auto"/>
              </w:rPr>
            </w:pPr>
          </w:p>
        </w:tc>
        <w:tc>
          <w:tcPr>
            <w:tcW w:w="8040" w:type="dxa"/>
            <w:vAlign w:val="bottom"/>
            <w:gridSpan w:val="3"/>
          </w:tcPr>
          <w:p>
            <w:pPr>
              <w:ind w:left="2740"/>
              <w:spacing w:after="0"/>
              <w:rPr>
                <w:sz w:val="20"/>
                <w:szCs w:val="20"/>
                <w:color w:val="auto"/>
              </w:rPr>
            </w:pPr>
            <w:r>
              <w:rPr>
                <w:rFonts w:ascii="Arial" w:cs="Arial" w:eastAsia="Arial" w:hAnsi="Arial"/>
                <w:sz w:val="18"/>
                <w:szCs w:val="18"/>
                <w:color w:val="auto"/>
              </w:rPr>
              <w:t>(Principal Accounting Officer)</w:t>
            </w:r>
          </w:p>
        </w:tc>
        <w:tc>
          <w:tcPr>
            <w:tcW w:w="0" w:type="dxa"/>
            <w:vAlign w:val="bottom"/>
          </w:tcPr>
          <w:p>
            <w:pPr>
              <w:spacing w:after="0"/>
              <w:rPr>
                <w:sz w:val="1"/>
                <w:szCs w:val="1"/>
                <w:color w:val="auto"/>
              </w:rPr>
            </w:pPr>
          </w:p>
        </w:tc>
      </w:tr>
      <w:tr>
        <w:trPr>
          <w:trHeight w:val="864"/>
        </w:trPr>
        <w:tc>
          <w:tcPr>
            <w:tcW w:w="3200" w:type="dxa"/>
            <w:vAlign w:val="bottom"/>
          </w:tcPr>
          <w:p>
            <w:pPr>
              <w:spacing w:after="0"/>
              <w:rPr>
                <w:sz w:val="24"/>
                <w:szCs w:val="24"/>
                <w:color w:val="auto"/>
              </w:rPr>
            </w:pPr>
          </w:p>
        </w:tc>
        <w:tc>
          <w:tcPr>
            <w:tcW w:w="2760" w:type="dxa"/>
            <w:vAlign w:val="bottom"/>
          </w:tcPr>
          <w:p>
            <w:pPr>
              <w:ind w:left="2280"/>
              <w:spacing w:after="0"/>
              <w:rPr>
                <w:sz w:val="20"/>
                <w:szCs w:val="20"/>
                <w:color w:val="auto"/>
              </w:rPr>
            </w:pPr>
            <w:r>
              <w:rPr>
                <w:rFonts w:ascii="Arial" w:cs="Arial" w:eastAsia="Arial" w:hAnsi="Arial"/>
                <w:sz w:val="18"/>
                <w:szCs w:val="18"/>
                <w:color w:val="auto"/>
              </w:rPr>
              <w:t>-26-</w:t>
            </w:r>
          </w:p>
        </w:tc>
        <w:tc>
          <w:tcPr>
            <w:tcW w:w="17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200" w:type="dxa"/>
            <w:vAlign w:val="bottom"/>
            <w:tcBorders>
              <w:bottom w:val="single" w:sz="8" w:color="auto"/>
            </w:tcBorders>
          </w:tcPr>
          <w:p>
            <w:pPr>
              <w:spacing w:after="0"/>
              <w:rPr>
                <w:sz w:val="10"/>
                <w:szCs w:val="10"/>
                <w:color w:val="auto"/>
              </w:rPr>
            </w:pPr>
          </w:p>
        </w:tc>
        <w:tc>
          <w:tcPr>
            <w:tcW w:w="276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tcPr>
          <w:p>
            <w:pPr>
              <w:spacing w:after="0"/>
              <w:rPr>
                <w:sz w:val="10"/>
                <w:szCs w:val="10"/>
                <w:color w:val="auto"/>
              </w:rPr>
            </w:pPr>
          </w:p>
        </w:tc>
        <w:tc>
          <w:tcPr>
            <w:tcW w:w="35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8" w:right="339" w:bottom="1440" w:gutter="0" w:footer="0" w:header="0"/>
        </w:sectPr>
      </w:pPr>
    </w:p>
    <w:bookmarkStart w:id="28" w:name="page29"/>
    <w:bookmarkEnd w:id="28"/>
    <w:p>
      <w:pPr>
        <w:spacing w:after="0"/>
        <w:rPr>
          <w:sz w:val="20"/>
          <w:szCs w:val="20"/>
          <w:color w:val="auto"/>
        </w:rPr>
      </w:pPr>
      <w:r>
        <w:rPr>
          <w:rFonts w:ascii="Arial" w:cs="Arial" w:eastAsia="Arial" w:hAnsi="Arial"/>
          <w:sz w:val="16"/>
          <w:szCs w:val="16"/>
          <w:u w:val="single" w:color="auto"/>
          <w:color w:val="0000EE"/>
        </w:rPr>
        <w:t>Table of Contents</w:t>
      </w:r>
    </w:p>
    <w:p>
      <w:pPr>
        <w:sectPr>
          <w:pgSz w:w="11900" w:h="16838" w:orient="portrait"/>
          <w:cols w:equalWidth="0" w:num="1">
            <w:col w:w="10139"/>
          </w:cols>
          <w:pgMar w:left="320" w:top="368" w:right="1440"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ind w:left="5148"/>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8"/>
        <w:spacing w:after="0"/>
        <w:rPr>
          <w:sz w:val="20"/>
          <w:szCs w:val="20"/>
          <w:color w:val="auto"/>
        </w:rPr>
      </w:pPr>
      <w:r>
        <w:rPr>
          <w:rFonts w:ascii="Arial" w:cs="Arial" w:eastAsia="Arial" w:hAnsi="Arial"/>
          <w:sz w:val="18"/>
          <w:szCs w:val="18"/>
          <w:color w:val="auto"/>
        </w:rPr>
        <w:t>I, TJ Kennedy, certify that:</w:t>
      </w:r>
    </w:p>
    <w:p>
      <w:pPr>
        <w:spacing w:after="0" w:line="225" w:lineRule="exact"/>
        <w:rPr>
          <w:sz w:val="20"/>
          <w:szCs w:val="20"/>
          <w:color w:val="auto"/>
        </w:rPr>
      </w:pPr>
    </w:p>
    <w:p>
      <w:pPr>
        <w:ind w:left="548" w:hanging="548"/>
        <w:spacing w:after="0"/>
        <w:tabs>
          <w:tab w:leader="none" w:pos="548"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Wrap Technologies, Inc.;</w:t>
      </w:r>
    </w:p>
    <w:p>
      <w:pPr>
        <w:spacing w:after="0" w:line="225" w:lineRule="exact"/>
        <w:rPr>
          <w:rFonts w:ascii="Arial" w:cs="Arial" w:eastAsia="Arial" w:hAnsi="Arial"/>
          <w:sz w:val="18"/>
          <w:szCs w:val="18"/>
          <w:color w:val="auto"/>
        </w:rPr>
      </w:pPr>
    </w:p>
    <w:p>
      <w:pPr>
        <w:ind w:left="8" w:hanging="8"/>
        <w:spacing w:after="0" w:line="342" w:lineRule="auto"/>
        <w:tabs>
          <w:tab w:leader="none" w:pos="569" w:val="left"/>
        </w:tabs>
        <w:numPr>
          <w:ilvl w:val="0"/>
          <w:numId w:val="1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8" w:hanging="8"/>
        <w:spacing w:after="0" w:line="277" w:lineRule="auto"/>
        <w:tabs>
          <w:tab w:leader="none" w:pos="5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8" w:hanging="8"/>
        <w:spacing w:after="0" w:line="263" w:lineRule="auto"/>
        <w:tabs>
          <w:tab w:leader="none" w:pos="632"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88" w:hanging="414"/>
        <w:spacing w:after="0" w:line="263" w:lineRule="auto"/>
        <w:tabs>
          <w:tab w:leader="none" w:pos="68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88" w:hanging="414"/>
        <w:spacing w:after="0" w:line="263" w:lineRule="auto"/>
        <w:tabs>
          <w:tab w:leader="none" w:pos="68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88" w:hanging="414"/>
        <w:spacing w:after="0" w:line="308" w:lineRule="auto"/>
        <w:tabs>
          <w:tab w:leader="none" w:pos="688" w:val="left"/>
        </w:tabs>
        <w:numPr>
          <w:ilvl w:val="1"/>
          <w:numId w:val="1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88" w:hanging="414"/>
        <w:spacing w:after="0" w:line="263" w:lineRule="auto"/>
        <w:tabs>
          <w:tab w:leader="none" w:pos="688"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8" w:hanging="8"/>
        <w:spacing w:after="0" w:line="308" w:lineRule="auto"/>
        <w:tabs>
          <w:tab w:leader="none" w:pos="614"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88" w:hanging="414"/>
        <w:spacing w:after="0" w:line="277" w:lineRule="auto"/>
        <w:tabs>
          <w:tab w:leader="none" w:pos="688" w:val="left"/>
        </w:tabs>
        <w:numPr>
          <w:ilvl w:val="1"/>
          <w:numId w:val="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88" w:hanging="414"/>
        <w:spacing w:after="0" w:line="277" w:lineRule="auto"/>
        <w:tabs>
          <w:tab w:leader="none" w:pos="688" w:val="left"/>
        </w:tabs>
        <w:numPr>
          <w:ilvl w:val="1"/>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ind w:left="8"/>
        <w:spacing w:after="0"/>
        <w:rPr>
          <w:sz w:val="20"/>
          <w:szCs w:val="20"/>
          <w:color w:val="auto"/>
        </w:rPr>
      </w:pPr>
      <w:r>
        <w:rPr>
          <w:rFonts w:ascii="Arial" w:cs="Arial" w:eastAsia="Arial" w:hAnsi="Arial"/>
          <w:sz w:val="18"/>
          <w:szCs w:val="18"/>
          <w:color w:val="auto"/>
        </w:rPr>
        <w:t>Date: May 3, 2022</w:t>
      </w:r>
    </w:p>
    <w:p>
      <w:pPr>
        <w:spacing w:after="0" w:line="225" w:lineRule="exact"/>
        <w:rPr>
          <w:sz w:val="20"/>
          <w:szCs w:val="20"/>
          <w:color w:val="auto"/>
        </w:rPr>
      </w:pPr>
    </w:p>
    <w:p>
      <w:pPr>
        <w:ind w:left="8"/>
        <w:spacing w:after="0"/>
        <w:rPr>
          <w:sz w:val="20"/>
          <w:szCs w:val="20"/>
          <w:color w:val="auto"/>
        </w:rPr>
      </w:pPr>
      <w:r>
        <w:rPr>
          <w:rFonts w:ascii="Arial" w:cs="Arial" w:eastAsia="Arial" w:hAnsi="Arial"/>
          <w:sz w:val="18"/>
          <w:szCs w:val="18"/>
          <w:u w:val="single" w:color="auto"/>
          <w:color w:val="auto"/>
        </w:rPr>
        <w:t>/s/ TJ KENNEDY</w:t>
      </w:r>
    </w:p>
    <w:p>
      <w:pPr>
        <w:spacing w:after="0" w:line="23" w:lineRule="exact"/>
        <w:rPr>
          <w:sz w:val="20"/>
          <w:szCs w:val="20"/>
          <w:color w:val="auto"/>
        </w:rPr>
      </w:pPr>
    </w:p>
    <w:p>
      <w:pPr>
        <w:ind w:left="8"/>
        <w:spacing w:after="0"/>
        <w:rPr>
          <w:sz w:val="20"/>
          <w:szCs w:val="20"/>
          <w:color w:val="auto"/>
        </w:rPr>
      </w:pPr>
      <w:r>
        <w:rPr>
          <w:rFonts w:ascii="Arial" w:cs="Arial" w:eastAsia="Arial" w:hAnsi="Arial"/>
          <w:sz w:val="18"/>
          <w:szCs w:val="18"/>
          <w:color w:val="auto"/>
        </w:rPr>
        <w:t>TJ Kennedy</w:t>
      </w:r>
    </w:p>
    <w:p>
      <w:pPr>
        <w:spacing w:after="0" w:line="9" w:lineRule="exact"/>
        <w:rPr>
          <w:sz w:val="20"/>
          <w:szCs w:val="20"/>
          <w:color w:val="auto"/>
        </w:rPr>
      </w:pPr>
    </w:p>
    <w:p>
      <w:pPr>
        <w:ind w:left="8"/>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8"/>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088"/>
          </w:cols>
          <w:pgMar w:left="472" w:top="121"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ind w:left="5148"/>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left="8"/>
        <w:spacing w:after="0"/>
        <w:rPr>
          <w:sz w:val="20"/>
          <w:szCs w:val="20"/>
          <w:color w:val="auto"/>
        </w:rPr>
      </w:pPr>
      <w:r>
        <w:rPr>
          <w:rFonts w:ascii="Arial" w:cs="Arial" w:eastAsia="Arial" w:hAnsi="Arial"/>
          <w:sz w:val="18"/>
          <w:szCs w:val="18"/>
          <w:color w:val="auto"/>
        </w:rPr>
        <w:t>I, James A. Barnes, certify that:</w:t>
      </w:r>
    </w:p>
    <w:p>
      <w:pPr>
        <w:spacing w:after="0" w:line="225" w:lineRule="exact"/>
        <w:rPr>
          <w:sz w:val="20"/>
          <w:szCs w:val="20"/>
          <w:color w:val="auto"/>
        </w:rPr>
      </w:pPr>
    </w:p>
    <w:p>
      <w:pPr>
        <w:ind w:left="548" w:hanging="548"/>
        <w:spacing w:after="0"/>
        <w:tabs>
          <w:tab w:leader="none" w:pos="548"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Wrap Technologies, Inc.;</w:t>
      </w:r>
    </w:p>
    <w:p>
      <w:pPr>
        <w:spacing w:after="0" w:line="225" w:lineRule="exact"/>
        <w:rPr>
          <w:rFonts w:ascii="Arial" w:cs="Arial" w:eastAsia="Arial" w:hAnsi="Arial"/>
          <w:sz w:val="18"/>
          <w:szCs w:val="18"/>
          <w:color w:val="auto"/>
        </w:rPr>
      </w:pPr>
    </w:p>
    <w:p>
      <w:pPr>
        <w:ind w:left="8" w:hanging="8"/>
        <w:spacing w:after="0" w:line="342" w:lineRule="auto"/>
        <w:tabs>
          <w:tab w:leader="none" w:pos="569" w:val="left"/>
        </w:tabs>
        <w:numPr>
          <w:ilvl w:val="0"/>
          <w:numId w:val="1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8" w:hanging="8"/>
        <w:spacing w:after="0" w:line="277" w:lineRule="auto"/>
        <w:tabs>
          <w:tab w:leader="none" w:pos="5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8" w:hanging="8"/>
        <w:spacing w:after="0" w:line="263" w:lineRule="auto"/>
        <w:tabs>
          <w:tab w:leader="none" w:pos="632"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688" w:hanging="414"/>
        <w:spacing w:after="0" w:line="263" w:lineRule="auto"/>
        <w:tabs>
          <w:tab w:leader="none" w:pos="688"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688" w:hanging="414"/>
        <w:spacing w:after="0" w:line="263" w:lineRule="auto"/>
        <w:tabs>
          <w:tab w:leader="none" w:pos="688"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88" w:hanging="414"/>
        <w:spacing w:after="0" w:line="308" w:lineRule="auto"/>
        <w:tabs>
          <w:tab w:leader="none" w:pos="688" w:val="left"/>
        </w:tabs>
        <w:numPr>
          <w:ilvl w:val="1"/>
          <w:numId w:val="1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88" w:hanging="414"/>
        <w:spacing w:after="0" w:line="263" w:lineRule="auto"/>
        <w:tabs>
          <w:tab w:leader="none" w:pos="688"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8" w:hanging="8"/>
        <w:spacing w:after="0" w:line="308" w:lineRule="auto"/>
        <w:tabs>
          <w:tab w:leader="none" w:pos="614"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88" w:hanging="414"/>
        <w:spacing w:after="0" w:line="277" w:lineRule="auto"/>
        <w:tabs>
          <w:tab w:leader="none" w:pos="688"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88" w:hanging="414"/>
        <w:spacing w:after="0" w:line="277" w:lineRule="auto"/>
        <w:tabs>
          <w:tab w:leader="none" w:pos="688"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ind w:left="8"/>
        <w:spacing w:after="0"/>
        <w:rPr>
          <w:sz w:val="20"/>
          <w:szCs w:val="20"/>
          <w:color w:val="auto"/>
        </w:rPr>
      </w:pPr>
      <w:r>
        <w:rPr>
          <w:rFonts w:ascii="Arial" w:cs="Arial" w:eastAsia="Arial" w:hAnsi="Arial"/>
          <w:sz w:val="18"/>
          <w:szCs w:val="18"/>
          <w:color w:val="auto"/>
        </w:rPr>
        <w:t>Date: May 3, 2022</w:t>
      </w:r>
    </w:p>
    <w:p>
      <w:pPr>
        <w:spacing w:after="0" w:line="200" w:lineRule="exact"/>
        <w:rPr>
          <w:sz w:val="20"/>
          <w:szCs w:val="20"/>
          <w:color w:val="auto"/>
        </w:rPr>
      </w:pPr>
    </w:p>
    <w:p>
      <w:pPr>
        <w:spacing w:after="0" w:line="241" w:lineRule="exact"/>
        <w:rPr>
          <w:sz w:val="20"/>
          <w:szCs w:val="20"/>
          <w:color w:val="auto"/>
        </w:rPr>
      </w:pPr>
    </w:p>
    <w:p>
      <w:pPr>
        <w:ind w:left="8"/>
        <w:spacing w:after="0"/>
        <w:rPr>
          <w:sz w:val="20"/>
          <w:szCs w:val="20"/>
          <w:color w:val="auto"/>
        </w:rPr>
      </w:pPr>
      <w:r>
        <w:rPr>
          <w:rFonts w:ascii="Arial" w:cs="Arial" w:eastAsia="Arial" w:hAnsi="Arial"/>
          <w:sz w:val="18"/>
          <w:szCs w:val="18"/>
          <w:u w:val="single" w:color="auto"/>
          <w:color w:val="auto"/>
        </w:rPr>
        <w:t>/s/ JAMES A. BARNES</w:t>
      </w:r>
    </w:p>
    <w:p>
      <w:pPr>
        <w:spacing w:after="0" w:line="23" w:lineRule="exact"/>
        <w:rPr>
          <w:sz w:val="20"/>
          <w:szCs w:val="20"/>
          <w:color w:val="auto"/>
        </w:rPr>
      </w:pPr>
    </w:p>
    <w:p>
      <w:pPr>
        <w:ind w:left="8"/>
        <w:spacing w:after="0"/>
        <w:rPr>
          <w:sz w:val="20"/>
          <w:szCs w:val="20"/>
          <w:color w:val="auto"/>
        </w:rPr>
      </w:pPr>
      <w:r>
        <w:rPr>
          <w:rFonts w:ascii="Arial" w:cs="Arial" w:eastAsia="Arial" w:hAnsi="Arial"/>
          <w:sz w:val="18"/>
          <w:szCs w:val="18"/>
          <w:color w:val="auto"/>
        </w:rPr>
        <w:t>James A. Barnes</w:t>
      </w:r>
    </w:p>
    <w:p>
      <w:pPr>
        <w:spacing w:after="0" w:line="9" w:lineRule="exact"/>
        <w:rPr>
          <w:sz w:val="20"/>
          <w:szCs w:val="20"/>
          <w:color w:val="auto"/>
        </w:rPr>
      </w:pPr>
    </w:p>
    <w:p>
      <w:pPr>
        <w:ind w:left="8"/>
        <w:spacing w:after="0"/>
        <w:rPr>
          <w:sz w:val="20"/>
          <w:szCs w:val="20"/>
          <w:color w:val="auto"/>
        </w:rPr>
      </w:pPr>
      <w:r>
        <w:rPr>
          <w:rFonts w:ascii="Arial" w:cs="Arial" w:eastAsia="Arial" w:hAnsi="Arial"/>
          <w:sz w:val="18"/>
          <w:szCs w:val="18"/>
          <w:color w:val="auto"/>
        </w:rPr>
        <w:t>Chief Financial Officer, Secretary and Treasurer</w:t>
      </w:r>
    </w:p>
    <w:p>
      <w:pPr>
        <w:spacing w:after="0" w:line="9" w:lineRule="exact"/>
        <w:rPr>
          <w:sz w:val="20"/>
          <w:szCs w:val="20"/>
          <w:color w:val="auto"/>
        </w:rPr>
      </w:pPr>
    </w:p>
    <w:p>
      <w:pPr>
        <w:ind w:left="8"/>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088"/>
          </w:cols>
          <w:pgMar w:left="472" w:top="121" w:right="33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Each of the undersigned hereby certifies, in accordance with 18 U.S.C. 1350, as adopted pursuant to Section 906 of the Sarbanes-Oxley Act of 2002, in his or her capacity as an officer of Wrap Technologies, Inc. (the “</w:t>
      </w:r>
      <w:r>
        <w:rPr>
          <w:rFonts w:ascii="Arial" w:cs="Arial" w:eastAsia="Arial" w:hAnsi="Arial"/>
          <w:sz w:val="18"/>
          <w:szCs w:val="18"/>
          <w:i w:val="1"/>
          <w:iCs w:val="1"/>
          <w:color w:val="auto"/>
        </w:rPr>
        <w:t>Company</w:t>
      </w:r>
      <w:r>
        <w:rPr>
          <w:rFonts w:ascii="Arial" w:cs="Arial" w:eastAsia="Arial" w:hAnsi="Arial"/>
          <w:sz w:val="18"/>
          <w:szCs w:val="18"/>
          <w:color w:val="auto"/>
        </w:rPr>
        <w:t>”), that, to his or her knowledge, the Quarterly Report of the Company on Form 10-Q for the period ended March 31, 2022, fully complies with the requirements of Section 13(a) or Section 15(d) of the Securities Exchange Act of 1934, as amended, and that the information contained in such report fairly presents, in all material respects, the financial condition and results of operation of the Company.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Date: May 3,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TJ KENNEDY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TJ Kennedy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May 3,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JAMES A. BARNES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James A. Barnes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 Secretary and Treasurer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foregoing certification is being furnished solely to accompany the Report pursuant to 18 U.S.C. Section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 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080"/>
      </w:cols>
      <w:pgMar w:left="48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2"/>
    </w:lvl>
  </w:abstractNum>
  <w:abstractNum w:abstractNumId="4">
    <w:nsid w:val="1190CDE7"/>
    <w:multiLevelType w:val="hybridMultilevel"/>
    <w:lvl w:ilvl="0">
      <w:lvlJc w:val="left"/>
      <w:lvlText w:val="%1."/>
      <w:numFmt w:val="decimal"/>
      <w:start w:val="3"/>
    </w:lvl>
  </w:abstractNum>
  <w:abstractNum w:abstractNumId="5">
    <w:nsid w:val="66EF438D"/>
    <w:multiLevelType w:val="hybridMultilevel"/>
    <w:lvl w:ilvl="0">
      <w:lvlJc w:val="left"/>
      <w:lvlText w:val="%1."/>
      <w:numFmt w:val="decimal"/>
      <w:start w:val="4"/>
    </w:lvl>
  </w:abstractNum>
  <w:abstractNum w:abstractNumId="6">
    <w:nsid w:val="140E0F76"/>
    <w:multiLevelType w:val="hybridMultilevel"/>
    <w:lvl w:ilvl="0">
      <w:lvlJc w:val="left"/>
      <w:lvlText w:val="%1."/>
      <w:numFmt w:val="decimal"/>
      <w:start w:val="6"/>
    </w:lvl>
  </w:abstractNum>
  <w:abstractNum w:abstractNumId="7">
    <w:nsid w:val="3352255A"/>
    <w:multiLevelType w:val="hybridMultilevel"/>
    <w:lvl w:ilvl="0">
      <w:lvlJc w:val="left"/>
      <w:lvlText w:val="%1."/>
      <w:numFmt w:val="decimal"/>
      <w:start w:val="8"/>
    </w:lvl>
  </w:abstractNum>
  <w:abstractNum w:abstractNumId="8">
    <w:nsid w:val="109CF92E"/>
    <w:multiLevelType w:val="hybridMultilevel"/>
    <w:lvl w:ilvl="0">
      <w:lvlJc w:val="left"/>
      <w:lvlText w:val="%1."/>
      <w:numFmt w:val="decimal"/>
      <w:start w:val="9"/>
    </w:lvl>
  </w:abstractNum>
  <w:abstractNum w:abstractNumId="9">
    <w:nsid w:val="DED7263"/>
    <w:multiLevelType w:val="hybridMultilevel"/>
    <w:lvl w:ilvl="0">
      <w:lvlJc w:val="left"/>
      <w:lvlText w:val="●"/>
      <w:numFmt w:val="bullet"/>
      <w:start w:val="1"/>
    </w:lvl>
  </w:abstractNum>
  <w:abstractNum w:abstractNumId="10">
    <w:nsid w:val="7FDCC233"/>
    <w:multiLevelType w:val="hybridMultilevel"/>
    <w:lvl w:ilvl="0">
      <w:lvlJc w:val="left"/>
      <w:lvlText w:val="●"/>
      <w:numFmt w:val="bullet"/>
      <w:start w:val="1"/>
    </w:lvl>
    <w:lvl w:ilvl="1">
      <w:lvlJc w:val="left"/>
      <w:lvlText w:val="-"/>
      <w:numFmt w:val="bullet"/>
      <w:start w:val="1"/>
    </w:lvl>
  </w:abstractNum>
  <w:abstractNum w:abstractNumId="11">
    <w:nsid w:val="1BEFD79F"/>
    <w:multiLevelType w:val="hybridMultilevel"/>
    <w:lvl w:ilvl="0">
      <w:lvlJc w:val="left"/>
      <w:lvlText w:val="●"/>
      <w:numFmt w:val="bullet"/>
      <w:start w:val="1"/>
    </w:lvl>
  </w:abstractNum>
  <w:abstractNum w:abstractNumId="12">
    <w:nsid w:val="41A7C4C9"/>
    <w:multiLevelType w:val="hybridMultilevel"/>
    <w:lvl w:ilvl="0">
      <w:lvlJc w:val="left"/>
      <w:lvlText w:val="(%1)"/>
      <w:numFmt w:val="lowerRoman"/>
      <w:start w:val="3"/>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1"/>
      <w:numFmt w:val="decimal"/>
      <w:start w:val="104"/>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2022-05-03T15:19:22Z</dcterms:created>
  <dcterms:modified xsi:type="dcterms:W3CDTF">2022-05-03T15:19:22Z</dcterms:modified>
</cp:coreProperties>
</file>