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156845</wp:posOffset>
            </wp:positionH>
            <wp:positionV relativeFrom="page">
              <wp:posOffset>293370</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395605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ANNUAL REPORT PURSUANT TO SECTION 13 OR 15(d) OF THE</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EXCHANGE ACT OF 1934</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2018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2349500</wp:posOffset>
            </wp:positionH>
            <wp:positionV relativeFrom="paragraph">
              <wp:posOffset>17780</wp:posOffset>
            </wp:positionV>
            <wp:extent cx="2557780" cy="1543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7780" cy="1543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Wrap Technologies,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917" w:right="239" w:bottom="1440" w:gutter="0" w:footer="0" w:header="0"/>
        </w:sectPr>
      </w:pPr>
    </w:p>
    <w:p>
      <w:pPr>
        <w:spacing w:after="0" w:line="220" w:lineRule="exact"/>
        <w:rPr>
          <w:sz w:val="24"/>
          <w:szCs w:val="24"/>
          <w:color w:val="auto"/>
        </w:rPr>
      </w:pPr>
    </w:p>
    <w:p>
      <w:pPr>
        <w:jc w:val="center"/>
        <w:ind w:right="700"/>
        <w:spacing w:after="0"/>
        <w:rPr>
          <w:sz w:val="20"/>
          <w:szCs w:val="20"/>
          <w:color w:val="auto"/>
        </w:rPr>
      </w:pPr>
      <w:r>
        <w:rPr>
          <w:rFonts w:ascii="Arial" w:cs="Arial" w:eastAsia="Arial" w:hAnsi="Arial"/>
          <w:sz w:val="17"/>
          <w:szCs w:val="17"/>
          <w:color w:val="auto"/>
        </w:rPr>
        <w:t>Delaware</w:t>
      </w:r>
    </w:p>
    <w:p>
      <w:pPr>
        <w:spacing w:after="0" w:line="26"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420"/>
        <w:spacing w:after="0"/>
        <w:rPr>
          <w:sz w:val="20"/>
          <w:szCs w:val="20"/>
          <w:color w:val="auto"/>
        </w:rPr>
      </w:pPr>
      <w:r>
        <w:rPr>
          <w:rFonts w:ascii="Arial" w:cs="Arial" w:eastAsia="Arial" w:hAnsi="Arial"/>
          <w:sz w:val="17"/>
          <w:szCs w:val="17"/>
          <w:color w:val="auto"/>
        </w:rPr>
        <w:t>98-0551945</w:t>
      </w:r>
    </w:p>
    <w:p>
      <w:pPr>
        <w:spacing w:after="0" w:line="26"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420" w:space="720"/>
            <w:col w:w="4280"/>
          </w:cols>
          <w:pgMar w:left="240" w:top="917"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4620 Arville Street, Ste 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Las Vegas, Nevada 89103</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(800) 583-2652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registered pursuant to Section 12(b) of the Act: None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Common Stock, par value $.0001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  ] No [X]</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[X]</w:t>
      </w:r>
    </w:p>
    <w:p>
      <w:pPr>
        <w:spacing w:after="0" w:line="234"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4"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type w:val="continuous"/>
        </w:sectPr>
      </w:pPr>
    </w:p>
    <w:bookmarkStart w:id="1" w:name="page2"/>
    <w:bookmarkEnd w:id="1"/>
    <w:p>
      <w:pPr>
        <w:jc w:val="both"/>
        <w:spacing w:after="0" w:line="279"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561" w:right="239" w:bottom="1440" w:gutter="0" w:footer="0" w:header="0"/>
        </w:sectPr>
      </w:pPr>
    </w:p>
    <w:p>
      <w:pPr>
        <w:spacing w:after="0" w:line="178" w:lineRule="exact"/>
        <w:rPr>
          <w:sz w:val="20"/>
          <w:szCs w:val="20"/>
          <w:color w:val="auto"/>
        </w:rPr>
      </w:pPr>
    </w:p>
    <w:p>
      <w:pPr>
        <w:jc w:val="both"/>
        <w:spacing w:after="0" w:line="367" w:lineRule="auto"/>
        <w:rPr>
          <w:sz w:val="20"/>
          <w:szCs w:val="20"/>
          <w:color w:val="auto"/>
        </w:rPr>
      </w:pPr>
      <w:r>
        <w:rPr>
          <w:rFonts w:ascii="Arial" w:cs="Arial" w:eastAsia="Arial" w:hAnsi="Arial"/>
          <w:sz w:val="15"/>
          <w:szCs w:val="15"/>
          <w:color w:val="auto"/>
        </w:rPr>
        <w:t>Large Accelerated Filer [ Non-accelerated filer [X]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0"/>
          <w:szCs w:val="20"/>
          <w:color w:val="auto"/>
        </w:rPr>
      </w:pPr>
    </w:p>
    <w:p>
      <w:pPr>
        <w:sectPr>
          <w:pgSz w:w="11900" w:h="16838" w:orient="portrait"/>
          <w:cols w:equalWidth="0" w:num="3">
            <w:col w:w="1780" w:space="120"/>
            <w:col w:w="2980" w:space="720"/>
            <w:col w:w="5820"/>
          </w:cols>
          <w:pgMar w:left="240" w:top="561" w:right="239" w:bottom="1440" w:gutter="0" w:footer="0" w:header="0"/>
          <w:type w:val="continuous"/>
        </w:sectPr>
      </w:pPr>
    </w:p>
    <w:p>
      <w:pPr>
        <w:spacing w:after="0" w:line="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  ] No [X]</w:t>
      </w:r>
    </w:p>
    <w:p>
      <w:pPr>
        <w:spacing w:after="0" w:line="234"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on June 29, 2018 (the last business day of the registrant’s most recently completed second fiscal quarter) was $22,087,352 based on the closing price as reported on the OTCQB operated by the OTC Markets.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27,364,607 shares of common stock, par value $0.0001 per share, as of March 6, 2019.</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registrant incorporates information required by Part III (Items 10, 11, 12, 13, and 14) of this report by reference to portions of the registrant’s definitive proxy statement with respect to its 2019 Annual Meeting of Shareholders to be filed with the Securities and Exchange Commission within 120 days after the close of the fiscal year ended December 31, 2018,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544195</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60" w:type="dxa"/>
            <w:vAlign w:val="bottom"/>
            <w:gridSpan w:val="14"/>
          </w:tcPr>
          <w:p>
            <w:pPr>
              <w:jc w:val="center"/>
              <w:ind w:right="2800"/>
              <w:spacing w:after="0"/>
              <w:rPr>
                <w:sz w:val="20"/>
                <w:szCs w:val="20"/>
                <w:color w:val="auto"/>
              </w:rPr>
            </w:pPr>
            <w:r>
              <w:rPr>
                <w:rFonts w:ascii="Arial" w:cs="Arial" w:eastAsia="Arial" w:hAnsi="Arial"/>
                <w:sz w:val="17"/>
                <w:szCs w:val="17"/>
                <w:b w:val="1"/>
                <w:bCs w:val="1"/>
                <w:color w:val="auto"/>
              </w:rPr>
              <w:t>TABLE OF CONTENTS</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jc w:val="center"/>
              <w:ind w:left="353"/>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gridSpan w:val="9"/>
          </w:tcPr>
          <w:p>
            <w:pPr>
              <w:jc w:val="center"/>
              <w:ind w:right="3840"/>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ITEM1A.</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Risk Factors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ITEM 1B.</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Unresolved Staff Comments</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Borders>
              <w:top w:val="single" w:sz="8" w:color="0000EE"/>
            </w:tcBorders>
            <w:gridSpan w:val="4"/>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ITEM 2.</w:t>
              </w:r>
            </w:hyperlink>
          </w:p>
        </w:tc>
        <w:tc>
          <w:tcPr>
            <w:tcW w:w="420" w:type="dxa"/>
            <w:vAlign w:val="bottom"/>
            <w:tcBorders>
              <w:top w:val="single" w:sz="8" w:color="CCEEFF"/>
            </w:tcBorders>
            <w:gridSpan w:val="2"/>
          </w:tcPr>
          <w:p>
            <w:pPr>
              <w:spacing w:after="0"/>
              <w:rPr>
                <w:sz w:val="15"/>
                <w:szCs w:val="15"/>
                <w:color w:val="auto"/>
              </w:rPr>
            </w:pPr>
          </w:p>
        </w:tc>
        <w:tc>
          <w:tcPr>
            <w:tcW w:w="2000" w:type="dxa"/>
            <w:vAlign w:val="bottom"/>
            <w:tcBorders>
              <w:top w:val="single" w:sz="8" w:color="0000EE"/>
            </w:tcBorders>
            <w:gridSpan w:val="11"/>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Properties</w:t>
              </w:r>
            </w:hyperlink>
          </w:p>
        </w:tc>
        <w:tc>
          <w:tcPr>
            <w:tcW w:w="6700" w:type="dxa"/>
            <w:vAlign w:val="bottom"/>
            <w:tcBorders>
              <w:top w:val="single" w:sz="8" w:color="CCEEFF"/>
            </w:tcBorders>
            <w:gridSpan w:val="17"/>
          </w:tcPr>
          <w:p>
            <w:pPr>
              <w:spacing w:after="0"/>
              <w:rPr>
                <w:sz w:val="15"/>
                <w:szCs w:val="15"/>
                <w:color w:val="auto"/>
              </w:rPr>
            </w:pPr>
          </w:p>
        </w:tc>
        <w:tc>
          <w:tcPr>
            <w:tcW w:w="1580" w:type="dxa"/>
            <w:vAlign w:val="bottom"/>
            <w:tcBorders>
              <w:top w:val="single" w:sz="8" w:color="CCEEFF"/>
            </w:tcBorders>
          </w:tcPr>
          <w:p>
            <w:pPr>
              <w:jc w:val="center"/>
              <w:ind w:left="393"/>
              <w:spacing w:after="0" w:line="175" w:lineRule="exact"/>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ITEM 3.</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Legal Proceedings</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ITEM 4.</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Mine Safety Disclosures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40" w:type="dxa"/>
            <w:vAlign w:val="bottom"/>
            <w:gridSpan w:val="10"/>
          </w:tcPr>
          <w:p>
            <w:pPr>
              <w:jc w:val="center"/>
              <w:ind w:right="3800"/>
              <w:spacing w:after="0" w:line="175"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PART II</w:t>
              </w:r>
            </w:hyperlink>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393"/>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ITEM 5.</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Market for Registrant’s Common Equity, Related Stockholder Matters and Issuer Purchases of Equity Securities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ITEM 6.</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Selected Financial Data</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2">
              <w:r>
                <w:rPr>
                  <w:rFonts w:ascii="Arial" w:cs="Arial" w:eastAsia="Arial" w:hAnsi="Arial"/>
                  <w:sz w:val="17"/>
                  <w:szCs w:val="17"/>
                  <w:color w:val="0000EE"/>
                </w:rPr>
                <w:t>ITEM 7.</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2">
              <w:r>
                <w:rPr>
                  <w:rFonts w:ascii="Arial" w:cs="Arial" w:eastAsia="Arial" w:hAnsi="Arial"/>
                  <w:sz w:val="17"/>
                  <w:szCs w:val="17"/>
                  <w:color w:val="0000EE"/>
                </w:rPr>
                <w:t>Management’s Discussion and Analysis of Financial Condition and Results of Operations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20" w:type="dxa"/>
            <w:vAlign w:val="bottom"/>
            <w:gridSpan w:val="5"/>
            <w:shd w:val="clear" w:color="auto" w:fill="CCEEFF"/>
          </w:tcPr>
          <w:p>
            <w:pPr>
              <w:spacing w:after="0" w:line="175" w:lineRule="exact"/>
              <w:rPr>
                <w:rFonts w:ascii="Arial" w:cs="Arial" w:eastAsia="Arial" w:hAnsi="Arial"/>
                <w:sz w:val="17"/>
                <w:szCs w:val="17"/>
                <w:color w:val="0000EE"/>
                <w:w w:val="98"/>
              </w:rPr>
            </w:pPr>
            <w:hyperlink w:anchor="page27">
              <w:r>
                <w:rPr>
                  <w:rFonts w:ascii="Arial" w:cs="Arial" w:eastAsia="Arial" w:hAnsi="Arial"/>
                  <w:sz w:val="17"/>
                  <w:szCs w:val="17"/>
                  <w:color w:val="0000EE"/>
                  <w:w w:val="98"/>
                </w:rPr>
                <w:t>ITEM 7A.</w:t>
              </w:r>
            </w:hyperlink>
          </w:p>
        </w:tc>
        <w:tc>
          <w:tcPr>
            <w:tcW w:w="400" w:type="dxa"/>
            <w:vAlign w:val="bottom"/>
            <w:shd w:val="clear" w:color="auto" w:fill="CCEEFF"/>
          </w:tcPr>
          <w:p>
            <w:pPr>
              <w:spacing w:after="0"/>
              <w:rPr>
                <w:sz w:val="16"/>
                <w:szCs w:val="16"/>
                <w:color w:val="auto"/>
              </w:rPr>
            </w:pPr>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Quantitative and Qualitative Disclosures about Market Risk</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Borders>
              <w:top w:val="single" w:sz="8" w:color="0000EE"/>
            </w:tcBorders>
            <w:gridSpan w:val="5"/>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ITEM 8.</w:t>
              </w:r>
            </w:hyperlink>
          </w:p>
        </w:tc>
        <w:tc>
          <w:tcPr>
            <w:tcW w:w="400" w:type="dxa"/>
            <w:vAlign w:val="bottom"/>
            <w:tcBorders>
              <w:top w:val="single" w:sz="8" w:color="CCEEFF"/>
            </w:tcBorders>
          </w:tcPr>
          <w:p>
            <w:pPr>
              <w:spacing w:after="0"/>
              <w:rPr>
                <w:sz w:val="15"/>
                <w:szCs w:val="15"/>
                <w:color w:val="auto"/>
              </w:rPr>
            </w:pPr>
          </w:p>
        </w:tc>
        <w:tc>
          <w:tcPr>
            <w:tcW w:w="4180" w:type="dxa"/>
            <w:vAlign w:val="bottom"/>
            <w:tcBorders>
              <w:top w:val="single" w:sz="8" w:color="0000EE"/>
            </w:tcBorders>
            <w:gridSpan w:val="16"/>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Financial Statements and Supplementary Data</w:t>
              </w:r>
            </w:hyperlink>
          </w:p>
        </w:tc>
        <w:tc>
          <w:tcPr>
            <w:tcW w:w="4520" w:type="dxa"/>
            <w:vAlign w:val="bottom"/>
            <w:tcBorders>
              <w:top w:val="single" w:sz="8" w:color="CCEEFF"/>
            </w:tcBorders>
            <w:gridSpan w:val="12"/>
          </w:tcPr>
          <w:p>
            <w:pPr>
              <w:spacing w:after="0"/>
              <w:rPr>
                <w:sz w:val="15"/>
                <w:szCs w:val="15"/>
                <w:color w:val="auto"/>
              </w:rPr>
            </w:pPr>
          </w:p>
        </w:tc>
        <w:tc>
          <w:tcPr>
            <w:tcW w:w="1580" w:type="dxa"/>
            <w:vAlign w:val="bottom"/>
            <w:tcBorders>
              <w:top w:val="single" w:sz="8" w:color="CCEEFF"/>
            </w:tcBorders>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ITEM 9.</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Changes in and Disagreement with Accountants on Accounting and Financial Disclosure</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ITEM 9A.</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Controls and Procedures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ITEM 9B.</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Other Information</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480" w:type="dxa"/>
            <w:vAlign w:val="bottom"/>
            <w:tcBorders>
              <w:top w:val="single" w:sz="8" w:color="CCEEFF"/>
            </w:tcBorders>
            <w:gridSpan w:val="11"/>
          </w:tcPr>
          <w:p>
            <w:pPr>
              <w:jc w:val="center"/>
              <w:ind w:right="3780"/>
              <w:spacing w:after="0" w:line="175" w:lineRule="exact"/>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PART III</w:t>
              </w:r>
            </w:hyperlink>
          </w:p>
        </w:tc>
        <w:tc>
          <w:tcPr>
            <w:tcW w:w="15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ITEM 10.</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Directors, Executive Officers and Corporate Governance</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shd w:val="clear" w:color="auto" w:fill="CCEEFF"/>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ITEM 11.</w:t>
              </w:r>
            </w:hyperlink>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Executive Compensation</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ITEM 12.</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Security Ownership of Certain Beneficial Owners and Management and Related Stockholder Matters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80" w:type="dxa"/>
            <w:vAlign w:val="bottom"/>
            <w:tcBorders>
              <w:bottom w:val="single" w:sz="8" w:color="0000EE"/>
            </w:tcBorders>
            <w:gridSpan w:val="3"/>
            <w:shd w:val="clear" w:color="auto" w:fill="CCEEFF"/>
          </w:tcPr>
          <w:p>
            <w:pPr>
              <w:spacing w:after="0" w:line="175" w:lineRule="exact"/>
              <w:rPr>
                <w:rFonts w:ascii="Arial" w:cs="Arial" w:eastAsia="Arial" w:hAnsi="Arial"/>
                <w:sz w:val="17"/>
                <w:szCs w:val="17"/>
                <w:color w:val="0000EE"/>
                <w:w w:val="95"/>
              </w:rPr>
            </w:pPr>
            <w:hyperlink w:anchor="page28">
              <w:r>
                <w:rPr>
                  <w:rFonts w:ascii="Arial" w:cs="Arial" w:eastAsia="Arial" w:hAnsi="Arial"/>
                  <w:sz w:val="17"/>
                  <w:szCs w:val="17"/>
                  <w:color w:val="0000EE"/>
                  <w:w w:val="95"/>
                </w:rPr>
                <w:t>ITEM 13.</w:t>
              </w:r>
            </w:hyperlink>
          </w:p>
        </w:tc>
        <w:tc>
          <w:tcPr>
            <w:tcW w:w="440" w:type="dxa"/>
            <w:vAlign w:val="bottom"/>
            <w:tcBorders>
              <w:bottom w:val="single" w:sz="8" w:color="CCEEFF"/>
            </w:tcBorders>
            <w:gridSpan w:val="3"/>
            <w:shd w:val="clear" w:color="auto" w:fill="CCEEFF"/>
          </w:tcPr>
          <w:p>
            <w:pPr>
              <w:spacing w:after="0"/>
              <w:rPr>
                <w:sz w:val="16"/>
                <w:szCs w:val="16"/>
                <w:color w:val="auto"/>
              </w:rPr>
            </w:pPr>
          </w:p>
        </w:tc>
        <w:tc>
          <w:tcPr>
            <w:tcW w:w="5260" w:type="dxa"/>
            <w:vAlign w:val="bottom"/>
            <w:tcBorders>
              <w:bottom w:val="single" w:sz="8" w:color="0000EE"/>
            </w:tcBorders>
            <w:gridSpan w:val="23"/>
            <w:shd w:val="clear" w:color="auto" w:fill="CCEEFF"/>
          </w:tcPr>
          <w:p>
            <w:pPr>
              <w:spacing w:after="0" w:line="175" w:lineRule="exact"/>
              <w:rPr>
                <w:rFonts w:ascii="Arial" w:cs="Arial" w:eastAsia="Arial" w:hAnsi="Arial"/>
                <w:sz w:val="17"/>
                <w:szCs w:val="17"/>
                <w:color w:val="0000EE"/>
                <w:w w:val="91"/>
              </w:rPr>
            </w:pPr>
            <w:hyperlink w:anchor="page28">
              <w:r>
                <w:rPr>
                  <w:rFonts w:ascii="Arial" w:cs="Arial" w:eastAsia="Arial" w:hAnsi="Arial"/>
                  <w:sz w:val="17"/>
                  <w:szCs w:val="17"/>
                  <w:color w:val="0000EE"/>
                  <w:w w:val="91"/>
                </w:rPr>
                <w:t>Certain Relationships and Related Transactions and Director Independence</w:t>
              </w:r>
            </w:hyperlink>
          </w:p>
        </w:tc>
        <w:tc>
          <w:tcPr>
            <w:tcW w:w="3440" w:type="dxa"/>
            <w:vAlign w:val="bottom"/>
            <w:tcBorders>
              <w:bottom w:val="single" w:sz="8" w:color="CCEEFF"/>
            </w:tcBorders>
            <w:gridSpan w:val="5"/>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ITEM 14.</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Principal Accounting Fees and Services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393"/>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80" w:type="dxa"/>
            <w:vAlign w:val="bottom"/>
            <w:gridSpan w:val="11"/>
          </w:tcPr>
          <w:p>
            <w:pPr>
              <w:jc w:val="center"/>
              <w:ind w:right="3780"/>
              <w:spacing w:after="0" w:line="175" w:lineRule="exact"/>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PART IV</w:t>
              </w:r>
            </w:hyperlink>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6"/>
          </w:tcPr>
          <w:p>
            <w:pPr>
              <w:spacing w:after="0" w:line="175" w:lineRule="exact"/>
              <w:rPr>
                <w:rFonts w:ascii="Arial" w:cs="Arial" w:eastAsia="Arial" w:hAnsi="Arial"/>
                <w:sz w:val="17"/>
                <w:szCs w:val="17"/>
                <w:color w:val="0000EE"/>
              </w:rPr>
            </w:pPr>
            <w:hyperlink w:anchor="page29">
              <w:r>
                <w:rPr>
                  <w:rFonts w:ascii="Arial" w:cs="Arial" w:eastAsia="Arial" w:hAnsi="Arial"/>
                  <w:sz w:val="17"/>
                  <w:szCs w:val="17"/>
                  <w:color w:val="0000EE"/>
                </w:rPr>
                <w:t>ITEM 15.</w:t>
              </w:r>
            </w:hyperlink>
          </w:p>
        </w:tc>
        <w:tc>
          <w:tcPr>
            <w:tcW w:w="8700" w:type="dxa"/>
            <w:vAlign w:val="bottom"/>
            <w:gridSpan w:val="28"/>
          </w:tcPr>
          <w:p>
            <w:pPr>
              <w:spacing w:after="0" w:line="175" w:lineRule="exact"/>
              <w:rPr>
                <w:rFonts w:ascii="Arial" w:cs="Arial" w:eastAsia="Arial" w:hAnsi="Arial"/>
                <w:sz w:val="17"/>
                <w:szCs w:val="17"/>
                <w:color w:val="0000EE"/>
              </w:rPr>
            </w:pPr>
            <w:hyperlink w:anchor="page29">
              <w:r>
                <w:rPr>
                  <w:rFonts w:ascii="Arial" w:cs="Arial" w:eastAsia="Arial" w:hAnsi="Arial"/>
                  <w:sz w:val="17"/>
                  <w:szCs w:val="17"/>
                  <w:color w:val="0000EE"/>
                </w:rPr>
                <w:t>Exhibits, Financial Statement Schedules</w:t>
              </w:r>
            </w:hyperlink>
          </w:p>
        </w:tc>
        <w:tc>
          <w:tcPr>
            <w:tcW w:w="1580" w:type="dxa"/>
            <w:vAlign w:val="bottom"/>
          </w:tcPr>
          <w:p>
            <w:pPr>
              <w:jc w:val="center"/>
              <w:ind w:left="393"/>
              <w:spacing w:after="0" w:line="175" w:lineRule="exact"/>
              <w:rPr>
                <w:sz w:val="20"/>
                <w:szCs w:val="20"/>
                <w:color w:val="auto"/>
              </w:rPr>
            </w:pPr>
            <w:r>
              <w:rPr>
                <w:rFonts w:ascii="Arial" w:cs="Arial" w:eastAsia="Arial" w:hAnsi="Arial"/>
                <w:sz w:val="17"/>
                <w:szCs w:val="17"/>
                <w:color w:val="auto"/>
                <w:w w:val="94"/>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700" w:type="dxa"/>
            <w:vAlign w:val="bottom"/>
            <w:gridSpan w:val="28"/>
            <w:shd w:val="clear" w:color="auto" w:fill="CCEEFF"/>
          </w:tcPr>
          <w:p>
            <w:pPr>
              <w:spacing w:after="0" w:line="175" w:lineRule="exact"/>
              <w:rPr>
                <w:rFonts w:ascii="Arial" w:cs="Arial" w:eastAsia="Arial" w:hAnsi="Arial"/>
                <w:sz w:val="17"/>
                <w:szCs w:val="17"/>
                <w:color w:val="0000EE"/>
              </w:rPr>
            </w:pPr>
            <w:hyperlink w:anchor="page30">
              <w:r>
                <w:rPr>
                  <w:rFonts w:ascii="Arial" w:cs="Arial" w:eastAsia="Arial" w:hAnsi="Arial"/>
                  <w:sz w:val="17"/>
                  <w:szCs w:val="17"/>
                  <w:color w:val="0000EE"/>
                </w:rPr>
                <w:t>Signatures</w:t>
              </w:r>
            </w:hyperlink>
          </w:p>
        </w:tc>
        <w:tc>
          <w:tcPr>
            <w:tcW w:w="1580" w:type="dxa"/>
            <w:vAlign w:val="bottom"/>
            <w:shd w:val="clear" w:color="auto" w:fill="CCEEFF"/>
          </w:tcPr>
          <w:p>
            <w:pPr>
              <w:jc w:val="center"/>
              <w:ind w:left="393"/>
              <w:spacing w:after="0" w:line="175" w:lineRule="exact"/>
              <w:rPr>
                <w:sz w:val="20"/>
                <w:szCs w:val="20"/>
                <w:color w:val="auto"/>
              </w:rPr>
            </w:pPr>
            <w:r>
              <w:rPr>
                <w:rFonts w:ascii="Arial" w:cs="Arial" w:eastAsia="Arial" w:hAnsi="Arial"/>
                <w:sz w:val="17"/>
                <w:szCs w:val="17"/>
                <w:color w:val="auto"/>
                <w:w w:val="94"/>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700" w:type="dxa"/>
            <w:vAlign w:val="bottom"/>
            <w:gridSpan w:val="28"/>
          </w:tcPr>
          <w:p>
            <w:pPr>
              <w:spacing w:after="0" w:line="175" w:lineRule="exact"/>
              <w:rPr>
                <w:rFonts w:ascii="Arial" w:cs="Arial" w:eastAsia="Arial" w:hAnsi="Arial"/>
                <w:sz w:val="17"/>
                <w:szCs w:val="17"/>
                <w:color w:val="0000EE"/>
              </w:rPr>
            </w:pPr>
            <w:hyperlink w:anchor="page31">
              <w:r>
                <w:rPr>
                  <w:rFonts w:ascii="Arial" w:cs="Arial" w:eastAsia="Arial" w:hAnsi="Arial"/>
                  <w:sz w:val="17"/>
                  <w:szCs w:val="17"/>
                  <w:color w:val="0000EE"/>
                </w:rPr>
                <w:t>Financial Statements</w:t>
              </w:r>
            </w:hyperlink>
          </w:p>
        </w:tc>
        <w:tc>
          <w:tcPr>
            <w:tcW w:w="1580" w:type="dxa"/>
            <w:vAlign w:val="bottom"/>
          </w:tcPr>
          <w:p>
            <w:pPr>
              <w:jc w:val="center"/>
              <w:ind w:left="413"/>
              <w:spacing w:after="0" w:line="175" w:lineRule="exact"/>
              <w:rPr>
                <w:sz w:val="20"/>
                <w:szCs w:val="20"/>
                <w:color w:val="auto"/>
              </w:rPr>
            </w:pPr>
            <w:r>
              <w:rPr>
                <w:rFonts w:ascii="Arial" w:cs="Arial" w:eastAsia="Arial" w:hAnsi="Arial"/>
                <w:sz w:val="17"/>
                <w:szCs w:val="17"/>
                <w:color w:val="auto"/>
                <w:w w:val="93"/>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HISTORICAL INFORMATION, THIS ANNUAL REPORT ON FORM 10-K (THE “</w:t>
      </w:r>
      <w:r>
        <w:rPr>
          <w:rFonts w:ascii="Arial" w:cs="Arial" w:eastAsia="Arial" w:hAnsi="Arial"/>
          <w:sz w:val="17"/>
          <w:szCs w:val="17"/>
          <w:i w:val="1"/>
          <w:iCs w:val="1"/>
          <w:color w:val="auto"/>
        </w:rPr>
        <w:t>ANNUAL REPORT</w:t>
      </w:r>
      <w:r>
        <w:rPr>
          <w:rFonts w:ascii="Arial" w:cs="Arial" w:eastAsia="Arial" w:hAnsi="Arial"/>
          <w:sz w:val="17"/>
          <w:szCs w:val="17"/>
          <w:color w:val="auto"/>
        </w:rPr>
        <w:t>”) CONTAINS FORWARD-LOOKING STATEMENTS WITHIN THE MEANING OF THE PRIVATE SECURITIES LITIGATION REFORM ACT OF 1995 AND THE COMPANY DESIRES TO TAKE ADVANTAGE OF THE “SAFE HARBOR” PROVISIONS THEREOF. THEREFORE, THE COMPANY IS INCLUDING THIS STATEMENT FOR THE EXPRESS PURPOSE OF AVAILING ITSELF OF THE PROTECTIONS OF SUCH SAFE HARBOR WITH RESPECT TO ALL OF SUCH FORWARD-LOOKING STATEMENTS. THE FORWARD-LOOKING STATEMENTS IN THIS REPORT REFLECT THE COMPANY’S CURRENT VIEWS WITH RESPECT TO FUTURE EVENTS AND FINANCIAL PERFORMANCE. THESE FORWARD-LOOKING STATEMENTS ARE SUBJECT TO CERTAIN RISKS AND UNCERTAINTIES, INCLUDING THOSE DISCUSSED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RISK FACTORS DESCRIBED BELOW AND NOT TO PLACE UNDUE RELIANCE ON THE FORWARD-LOOKING STATEMENTS CONTAINED HEREIN, WHICH SPEAK ONLY AS OF THE DATE HEREOF. THE COMPANY UNDERTAKES NO OBLIGATION TO PUBLICLY REVISE THESE FORWARD-LOOKING STATEMENTS TO REFLECT EVENTS OR CIRCUMSTANCES THAT MAY ARISE AFTER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BolaWrap and our other common law trademarks, service marks or trade names appearing in this Annual Report are the property of Wrap Technologies, Inc. Other trademarks, service marks or trade names appearing in this Annual Report are the property of their owners. We do not intend our use or display of other companies’ trade names or trademarks to imply a relationship with, or endorsement or sponsorship of us by, any other companies. We have omitted the ® and ™ designations, as applicable, for the trademarks used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security technology company organized in March 2016 focused on delivering modern policing solutions to customers, primarily consisting of law enforcement and security personnel. We began demonstrations of our first product, the BolaWrap 100 remote restraint device, in November 2017. The immediate addressable domestic market consists of approximately 701,000 full-time sworn law enforcement officers in the U.S. We have demonstrated the product to over 60 agencies across the country, often with media in attendance, resulting in dozens of media reports including television and print that have driven hundreds of inquiries from domestic and international prospects. Over 40 law enforcement agencies took delivery of the BolaWrap 100 devices during 2018. We have delivered over 200 devices at no cost to these agencies for evaluation and feedback as a result of these initial inquiries and have just started filling small orders as we establish production. We have made improvements to our product as a result of law agency input and we are now taking orders for an enhanced version of the BolaWrap 100 with a new green line laser accessory scheduled to commence deliveries in the second quarter of 2019. There can be no assurance regarding the timing or amount of future revenue from this product or future products, if any.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BolaWrap 100 is a hand-held remote restraint device that discharges an eight-foot bola style Kevlar tether to entangle an individual at a range of 10-25 feet.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Inspired by law enforcement professionals, the small but powerful the BolaWrap 100 assists law enforcement to safely and effectively control encounters.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Currently, law enforcement agencies authorize a continuum of force options:</w:t>
      </w:r>
    </w:p>
    <w:p>
      <w:pPr>
        <w:spacing w:after="0" w:line="228" w:lineRule="exact"/>
        <w:rPr>
          <w:sz w:val="20"/>
          <w:szCs w:val="20"/>
          <w:color w:val="auto"/>
        </w:rPr>
      </w:pPr>
    </w:p>
    <w:p>
      <w:pPr>
        <w:ind w:left="660" w:hanging="330"/>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verbal commands;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physical control – soft techniques of grabs and holds progressing to hard techniques such as punches and kicks;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less-lethal weapons – batons, pepper spray, impact munitions and conducted electrical weapons (“</w:t>
      </w:r>
      <w:r>
        <w:rPr>
          <w:rFonts w:ascii="Arial" w:cs="Arial" w:eastAsia="Arial" w:hAnsi="Arial"/>
          <w:sz w:val="17"/>
          <w:szCs w:val="17"/>
          <w:i w:val="1"/>
          <w:iCs w:val="1"/>
          <w:color w:val="auto"/>
        </w:rPr>
        <w:t>CEWs</w:t>
      </w:r>
      <w:r>
        <w:rPr>
          <w:rFonts w:ascii="Arial" w:cs="Arial" w:eastAsia="Arial" w:hAnsi="Arial"/>
          <w:sz w:val="17"/>
          <w:szCs w:val="17"/>
          <w:color w:val="auto"/>
        </w:rPr>
        <w:t>”);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lethal force – deadly weapons such as firearms.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 w:name="page5"/>
    <w:bookmarkEnd w:id="4"/>
    <w:p>
      <w:pPr>
        <w:jc w:val="both"/>
        <w:spacing w:after="0" w:line="295" w:lineRule="auto"/>
        <w:rPr>
          <w:sz w:val="20"/>
          <w:szCs w:val="20"/>
          <w:color w:val="auto"/>
        </w:rPr>
      </w:pPr>
      <w:r>
        <w:rPr>
          <w:rFonts w:ascii="Arial" w:cs="Arial" w:eastAsia="Arial" w:hAnsi="Arial"/>
          <w:sz w:val="17"/>
          <w:szCs w:val="17"/>
          <w:color w:val="auto"/>
        </w:rPr>
        <w:t>The BolaWrap 100 offers law enforcement a new tool to remotely and temporarily control an individual or impede flight or movement by targeting and wrapping an individual’s legs or arms.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small, light, but rugged BolaWrap 100 is designed for weak hand operation to provide remote restraint while other use of force continuum options remain open. The design offers wide latitude of accuracy to engage and restrain targeted legs or arms of a subject. Quick eject and rapid reload of bola cartridges allows one device to be reused in a single encounter or in multiple encounters.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limited effective options for remote engagement, so when verbal commands go unheeded, law enforcement is faced with either hands on engagement or other potentially injurious less-lethal or lethal force. We believe our new tool is essential to meet modern policing requirements with individuals frequently not responding to verbal commands and to assuage public demands for less-lethal policing, especially in encounters with subjects experiencing a mental crisis. We believe our device minimizes the need to employ other uses of force including combat and less-lethal weapons. Many less-lethal weapons rely on “pain compliance,” often escalating encounters with potential for injury.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Primary use cases fall into the three broad categories routinely encountered by law enforcement and security personnel:</w:t>
      </w:r>
    </w:p>
    <w:p>
      <w:pPr>
        <w:spacing w:after="0" w:line="234" w:lineRule="exact"/>
        <w:rPr>
          <w:sz w:val="20"/>
          <w:szCs w:val="20"/>
          <w:color w:val="auto"/>
        </w:rPr>
      </w:pPr>
    </w:p>
    <w:p>
      <w:pPr>
        <w:ind w:left="660" w:right="20" w:hanging="330"/>
        <w:spacing w:after="0" w:line="26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remotely restrain and limit the mobility of an individual that may be experiencing a mental crisis and incapable of responding to law enforcement’s verbal commands but that presents a danger to law enforcement, the public or themselves if not restrained;</w:t>
      </w:r>
    </w:p>
    <w:p>
      <w:pPr>
        <w:spacing w:after="0" w:line="1" w:lineRule="exact"/>
        <w:rPr>
          <w:rFonts w:ascii="Arial" w:cs="Arial" w:eastAsia="Arial" w:hAnsi="Arial"/>
          <w:sz w:val="17"/>
          <w:szCs w:val="17"/>
          <w:color w:val="auto"/>
        </w:rPr>
      </w:pPr>
    </w:p>
    <w:p>
      <w:pPr>
        <w:ind w:left="660" w:right="20" w:hanging="330"/>
        <w:spacing w:after="0" w:line="26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remotely restrain and limit the mobility of an individual attempting to evade arrest or questioning, as well as individuals increasingly ignoring verbal commands from law enforcement; and</w:t>
      </w:r>
    </w:p>
    <w:p>
      <w:pPr>
        <w:spacing w:after="0" w:line="1" w:lineRule="exact"/>
        <w:rPr>
          <w:rFonts w:ascii="Arial" w:cs="Arial" w:eastAsia="Arial" w:hAnsi="Arial"/>
          <w:sz w:val="17"/>
          <w:szCs w:val="17"/>
          <w:color w:val="auto"/>
        </w:rPr>
      </w:pPr>
    </w:p>
    <w:p>
      <w:pPr>
        <w:ind w:left="660" w:hanging="330"/>
        <w:spacing w:after="0" w:line="28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assist in subduing individuals actively resisting arrest by limiting mobility, possibly making other engagement options less risky to officers and less injurious to individuals.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commercialization strategy is to focus on the immediate addressable domestic market of approximately 701,000 full-time sworn officers in 15,300 federal, state and local law enforcement agencies (as reported in the August 2018 U.S. Department of Justice, Statistical Brief, Full-Time Employees in Law Enforcement Agencies, 1997-2016), while also exploring other markets, including military, border patrol and international markets. We have estimated an addressable international market of over 12.1 million police officers in the 100 largest police forces gathered from individual country statistics. According to Stratistics MRC, we participate in a segment of the non-lethal products market expected to grow to $11.85 billion by 2023.</w:t>
      </w:r>
    </w:p>
    <w:p>
      <w:pPr>
        <w:spacing w:after="0" w:line="18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Law enforcement encounters with the mentally ill or those suffering a mental crisis present a difficult challenge, often generating public controversy and costly consequences. According to the Treatment Advocacy Center: Office of Research &amp; Public Affairs in a 2015 report on The Role of Mental Illness in Fatal Law Enforcement Encounters, one in ten police encounters involve the mentally ill and a minimum of one in four fatal police encounters involve the mentally ill.</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unable to predict the market acceptance of our new product or the level of future sales, if any. We believe the enhanced version of our product with the green line laser accessory will meet customer requirements and we are seeking orders for delivery scheduled in the second quarter of 2019. We believe we can accelerate orders during the balance of 2019. However, there can be no assurance of the timing or quantity of orders or sales in future periods.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Annual Report for additional information regarding risks and uncertainties associated with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were organized as Wrap Technologies, LLC, a Delaware limited liability company (“</w:t>
      </w:r>
      <w:r>
        <w:rPr>
          <w:rFonts w:ascii="Arial" w:cs="Arial" w:eastAsia="Arial" w:hAnsi="Arial"/>
          <w:sz w:val="17"/>
          <w:szCs w:val="17"/>
          <w:i w:val="1"/>
          <w:iCs w:val="1"/>
          <w:color w:val="auto"/>
        </w:rPr>
        <w:t>Wrap LLC</w:t>
      </w:r>
      <w:r>
        <w:rPr>
          <w:rFonts w:ascii="Arial" w:cs="Arial" w:eastAsia="Arial" w:hAnsi="Arial"/>
          <w:sz w:val="17"/>
          <w:szCs w:val="17"/>
          <w:color w:val="auto"/>
        </w:rPr>
        <w:t>”), on March 2, 2016 by our founders Elwood G. Norris, Scot Cohen and James A. Barnes. We are headquartered in Las Vegas, Nevada. Our formation followed several months of research into ensnarement techniques by our Chief Technology Officer and primary inventor, Mr. Norris. Mr. Norris has been granted over 80 U.S. patents, and with Mr. Barnes, founded LRAD Corporation (Nasdaq:LRAD), a company engaged in directed sound technologies including non-lethal acoustic hailing and warning devices sold worldwide for law enforcement, military, government and security markets.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31, 2017 Wrap LLC merged with and into a wholly-owned subsidiary MegaWest Energy Montana Corp. (“</w:t>
      </w:r>
      <w:r>
        <w:rPr>
          <w:rFonts w:ascii="Arial" w:cs="Arial" w:eastAsia="Arial" w:hAnsi="Arial"/>
          <w:sz w:val="17"/>
          <w:szCs w:val="17"/>
          <w:i w:val="1"/>
          <w:iCs w:val="1"/>
          <w:color w:val="auto"/>
        </w:rPr>
        <w:t>MegaWest</w:t>
      </w:r>
      <w:r>
        <w:rPr>
          <w:rFonts w:ascii="Arial" w:cs="Arial" w:eastAsia="Arial" w:hAnsi="Arial"/>
          <w:sz w:val="17"/>
          <w:szCs w:val="17"/>
          <w:color w:val="auto"/>
        </w:rPr>
        <w:t>”). Wrap LLC ceased separate existence, and MegaWest continued as the surviving entity after changing its name to Wrap Technologies, Inc. Prior to the merger, on March 22, 2017, Wrap LLC acquired privately held MegaWest from Petro River Oil Corp. (“</w:t>
      </w:r>
      <w:r>
        <w:rPr>
          <w:rFonts w:ascii="Arial" w:cs="Arial" w:eastAsia="Arial" w:hAnsi="Arial"/>
          <w:sz w:val="17"/>
          <w:szCs w:val="17"/>
          <w:i w:val="1"/>
          <w:iCs w:val="1"/>
          <w:color w:val="auto"/>
        </w:rPr>
        <w:t>Petro River</w:t>
      </w:r>
      <w:r>
        <w:rPr>
          <w:rFonts w:ascii="Arial" w:cs="Arial" w:eastAsia="Arial" w:hAnsi="Arial"/>
          <w:sz w:val="17"/>
          <w:szCs w:val="17"/>
          <w:color w:val="auto"/>
        </w:rPr>
        <w:t>”), a related party as a result of Scot Cohen, our Executive Chairman, also being a significant stockholder and the Executive Chairman of Petro River. MegaWest had no assets or liabilities at the date of acquisition and was not an operating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In December 2017, we completed a self-underwritten public offering, raising gross proceeds of approximately $3.49 million from the sale of 2,328,533 shares of our common stock, par value $0.0001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at a public offering price of $1.50 per share. Three officers of the Company purchased an aggregate of 40,000 shares of Common Stock during the offering for an aggregate of $60,000.</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October 30, 2018, we completed a private placement, resulting in gross cash proceeds to the Company of $13.68 million and net cash proceeds of approximately $12.14 million from the sale of 4,561,074 units of Company securities (“</w:t>
      </w:r>
      <w:r>
        <w:rPr>
          <w:rFonts w:ascii="Arial" w:cs="Arial" w:eastAsia="Arial" w:hAnsi="Arial"/>
          <w:sz w:val="17"/>
          <w:szCs w:val="17"/>
          <w:i w:val="1"/>
          <w:iCs w:val="1"/>
          <w:color w:val="auto"/>
        </w:rPr>
        <w:t>Units</w:t>
      </w:r>
      <w:r>
        <w:rPr>
          <w:rFonts w:ascii="Arial" w:cs="Arial" w:eastAsia="Arial" w:hAnsi="Arial"/>
          <w:sz w:val="17"/>
          <w:szCs w:val="17"/>
          <w:color w:val="auto"/>
        </w:rPr>
        <w:t>”) for $3.00 per Unit. Each Unit consisted of one share of Common Stock and one detachable two-year warrant to purchase one share of Common Stock at an exercise price of $5.00 per share. We issued 4,561,074 shares of Common Stock and detachable warrants to certain accredited investors in the private placement. We also issued two-year warrants to purchase 456,107 shares of Common Stock at an exercise price of $3.00 per share to our placement agents and their designees. Members of our management and our existing stockholders purchased over 25% of the securities sold in the private placement, including $1.0 million invested by our Chief Technology Officer, Elwood G. Norris. In connection with the private placement, the Company agreed to file a registration statement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to register the shares of Common Stock and shares of Common Stock issuable upon exercise of the warrants issued in the offering, which registration statement was declared effective on December 10, 2018.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w:t>
      </w:r>
    </w:p>
    <w:p>
      <w:pPr>
        <w:spacing w:after="0" w:line="240"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Our plan of operation for 2019 includes growing research, production, marketing, sales, training, distribution and service functions. We expect to focus significant efforts on domestic and international sales, training and developing volume production.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activities for 2019 will focus on enhancing the BolaWrap 100 product and cost reduction activities. Our research plans also include focusing on creating new models of our restraining device and developing other security related products. We will also evaluate other related products for acquisition or distribution.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no plans for material acquisition of plant or equipment.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for use of force related products and devices includes law enforcement agencies, correctional facilities, military agencies, private security guard companies and retail consumers. We believe law enforcement officials are the opinion leaders regarding market acceptance of new security products. We therefore intend to focus on the law enforcement agency segment of the market for the BolaWrap 100.</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According to the Department of Justice (“Police Use of Nonfatal Force, 2002-2011,” Special Report NCJ 249216, Published November 2015 by the U.S. Department of Justice Office of Justice Programs, Bureau of Justice Statistics), from 2002 to 2011 an annual average of 44 million U.S. residents age 16 or older, approximately 19% of all persons of this age, had at least one face-to-face contact with a police officer. About 1.6% or 715,500 involved threats of or use of force. Additionally, about 1.3 million were handcuffed during their encounter with police. Nearly all local police departments and all federal law enforcement agencies have a use-of-force policy that dictates the level of force its officers may use to respond to various situations. In January 2017, a collaborative effort among 11 significant law enforcement leadership and labor organizations in the United States resulted in the publication of a National Consensus Policy on Use of Force (collaborative publication of 11 contributing law enforcement agencies organized by the International Association of Chiefs of Police and published in January 2017). This policy states, among other information:</w:t>
      </w:r>
    </w:p>
    <w:p>
      <w:pPr>
        <w:spacing w:after="0" w:line="187" w:lineRule="exact"/>
        <w:rPr>
          <w:sz w:val="20"/>
          <w:szCs w:val="20"/>
          <w:color w:val="auto"/>
        </w:rPr>
      </w:pPr>
    </w:p>
    <w:p>
      <w:pPr>
        <w:ind w:left="660" w:hanging="330"/>
        <w:spacing w:after="0" w:line="26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only the force that is objectively reasonable to effectively bring an incident under control, while protecting the safety of the officer and others;</w:t>
      </w:r>
    </w:p>
    <w:p>
      <w:pPr>
        <w:spacing w:after="0" w:line="1" w:lineRule="exact"/>
        <w:rPr>
          <w:rFonts w:ascii="Arial" w:cs="Arial" w:eastAsia="Arial" w:hAnsi="Arial"/>
          <w:sz w:val="17"/>
          <w:szCs w:val="17"/>
          <w:color w:val="auto"/>
        </w:rPr>
      </w:pPr>
    </w:p>
    <w:p>
      <w:pPr>
        <w:ind w:left="660" w:right="20" w:hanging="330"/>
        <w:spacing w:after="0" w:line="26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force only when no reasonably effective alternative appears to exist and shall use only the level of force which a reasonably prudent officer would use under the same or similar circumstances;</w:t>
      </w:r>
    </w:p>
    <w:p>
      <w:pPr>
        <w:spacing w:after="0" w:line="1" w:lineRule="exact"/>
        <w:rPr>
          <w:rFonts w:ascii="Arial" w:cs="Arial" w:eastAsia="Arial" w:hAnsi="Arial"/>
          <w:sz w:val="17"/>
          <w:szCs w:val="17"/>
          <w:color w:val="auto"/>
        </w:rPr>
      </w:pPr>
    </w:p>
    <w:p>
      <w:pPr>
        <w:ind w:left="660" w:hanging="330"/>
        <w:spacing w:after="0" w:line="26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officer shall use de-escalation techniques and other alternatives to higher levels of force consistent with his or her training whenever possible and appropriate before resorting to force and to reduce the need for force; and</w:t>
      </w:r>
    </w:p>
    <w:p>
      <w:pPr>
        <w:spacing w:after="0" w:line="1" w:lineRule="exact"/>
        <w:rPr>
          <w:rFonts w:ascii="Arial" w:cs="Arial" w:eastAsia="Arial" w:hAnsi="Arial"/>
          <w:sz w:val="17"/>
          <w:szCs w:val="17"/>
          <w:color w:val="auto"/>
        </w:rPr>
      </w:pPr>
    </w:p>
    <w:p>
      <w:pPr>
        <w:ind w:left="660" w:hanging="330"/>
        <w:spacing w:after="0" w:line="28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when de-escalation techniques are not effective or appropriate, an officer may consider the use of less-lethal force to control a non-compliant or actively resistant individual. An officer is authorized to use agency-approved, less-lethal force techniques and issued equipment:</w:t>
      </w:r>
    </w:p>
    <w:p>
      <w:pPr>
        <w:spacing w:after="0" w:line="170" w:lineRule="exact"/>
        <w:rPr>
          <w:sz w:val="20"/>
          <w:szCs w:val="20"/>
          <w:color w:val="auto"/>
        </w:rPr>
      </w:pPr>
    </w:p>
    <w:p>
      <w:pPr>
        <w:ind w:left="1300" w:hanging="326"/>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protect the officer or others from immediate physical harm;</w:t>
      </w:r>
    </w:p>
    <w:p>
      <w:pPr>
        <w:spacing w:after="0" w:line="26" w:lineRule="exact"/>
        <w:rPr>
          <w:rFonts w:ascii="Arial" w:cs="Arial" w:eastAsia="Arial" w:hAnsi="Arial"/>
          <w:sz w:val="17"/>
          <w:szCs w:val="17"/>
          <w:color w:val="auto"/>
        </w:rPr>
      </w:pPr>
    </w:p>
    <w:p>
      <w:pPr>
        <w:ind w:left="1300" w:hanging="326"/>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restrain or subdue an individual who is actively resisting or evading arrest; or</w:t>
      </w:r>
    </w:p>
    <w:p>
      <w:pPr>
        <w:spacing w:after="0" w:line="19" w:lineRule="exact"/>
        <w:rPr>
          <w:rFonts w:ascii="Arial" w:cs="Arial" w:eastAsia="Arial" w:hAnsi="Arial"/>
          <w:sz w:val="17"/>
          <w:szCs w:val="17"/>
          <w:color w:val="auto"/>
        </w:rPr>
      </w:pPr>
    </w:p>
    <w:p>
      <w:pPr>
        <w:ind w:left="1300" w:hanging="326"/>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bring an unlawful situation safely and effectively under control.</w:t>
      </w:r>
    </w:p>
    <w:p>
      <w:pPr>
        <w:spacing w:after="0" w:line="22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A police officer is trained to use only the minimum force necessary to overcome the threat of injury or violence posed by a suspect. For example, under most policies, an officer may not use lethal force unless a subject poses a threat of significant bodily injury or fatality to the officer or other persons.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7"/>
          <w:szCs w:val="17"/>
          <w:color w:val="auto"/>
        </w:rPr>
        <w:t>Studies have concluded that most police officers never deploy lethal force in the course of their careers. Although the vast majority of law enforcement officers around the world are armed with firearms, only a small percentage will actually ever use them. Officers, however, use less-lethal force on a regular basis. Traditional tactics such as using a control hold, baton, club, or combat to control a suspect may result not only in a risk of injury to the suspect, but also a risk that the officer will be injured. Other force options including chemical spray, impact munitions and CEWs not only risk injury, but are often controversial. Each weapon available to law enforcement has distinct advantages and disadvantages, and we believe law enforcement agencies require different tools for different situations.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believe a new remote restraining device is necessary to meet modern policing requirements with individuals frequently not responding to verbal commands and public demands for less-lethal policing. This is more apparent in police interactions with the mentally ill. According to a report by The State of Mental Health in America, 2018; Mental Health America an estimated 40 million adults in the U.S. suffer from mental health issues. And, in a 2015 report on The Role of Mental Illness in Fatal Law Enforcement Encounters, the Treatment Advocacy Center: Office of Research &amp; Public Affairs indicated that 7.9 million individuals have severe mental illness that disorders their thinking. </w:t>
      </w:r>
      <w:r>
        <w:rPr>
          <w:rFonts w:ascii="Arial" w:cs="Arial" w:eastAsia="Arial" w:hAnsi="Arial"/>
          <w:sz w:val="17"/>
          <w:szCs w:val="17"/>
          <w:color w:val="211D1E"/>
        </w:rPr>
        <w:t>Amounting to somewhat fewer than 4 in every 100 adults in America, individuals with severe mental illness</w:t>
      </w:r>
      <w:r>
        <w:rPr>
          <w:rFonts w:ascii="Arial" w:cs="Arial" w:eastAsia="Arial" w:hAnsi="Arial"/>
          <w:sz w:val="17"/>
          <w:szCs w:val="17"/>
          <w:color w:val="auto"/>
        </w:rPr>
        <w:t xml:space="preserve"> </w:t>
      </w:r>
      <w:r>
        <w:rPr>
          <w:rFonts w:ascii="Arial" w:cs="Arial" w:eastAsia="Arial" w:hAnsi="Arial"/>
          <w:sz w:val="17"/>
          <w:szCs w:val="17"/>
          <w:color w:val="211D1E"/>
        </w:rPr>
        <w:t>generate no less than 1 in 10 calls for police service and occupy at least 1 in 5 prison and jail beds in the U.S. An estimated 1 in 3 individuals transported to hospital emergency rooms in psychiatric crisis are taken there by police.</w:t>
      </w:r>
    </w:p>
    <w:p>
      <w:pPr>
        <w:spacing w:after="0" w:line="18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tool to restrain individuals at a distance may offer reduced frequency of deployment of other control techniques, including CEWs, especially in encounters with the mentally ill. We believe that the following characteristics for our new restraining product are the most important to law enforcement and security agencies:</w:t>
      </w:r>
    </w:p>
    <w:p>
      <w:pPr>
        <w:spacing w:after="0" w:line="140"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effectiveness</w:t>
      </w:r>
      <w:r>
        <w:rPr>
          <w:rFonts w:ascii="Arial" w:cs="Arial" w:eastAsia="Arial" w:hAnsi="Arial"/>
          <w:sz w:val="17"/>
          <w:szCs w:val="17"/>
          <w:color w:val="auto"/>
        </w:rPr>
        <w:t>: remote restraint of individuals while keeping all other use of force options available;</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range</w:t>
      </w:r>
      <w:r>
        <w:rPr>
          <w:rFonts w:ascii="Arial" w:cs="Arial" w:eastAsia="Arial" w:hAnsi="Arial"/>
          <w:sz w:val="17"/>
          <w:szCs w:val="17"/>
          <w:color w:val="auto"/>
        </w:rPr>
        <w:t>: variable distance over which the device is effective;</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safety</w:t>
      </w:r>
      <w:r>
        <w:rPr>
          <w:rFonts w:ascii="Arial" w:cs="Arial" w:eastAsia="Arial" w:hAnsi="Arial"/>
          <w:sz w:val="17"/>
          <w:szCs w:val="17"/>
          <w:color w:val="auto"/>
        </w:rPr>
        <w:t>: minimal risk of injury or death;</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ease of use</w:t>
      </w:r>
      <w:r>
        <w:rPr>
          <w:rFonts w:ascii="Arial" w:cs="Arial" w:eastAsia="Arial" w:hAnsi="Arial"/>
          <w:sz w:val="17"/>
          <w:szCs w:val="17"/>
          <w:color w:val="auto"/>
        </w:rPr>
        <w:t>: simple operation and low maintenance;</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dependability</w:t>
      </w:r>
      <w:r>
        <w:rPr>
          <w:rFonts w:ascii="Arial" w:cs="Arial" w:eastAsia="Arial" w:hAnsi="Arial"/>
          <w:sz w:val="17"/>
          <w:szCs w:val="17"/>
          <w:color w:val="auto"/>
        </w:rPr>
        <w:t>: reliability in many environments, product durability;</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accountability</w:t>
      </w:r>
      <w:r>
        <w:rPr>
          <w:rFonts w:ascii="Arial" w:cs="Arial" w:eastAsia="Arial" w:hAnsi="Arial"/>
          <w:sz w:val="17"/>
          <w:szCs w:val="17"/>
          <w:color w:val="auto"/>
        </w:rPr>
        <w:t>: tracking to reduce misuse of the weapon;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cost</w:t>
      </w:r>
      <w:r>
        <w:rPr>
          <w:rFonts w:ascii="Arial" w:cs="Arial" w:eastAsia="Arial" w:hAnsi="Arial"/>
          <w:sz w:val="17"/>
          <w:szCs w:val="17"/>
          <w:color w:val="auto"/>
        </w:rPr>
        <w:t>: low cost per use and possible reduction of insurance and litigation expense.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BolaWrap 100 Solution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BolaWrap 100 is designed to perform well with respect to all of the above characteristics. We believe the BolaWrap 100 is a unique new device to restrain subjects safely and without eliminating any other use of force options necessary for the protection of law enforcement and the public. Although no use of force technique or device is 100% effective, in our opinion, unique performance could make the BolaWrap 100 a tool of choice in a range of encounters for law enforcement agencies and other security services.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Effectiveness</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Without an effective remote restraint device to assist controlling an encounter, law enforcement often defaults to less-lethal weapons that rely upon a pain response or electrical induced incapacitation for effect. These methods, along with lethal force, may be necessary for the most dangerous and aggressive suspects. However, there are many encounters where remote restraint may be an option in lieu of or before physical contact with an individual to reduce possibility for flight or the possibility for injury to the individual and the officer. In volunteer testing, the BolaWrap 100 has shown to be effective in restraining individuals, hindering the flight ability and crippling the ability to fight, allowing effective further officer action.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Range</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Batons and chemical sprays can only be used from close distances, usually less than five feet. Rubber bullets, beanbag rounds, and similar less-lethal impact weapons must be used at distances greater than 30 feet to minimize suspects’ injuries. Combat, come along and wrist locks require intimate contact with suspects. The BolaWrap 100 is designed to engage a suspect at 10 to 25 feet operable by the weak hand, allowing other force options to remain available. The design of the device makes it ineffective at close distances, and it is not recommended for use at less than ten feet.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Safety</w:t>
      </w:r>
    </w:p>
    <w:p>
      <w:pPr>
        <w:spacing w:after="0" w:line="26"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BolaWrap 100 is not intended to be a weapon. It does not rely on pain or electrical induced incapacitation for effectiveness. The wrapping effect is intended to impede flight while not inducing uncontrolled falls or injury. There is no issue of recovery time, as is the case with CEW, impact munitions or chemical devices.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auto"/>
        </w:rPr>
        <w:t>Ease of Use</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small, light and rugged. It is simple to use, activate and deploy. It can be reloaded and deployed again as quickly as a spent cartridge can be removed and a replacement bola cartridge inserted, typically in less than five seconds. Further, the weapon requires no maintenance, and there are no electronic components in the base device. The BolaWrap 100 also does not leave contaminating residues, unlike chemical sprays that may contaminate buildings, vehicles or other closed facilities or officer uniforms.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Dependability</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BolaWrap 100 as a mechanical device is designed to operate effectively under a variety of unfavorable conditions, such as wind and rain, and is rugged and durable.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Accountability</w:t>
      </w:r>
    </w:p>
    <w:p>
      <w:pPr>
        <w:spacing w:after="0" w:line="26"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The BolaWrap 100 is designed for professional use and not consumer use. Each device and each bola cartridge is identified with a serial number for recordkeeping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single use, but recyclable, bola cartridge is priced at a per cartridge price to allow use in both training and active deployment. Although we do not believe that there is currently a directly competitive remote restraint device, our cartridge prices are competitive with CEWs, impact munitions and most other specialized less-lethal weapons, with the exception of the least expensive chemical sprays. However, the indirect costs of decontaminating buildings, vehicles, and uniforms resulting from the use of chemical sprays can place these sprays at an overall cost disadvantage per use.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litigation and insurance costs involving use of force for law enforcement agencies can be significant, with settlements in the millions of dollars for many departments. Reducing the frequency of need for other use of force tools and the number of injuries and fatalities caused by law enforcement officers may reduce the number of suits filed against agencies for excessive use of force, wrongful death and injury.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addition of a new remote restraint device may have the benefit of increasing goodwill between law enforcement agencies and their communities. Community relations considerations can be particularly important at a time when almost any interaction with police can be recorded and scrutinized by the media and the public.</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BolaWrap 100 is a hand-held remote restraint device that discharges an eight-foot bola style Kevlar® tether to entangle an individual at a range of 10-25 feet.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BolaWrap 100 offers law enforcement a new tool to remotely engage and temporarily control individuals.</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small, light, but rugged BolaWrap 100 is designed to provide remote restraint while other use of force continuum options remain open. The design offers wide latitude of accuracy to engage and restrain targeted legs or arms of a subject. Quick eject and rapid reload of bola cartridges allows one device to be reused in a single encounter or in multiple encounters.</w:t>
      </w:r>
    </w:p>
    <w:p>
      <w:pPr>
        <w:spacing w:after="0" w:line="178" w:lineRule="exact"/>
        <w:rPr>
          <w:sz w:val="20"/>
          <w:szCs w:val="20"/>
          <w:color w:val="auto"/>
        </w:rPr>
      </w:pPr>
    </w:p>
    <w:p>
      <w:pPr>
        <w:jc w:val="both"/>
        <w:spacing w:after="0" w:line="333" w:lineRule="auto"/>
        <w:rPr>
          <w:sz w:val="20"/>
          <w:szCs w:val="20"/>
          <w:color w:val="auto"/>
        </w:rPr>
      </w:pPr>
      <w:r>
        <w:rPr>
          <w:rFonts w:ascii="Arial" w:cs="Arial" w:eastAsia="Arial" w:hAnsi="Arial"/>
          <w:sz w:val="15"/>
          <w:szCs w:val="15"/>
          <w:color w:val="auto"/>
        </w:rPr>
        <w:t>The bola cartridge contains two sockets that discharge two small pellets at a thirty to forty-degree angle. The pellets are linked by the eight-foot Kevlar tether such that the tether first engages an individual’s legs or arms then the force of the pellets causes the tether to wrap. Small barbs on each pellet engage clothing to retard the unwinding of the bola tether wrap. The bola cartridge contains a 9 mm fractional charge blank cartridge (as used in prop guns) to discharge the tether.</w:t>
      </w:r>
    </w:p>
    <w:p>
      <w:pPr>
        <w:spacing w:after="0" w:line="1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durable body of the BolaWrap 100 contains a receptacle for the bola cartridge along with the activation, deployment and safety mechanisms. Bola cartridges are quickly ejected allowing rapid reloading, activation and deployment.</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demonstrated our first prototype device in December 2016, and developed pre-manufacturing demonstration prototypes in April 2017. We assembled first production units in November 2017, and commenced demonstrations and trial deployments with a small number of law enforcement agencies. In 2018, we delivered over 200 devices at no cost to selected law enforcement agencies for evaluation and feedback as a result of these initial inquiries, and have just started filling small orders as we establish production. In October 2018, we demonstrated our new BolaWrap green line laser accessory, and we are taking orders for this enhanced version of the BolaWrap 100.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Annual Report for additional information regarding risks and uncertainties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Markets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participate in the global non-lethal market that, according to a June 2017 report by Global Market Outlook, was estimated to be $6.32 billion in 2016 and is expected to grow to $11.85 billion in 2023. The following segments are our target markets.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Law Enforcement and Corrections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Federal, state and local law enforcement agencies in the United States currently represent the primary target market for the BolaWrap 100. According to United States Department of Justice statistics (“U.S. Department of Justice, Statistical Brief, Full-Time Employees in Law Enforcement Agencies, 1997-2016: August 2018,” U.S. Department of Justice, Bureau of Justice Statistics, published July 2011), there were nearly 18,000 of these agencies in the United States in 2016 that employed approximately 701,000 full-time, sworn law enforcement officers. In 2005, the United States Bureau of Justice statistics (“Census of State and Federal Correctional Facilities, 2005,” U.S. Department of Justice, Bureau of Justice Statistics, published October 2008) estimated that there were 295,000 correctional officers in over 1,800 federal and state correctional facilities in the United States.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estimated an addressable international market of over 12.1 million police officers in the 100 largest police forces gathered from individual country statistics. We delivered our first foreign order in 2018, accepted an additional order, and are currently fielding inquiries from countries in Asia, South America, Europe and the Middle East.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United States Border Patrol (“USBP”)</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over 21,000 agents (“Border Patrol Overview,” U.S. Customs and Border Protection, January 27, 2015, Web. 25, September 2017, https://www.cbp.gov/border-security/along-us-borders/overview), the USBP is one of the largest law enforcement agencies in the United States with a large number of encounters with individuals requiring soft engagement techniques. We believe the BolaWrap 100 can be an effective tool to safely assist in detention of individuals subject to the agency’s jurisdiction. The BolaWrap 100 offers an additional tool for frontline agents to de-escalate encounters while effecting agent responsibilities.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Security Firms and Guard Services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According to 2016 Bureau of Labor Statistics estimates (“Occupational Employment Statistics,” United States Department of Labor, March 31, 2017, Web. 25 September 2017), there were approximately 1.1 million privately employed security guards in the United States. They represent a broad range of individuals, including those employed by investigation and security services, hospitals, schools, local government, and others. We believe that some security personnel armed with the BolaWrap 100 could be effective to de-escalate some encounters without eliminating other tools available today. Providing guards with the BolaWrap 100 may reduce the potential liability of private security companies and personnel in such encounters.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Although there are use cases in correctional facilities and by certain military policing personnel, we are initially targeting the BolaWrap 100 for law enforcement and security personnel markets. We do not currently plan a consumer version of the device.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and Marketing</w:t>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Law enforcement agencies represent our primary target market. In this market, we expect that the decision to purchase the BolaWrap 100 will normally be made by a group of people including the agency head, his training staff, and use of force and weapons experts. The decision sometimes involves political decision-makers, such as city council members. Although we expect the decision-making process for a remote restraint device will be less controversial than that for less-lethal products such as CEWs, we still expect the process to take as little as a few weeks or as long as a year or more partially due to budgeting reasons.</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Although initial sales will be made by our executive and sales employees, we may determine to utilize existing networks of independent regional police equipment distributors compensated on a commission and incentive basis in the future.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9" w:name="page10"/>
    <w:bookmarkEnd w:id="9"/>
    <w:p>
      <w:pPr>
        <w:jc w:val="both"/>
        <w:spacing w:after="0" w:line="296" w:lineRule="auto"/>
        <w:rPr>
          <w:sz w:val="20"/>
          <w:szCs w:val="20"/>
          <w:color w:val="auto"/>
        </w:rPr>
      </w:pPr>
      <w:r>
        <w:rPr>
          <w:rFonts w:ascii="Arial" w:cs="Arial" w:eastAsia="Arial" w:hAnsi="Arial"/>
          <w:sz w:val="16"/>
          <w:szCs w:val="16"/>
          <w:color w:val="auto"/>
        </w:rPr>
        <w:t>Most law enforcement and corrections agencies will not purchase new use of force devices until a training program is in place to certify officers in their proper use. We have developed and offer training and class materials that certify law enforcement trainers as instructors in the use and limitations of the BolaWrap 100. Since launching our ‘Train the Trainer’ program in October 2018, 43 U.S. police departments have received formal training; over 170 of their trainers are now certified BolaWrap 100 instructors qualified to train line officers. We require training prior to use of the BolaWrap 100 by individual departments.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participate in a variety of trade shows and plan to participate in conferences. We expect our marketing efforts will also benefit from significant free media coverage. Other marketing communications may include video e-mails, press releases, and conventional print advertising in law enforcement trade publications. Our website contains marketing information and we are engaged in social media outreach and communications.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goal is to realize the potential of a new remote restraint device targeting law enforcement and security personnel. We aim to produce a product line starting with the BolaWrap 100 to meet the requirements of these customers. The key elements of our strategy include:</w:t>
      </w:r>
    </w:p>
    <w:p>
      <w:pPr>
        <w:spacing w:after="0" w:line="164" w:lineRule="exact"/>
        <w:rPr>
          <w:sz w:val="20"/>
          <w:szCs w:val="20"/>
          <w:color w:val="auto"/>
        </w:rPr>
      </w:pPr>
    </w:p>
    <w:p>
      <w:pPr>
        <w:ind w:left="660" w:hanging="330"/>
        <w:spacing w:after="0" w:line="26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produce a product line meeting customer requirements as a new tool to aid in the retention of individuals to make encounters more effective and less dangerous to members of law enforcement and the public;</w:t>
      </w:r>
    </w:p>
    <w:p>
      <w:pPr>
        <w:spacing w:after="0" w:line="1"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a robust production and supply system to support our customers;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rapidly expand our training to support proper use of the product,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relationships with customers requiring large numbers of products, mainly larger city police departments and larger agencies.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also plan to actively engage international markets and plan to develop products for use by security and related personnel.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License and Royalties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consulting and licensing company owned and controlled by Elwood G. Norris and James A. Barnes, both officers and stockholders of the Company. Syzygy has no ongoing operations, and does not engage in any manufacturing, production or other related activities.</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agreement provides for the payment of royalties of 4% of revenue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have been assigned to the Company, subject to the royalty obligation.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Suppliers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completed our first generation design, and completed an initial small volume production of the BolaWrap 100 and related cartridges to support our demonstrations. We have also completed design of our second generation product incorporating our green line laser and other improvements resulting from customer feedback. We are commencing volume production with initial deliveries scheduled for the second quarter of 2019. We source components from a variety of suppliers with final assembly, testing and shipping occurring in our facility in Las Vegas, Nevada. We believe arranging and maintaining quality volume manufacturing capacity will be essential to the performance of our products and the growth of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warranty our products to be free from defects in materials and workmanship for a period up to one year from the date of purchase. The warranty will be generally a limited warranty, and in some instances impose certain shipping costs on the customer. We expect in most cases it will be more economical and effective to replace the defective device rather than repair.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Competition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are targeting the BolaWrap 100 as a new solution for law enforcement and not as a replacement for other tools currently in use, we will still compete with other use of force products for budgets. Law enforcement agencies may also determine that we are an alternative to other solutions in spite of such positioning.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use of force devices, including CEWs sold by Axon Enterprises, Inc. (formerly Taser International, Inc.), and pepper spray, batons, impact weapons sold by companies such as Defense Technology will compete with the BolaWrap 100 indirectly. Many law enforcement and corrections personnel consider such less-lethal weapons to be distinct tools, each best-suited to a particular set of circumstances. Consistent with this tool kit approach, purchasing any given tool does not preclude the purchase of one or several more. In other cases, budgetary considerations and limited space on officers’ belts dictate that only a limited number of devices will be purchased and carried. We believe the BolaWrap 100’s unique remote restraint use, effectiveness, and low possibility of injury will enable it to compete effectively against other alternatives.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present and potential future competitors have, or may have, substantially greater resources to devote to compete in the law enforcement market and to further technological and new product developments. Also, these competitors or others may introduce products with features and performance competitive to our product.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experience any significant seasonality trends. However, seasonality trends may occur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BolaWrap 100 is classified as a “firearm” by the U.S. Bureau of Alcohol, Tobacco, Firearms and Explosives (“</w:t>
      </w:r>
      <w:r>
        <w:rPr>
          <w:rFonts w:ascii="Arial" w:cs="Arial" w:eastAsia="Arial" w:hAnsi="Arial"/>
          <w:sz w:val="17"/>
          <w:szCs w:val="17"/>
          <w:i w:val="1"/>
          <w:iCs w:val="1"/>
          <w:color w:val="auto"/>
        </w:rPr>
        <w:t>ATF</w:t>
      </w:r>
      <w:r>
        <w:rPr>
          <w:rFonts w:ascii="Arial" w:cs="Arial" w:eastAsia="Arial" w:hAnsi="Arial"/>
          <w:sz w:val="17"/>
          <w:szCs w:val="17"/>
          <w:color w:val="auto"/>
        </w:rPr>
        <w:t>”), and is subject to federal firearms-related regulations. We hold a Federal Firearms Manufacturing License that expires in 2020. Many states also have regulations restricting the sale and use of certain firearms and may determine their own classification and restrictions irrespective of ATF regulation. In most cases, the law enforcement and corrections market is subject to different ATF and state regulations or exemptions than the private citizen market, and we do not expect additional state restrictions or approvals for sales to law enforcement. Where different regulations exist, we expect that the regulations affecting the private citizen market may also apply to the private security markets, except as the applicable regulations otherwise specifically provide.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BolaWrap 100 is also considered a crime control product by the U.S. government. Accordingly, the export of our devices is regulated under export administration regulations. As a result, we must obtain export licenses from the Department of Commerce for all shipments to foreign countries. We do not expect the need to obtain these licenses will cause a material delay in any future foreign shipments. Export regulations also prohibit the further shipment of our products from foreign markets in which we hold a valid export license to foreign markets in which we do not hold an export license for our products.</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Foreign regulations, which may affect our device, and sale thereof, are numerous and often unclear. We expect to work with an agent, distributor or advisor who is familiar with the applicable import regulations in each of any targeted foreign markets.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protect our intellectual property assets including issued patents, pending patents, trademarks, trade craft and trade secrets such as know-how. In addition, we use confidentiality agreements with employees and some suppliers to ensure the safety of our trade secrets. We currently have four issued U.S. patents related to the BolaWrap 100, and have six additional U.S. patents pending. In September 2018, we commenced filing our first foreign patent applications targeting the European Union (17 countries) and 17 other countries, all of which are currently pending. We have reserved rights to file additional foreign patents. We have also been granted trade name protection for “BolaWrap,” and expect to employ a combination of registered and common law trade names, trademarks and service marks in our business. We expect to rely on a variety of intellectual property protections for our products and technologies, including contractual obligations, and we intend to pursue a policy of vigorously enforcing such rights.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We have an ongoing policy of filing patent applications to seek protection for novel features of our products and technologies. Prior to the filing and granting of patents, our policy is to disclose key features to patent counsel and maintain these features as trade secrets prior to product introduction. Patent applications may not result in issued patents covering all important claims and could be denied in their entirety.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use of force product industry is characterized by frequent litigation regarding patent and other intellectual property rights. Others, including academic institutions and competitors, hold numerous patents in less-lethal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failure to obtain patent protection or the loss of patent protection on our existing and future technologies or the circumvention of our patents by competitors could have a material adverse effect on our ability to compete successfully.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policy is to enter into nondisclosure agreements with each employee and consultant or third party to whom any of our proprietary information is disclosed. These agreements prohibit the disclosure of confidential information to others, both during and subsequent to employment or the duration of the working relationship. These agreements may not prevent disclosure of confidential information or provide adequate remedies for any breach.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initiatives are led by our internal personnel and make use of specialized consultants when necessary. These initiatives include basic research, mechanical engineering design and testing. Future development projects will focus on new versions of the BolaWrap technology and new security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Executive Officers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four executive officers. We have thirteen other employees, with five engaged in sales, marketing and training, four in production, two in research and development and two in administration. We employ consultants from time to time to provide additional sales, marketing, training and research and development services.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believe we offer competitive compensation and other benefits and that our employee relations are good.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www.wraptechnologies.com</w:t>
      </w:r>
      <w:r>
        <w:rPr>
          <w:rFonts w:ascii="Arial" w:cs="Arial" w:eastAsia="Arial" w:hAnsi="Arial"/>
          <w:sz w:val="17"/>
          <w:szCs w:val="17"/>
          <w:color w:val="auto"/>
        </w:rPr>
        <w:t xml:space="preserve">. Information contained on our website is not part of this Annual Report. Our SEC filings (including any amendments) will be made available free of charge on </w:t>
      </w:r>
      <w:r>
        <w:rPr>
          <w:rFonts w:ascii="Arial" w:cs="Arial" w:eastAsia="Arial" w:hAnsi="Arial"/>
          <w:sz w:val="17"/>
          <w:szCs w:val="17"/>
          <w:u w:val="single" w:color="auto"/>
          <w:color w:val="auto"/>
        </w:rPr>
        <w:t>www.wraptechnologies.com</w:t>
      </w:r>
      <w:r>
        <w:rPr>
          <w:rFonts w:ascii="Arial" w:cs="Arial" w:eastAsia="Arial" w:hAnsi="Arial"/>
          <w:sz w:val="17"/>
          <w:szCs w:val="17"/>
          <w:color w:val="auto"/>
        </w:rPr>
        <w:t>,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expect additional losses and may not achieve or sustain profitability.</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history of operating losses and expect to incur additional losses as we commence delivering our new generation product and until we achieve sufficient revenue and resulting margins to offset our operating costs. Our net loss for the years ended December 31, 2018 and 2017 was $3,336,435 and $833,545, respectively. Our ability to achieve future profitability is dependent on a variety of factors, many of which are outside of our control. Failure to achieve profitability or sustain profitability, if achieved, may require us to raise additional financing, which could have a material negative impact on the market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2" w:name="page13"/>
    <w:bookmarkEnd w:id="12"/>
    <w:p>
      <w:pPr>
        <w:jc w:val="both"/>
        <w:spacing w:after="0" w:line="329"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believe we have adequate financial resources to fund our operating expense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78"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of product sales to meet planned projections;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working capital requirements to support business growth;</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control spending;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acceptance of our product in planned markets.</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a development stage technology company with minimal revenue and limited experience developing security technology for law enforcement or other security personnel, as well as other areas required for the successful development and commercialization of the BolaWrap 100, our first product, which makes it difficult to assess our future viability.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a development stage technology company. Although we are commercializing our first product, the BolaWrap 100, we have generated minimal revenue to date, and we have not yet demonstrated an ability to overcome many of the fundamental risks and uncertainties frequently encountered by development stage companies in new and rapidly evolving fields of technology. To execute our business plan successfully, we will need to accomplish the following fundamental objectives, either on our own or with strategic collaborators:</w:t>
      </w:r>
    </w:p>
    <w:p>
      <w:pPr>
        <w:spacing w:after="0" w:line="182" w:lineRule="exact"/>
        <w:rPr>
          <w:sz w:val="20"/>
          <w:szCs w:val="20"/>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commercialize the BolaWrap 100, and develop additional future products for commercialization;</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obtain and maintain required regulatory approvals for commercialization of products we produce;</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an intellectual property portfolio for the BolaWrap 100 and other future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30" w:lineRule="exact"/>
        <w:rPr>
          <w:rFonts w:ascii="Arial" w:cs="Arial" w:eastAsia="Arial" w:hAnsi="Arial"/>
          <w:sz w:val="16"/>
          <w:szCs w:val="16"/>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gain market acceptance for the BolaWrap 100 and/or other future products; and</w:t>
      </w:r>
    </w:p>
    <w:p>
      <w:pPr>
        <w:spacing w:after="0" w:line="19" w:lineRule="exact"/>
        <w:rPr>
          <w:rFonts w:ascii="Arial" w:cs="Arial" w:eastAsia="Arial" w:hAnsi="Arial"/>
          <w:sz w:val="17"/>
          <w:szCs w:val="17"/>
          <w:color w:val="auto"/>
        </w:rPr>
      </w:pPr>
    </w:p>
    <w:p>
      <w:pPr>
        <w:ind w:left="660" w:right="20" w:hanging="330"/>
        <w:spacing w:after="0" w:line="28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 adequate capital resources and manage our spending as costs and expenses increase due to research, production, development, regulatory approval and commercialization of the BolaWrap 100 and/or other future products.</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principal product remains under development, and has not yet been produced in recurring commercial quantities. We may incur significant and unpredictable warranty costs as our products are introduced and produced.</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product has been introduced into the marketplace for testing and remains under development as we make improvements based on ongoing customer trials. Although we are producing small numbers of commercial products, no assurance can be provided that we can successfully scale to produce higher volume commercial quantities of our principal product or that additional development will not be required for a commercially viable product. We generally expect to warrant our products to be free from defects in materials and workmanship for a period of up to one year from the date of purchase. We may incur substantial and unpredictable warranty costs from post-production product or component failures. Future warranty costs could further adversely affect our financial position, results of operations and business prospects.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3" w:name="page14"/>
    <w:bookmarkEnd w:id="13"/>
    <w:p>
      <w:pPr>
        <w:jc w:val="both"/>
        <w:spacing w:after="0" w:line="329" w:lineRule="auto"/>
        <w:rPr>
          <w:sz w:val="20"/>
          <w:szCs w:val="20"/>
          <w:color w:val="auto"/>
        </w:rPr>
      </w:pPr>
      <w:r>
        <w:rPr>
          <w:rFonts w:ascii="Arial" w:cs="Arial" w:eastAsia="Arial" w:hAnsi="Arial"/>
          <w:sz w:val="16"/>
          <w:szCs w:val="16"/>
          <w:b w:val="1"/>
          <w:bCs w:val="1"/>
          <w:i w:val="1"/>
          <w:iCs w:val="1"/>
          <w:color w:val="auto"/>
        </w:rPr>
        <w:t>We are materially dependent on the acceptance of our product by the law enforcement market. If law enforcement agencies do not purchase our product, our revenue will be adversely affected and we may not be able to expand into other markets, or otherwise continue as a going concern.</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substantial number of law enforcement agencies may not purchase our remote restraint product. In addition, if our product is not widely accepted by the law enforcement market, we may not be able to expand sales of our product into other markets. Law enforcement agencies may be influenced by claims or perceptions that our product is not effective or may be used in an abusive manner. Sales of our product to these agencies may be delayed or limited by such claims or perceptions.</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will be dependent on sales of the BolaWrap 100 for the foreseeable future, and if this product is not widely accepted, our growth prospects will be diminished.</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expect to depend on sales of the BolaWrap 100 and related cartridges for the foreseeable future. A lack of demand for this product, or its failure to achieve broad market acceptance, would significantly harm our growth prospects, operating results and financial condition.</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international operations could be harmed by factors including political instability, natural disasters, fluctuations in currency exchange rates, and changes in regulations that govern international transactions.</w:t>
      </w:r>
    </w:p>
    <w:p>
      <w:pPr>
        <w:spacing w:after="0" w:line="16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expect to sell our products worldwide and have commenced export activities for multiple countries. We expect exports to become a significant part of our future business. The risks inherent in international trade may reduce our international sales and harm our business and the businesses of our customers and our suppliers. These risks include, among other things:</w:t>
      </w:r>
    </w:p>
    <w:p>
      <w:pPr>
        <w:spacing w:after="0" w:line="178" w:lineRule="exact"/>
        <w:rPr>
          <w:sz w:val="20"/>
          <w:szCs w:val="20"/>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tariff regulations;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instability, war, terrorism and other political risks;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foreign currency exchange rate fluctuations;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relationships with local distributors, agents and dealers;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lengthy shipping times and accounts receivable payment cycles;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import and export control and licensing requirements;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a variety of U.S. laws, including the Foreign Corrupt Practices Act, by us or key subcontractors;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a variety of foreign laws and regulations, including unexpected changes in taxation and regulatory requirements;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greater difficulty in safeguarding intellectual property abroad than in the U.S.;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in staffing and managing geographically diverse operations.</w:t>
      </w:r>
    </w:p>
    <w:p>
      <w:pPr>
        <w:spacing w:after="0" w:line="2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These and other risks may preclude or curtail international sales or increase the relative price of our products compared to those manufactured in other countries, reducing the demand for our products. Failure to comply with U.S. and foreign governmental laws and regulations applicable to international business, such as the Foreign Corrupt Practices Act or U.S. export control regulations, could have an adverse impact on our business with the U.S. and foreign governments.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projected growth, our growth prospects may be limited and our future profitability may be adversely affected.</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expand our sales, marketing and training programs and our manufacturing capability. Rapid expansion may strain our managerial, financial and other resources. If we are unable to manage our growth, our business, operating results and financial condition could be adversely affected. Our systems, procedures, controls and management resources also may not be adequate to support our future operations. We will need to continually improve our operational, financial and other internal systems to manage our growth effectively, and any failure to do so may lead to inefficiencies and redundancies, and result in reduced growth prospects and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product is intended to be used in confrontations that could result in injury to those involved, whether or not involving our product. Our product may cause or be associated with such injuries. A person injured in a confrontation or otherwise in connection with the use of our product may bring legal action against us to recover damages on the basis of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4" w:name="page15"/>
    <w:bookmarkEnd w:id="14"/>
    <w:p>
      <w:pPr>
        <w:jc w:val="both"/>
        <w:spacing w:after="0" w:line="295" w:lineRule="auto"/>
        <w:rPr>
          <w:sz w:val="20"/>
          <w:szCs w:val="20"/>
          <w:color w:val="auto"/>
        </w:rPr>
      </w:pPr>
      <w:r>
        <w:rPr>
          <w:rFonts w:ascii="Arial" w:cs="Arial" w:eastAsia="Arial" w:hAnsi="Arial"/>
          <w:sz w:val="17"/>
          <w:szCs w:val="17"/>
          <w:b w:val="1"/>
          <w:bCs w:val="1"/>
          <w:i w:val="1"/>
          <w:iCs w:val="1"/>
          <w:color w:val="auto"/>
        </w:rPr>
        <w:t>Our future success is dependent on our ability to expand sales through direct sales or distributors, and our inability to grow our sales force or recruit new distributors would negatively affect our sales.</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distribution strategy is to pursue sales through multiple channels with an emphasis on direct sales and, in the future, independent distributors. Our inability to recruit and retain sales personnel and police equipment distributors who can successfully sell our products could adversely affect our sales. If we do not competitively price our products, meet the requirements of any future distributors or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Should we employ distributors, our reliance on the sales of our products by others would also make it more difficult to predict our revenue, cash flow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expend significant resources to generate sales due to our lengthy sales cycle, and such efforts may not result in sales or revenue.</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law enforcement agencies consider a wide range of issues before committing to purchase a product, including product benefits, training costs, the cost to use our product in addition to, or in place of, other use of force products,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Most of our intended end-users are subject to budgetary and political constraints that may delay or prevent sales.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our intended end-user customers are government agencies. These agencies often do not set their own budgets and therefore have little control over the amount of money they can spend. In addition, these agencies experience political pressure that may dictate the manner in which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our products may adversely affect sales.</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device is classified as a firearm regulated by the Bureau of Alcohol, Tobacco and Firearms involving substantial regulatory compliance. Our device may also face state restrictions, especially regarding sales to security agencies. Our product sales may be significantly affected by federal, state and local regulation. Failure to comply with regulations could also result in the imposition of fines, penalties and other actions that could adversely impact our financial position, cash flows and operating results.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product is also controlled by the United States Department of Commerce (“</w:t>
      </w:r>
      <w:r>
        <w:rPr>
          <w:rFonts w:ascii="Arial" w:cs="Arial" w:eastAsia="Arial" w:hAnsi="Arial"/>
          <w:sz w:val="17"/>
          <w:szCs w:val="17"/>
          <w:i w:val="1"/>
          <w:iCs w:val="1"/>
          <w:color w:val="auto"/>
        </w:rPr>
        <w:t>DOC</w:t>
      </w:r>
      <w:r>
        <w:rPr>
          <w:rFonts w:ascii="Arial" w:cs="Arial" w:eastAsia="Arial" w:hAnsi="Arial"/>
          <w:sz w:val="17"/>
          <w:szCs w:val="17"/>
          <w:color w:val="auto"/>
        </w:rPr>
        <w:t>”) for exports directly from the United States. Consequently, we need to obtain export licenses from the DOC for the export of our products from the United States. Compliance with or changes in U.S. export regulations could significantly and adversely affect any future international sales.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Certain foreign jurisdictions may restrict the importation or sale of our products, limiting our international sales opportunities.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products, including the BolaWrap 100, have limited issued patents or other intellectual property protection. If we are unable to protect our intellectual property, we may lose a competitive advantage or incur substantial litigation costs to protect our rights.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future success depends in part upon our proprietary technology. We currently own four issued U.S. patents related to the BolaWrap 100 and have six U.S. patents pending. We have filed foreign patent applications in the European Union (17 countries) and 17 other countries, and reserved our rights to file additional foreign patents. Our protective measures taken thus far, including our issued patents, pending patents, trademarks and trade secret laws, may prove inadequate to protect our proprietary rights.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Our competitive position will be seriously damaged if our products are found to infringe on the intellectual property rights of others.</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our failure or inability to license the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70" w:lineRule="exact"/>
        <w:rPr>
          <w:sz w:val="20"/>
          <w:szCs w:val="20"/>
          <w:color w:val="auto"/>
        </w:rPr>
      </w:pP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cease selling, incorporating or using products or services that incorporate the challenged intellectual property;</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a license from the holder of the infringed intellectual property right, which license may not be available on reasonable terms, if at all;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redesign products or services that incorporate the disputed technology.</w:t>
      </w:r>
    </w:p>
    <w:p>
      <w:pPr>
        <w:spacing w:after="0" w:line="22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If we are forced to take any of the foregoing actions, we could face substantial costs and shipment delays and our business could be seriously harmed. Although we carry general liability insurance, our insurance may not cover potential claims of this type or be adequate to indemnify us for all liability that may be imposed.</w:t>
      </w:r>
    </w:p>
    <w:p>
      <w:pPr>
        <w:spacing w:after="0" w:line="1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addition, it is possible that our customers may seek indemnity from us in the event that our products are found or alleged to infringe the intellectual property rights of others. Any such claim for indemnity could result in substantial expense to us that could harm our operating results.</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have no experience developing law enforcement products. Our lack of experience and competition in the law enforcement market could reduce our sales and prevent us from achieving profitability.</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law enforcement market is highly competitive and our management team has no experience developing law enforcement products. We face competition from numerous larger, better capitalized, more experienced and more widely known companies that make restraint devices, less-lethal weapons and other law enforcement products. Increased competition could result in greater pricing pressure, lower gross margins and reduced sales, and prevent us from achieving profitability.</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expect that the BolaWrap 100 will be the sole source of our revenue in the foreseeable future. We expect our revenue, if any, to vary significantly due to a number of factors. Many of these factors are beyond our control. Any one or more of these factors, including those listed below, could cause us to fail to achieve our revenue expectations. These factors include, among others:</w:t>
      </w:r>
    </w:p>
    <w:p>
      <w:pPr>
        <w:spacing w:after="0" w:line="178"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develop and supply product to customers;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acceptance of, and changes in demand for,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gains or losses of significant customers, distributors or strategic relationships;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unpredictable volume and timing of customer orders;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availability, pricing and timeliness of delivery of components for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the availability of manufacturing capacity or manufacturing yields and related manufacturing costs;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timing of new technological advances, product announcements or introductions by us and by our competitors;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unpredictable warranty costs associated with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budgetary cycles and order delays by customers or production delays by us or our suppliers;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changes affecting the marketability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that could affect the timing of customer orders and capital spending and result in order cancellations or rescheduling; and</w:t>
      </w:r>
    </w:p>
    <w:p>
      <w:pPr>
        <w:spacing w:after="0" w:line="30" w:lineRule="exact"/>
        <w:rPr>
          <w:rFonts w:ascii="Arial" w:cs="Arial" w:eastAsia="Arial" w:hAnsi="Arial"/>
          <w:sz w:val="16"/>
          <w:szCs w:val="16"/>
          <w:color w:val="auto"/>
        </w:rPr>
      </w:pPr>
    </w:p>
    <w:p>
      <w:pPr>
        <w:ind w:left="660" w:hanging="330"/>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political conditions in this country and in various other parts of the world that could affect spending for the products that we intend to offer.</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Our expense may vary from period to period, which could affect quarterly results and our stock price.</w:t>
      </w:r>
    </w:p>
    <w:p>
      <w:pPr>
        <w:spacing w:after="0" w:line="234"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If we incur additional expense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64" w:lineRule="exact"/>
        <w:rPr>
          <w:sz w:val="20"/>
          <w:szCs w:val="20"/>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extent of our research and development efforts;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and costs of maintaining or protecting our intellectual property;</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of marketing and sales efforts to promote our products and technologies;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of personnel and consultant hiring.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on third-party suppliers for key components of our product could delay shipment of our products and reduce our sales.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Our reliance on third-party suppliers creates risks related to our potential inability to obtain an adequate supply of components or sub-assemblies and reduced control over pricing and timing of delivery of components and subassemblies. Specifically, we will depend on suppliers of sub-assemblies, machined parts, injection molded plastic parts, and other miscellaneous custom parts for our product. We do not have any long-term supply agreements with any planned suppliers. Any interruption of supply for any material components of our products could significantly delay the shipment of our products and have a material adverse effect on our revenue, profitability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fluctuations may reduce our competitiveness and sales in foreign markets.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foreign end-user costs may result in lost orders and reduce the competitiveness of our products in certain foreign markets. These changes may also negatively affect the financial condition of some foreign customers and reduce or eliminate their future orders of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key management and other personnel could impact our business.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substantially dependent on our officers and other key personnel. The loss of an officer or any key personnel could materially adversely affect our business, financial condition, results of operations and cash flows. In addition, competition for skilled and non-skilled employees among companies like ours is intense, and the future loss of skilled or non-skilled employees or an inability to attract, retain and motivate additional skilled and non-skilled employees required for the operation and expansion of our business could hinder our ability to conduct research activities successfully, develop new products, attract customers and meet customer shipments.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Inadequate internal controls and accounting practices could lead to errors, which could negatively impact our business, financial condition, results of operations and cash flows.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will need to improve internal controls and management oversight systems. Our small size and limited personnel and consulting resources make doing so more challenging than for more established entities. We may not be able to prevent or detect misstatements in our reported financial statements due to limited segregation of duties, system errors, the potential for human error, unauthorized actions of employees or contractors, inadequacy of controls, temporary lapses in controls due to shortfalls in transition planning and oversight resource contracts and other factors. In addition, due to their inherent limitations, such controls may not prevent or detect misstatements in our reported financial results as required under SEC rules, which could increase our operating costs or impair our ability to operate our business. Controls may also become inadequate due to changes in circumstances. It will be necessary to replace, upgrade or modify our internal information systems from time to time. If we are unable to implement these changes in a timely and cost-effective manner, our ability to capture and process financial transactions and support our customers as required may be materially adversely impacted, which could harm our business, financial condition,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Common Stock was quoted on the OTCQB Venture Market commencing in late May 2018 and uplisted to the Nasdaq Capital Market in December 2018. The market price of our Common Stock may be highly volatile and may fluctuate substantially as a result of a variety of factors, some of which are related in complex ways. Since shares of our Common Stock were sold in our initial public offering, (“</w:t>
      </w:r>
      <w:r>
        <w:rPr>
          <w:rFonts w:ascii="Arial" w:cs="Arial" w:eastAsia="Arial" w:hAnsi="Arial"/>
          <w:sz w:val="17"/>
          <w:szCs w:val="17"/>
          <w:i w:val="1"/>
          <w:iCs w:val="1"/>
          <w:color w:val="auto"/>
        </w:rPr>
        <w:t>IPO</w:t>
      </w:r>
      <w:r>
        <w:rPr>
          <w:rFonts w:ascii="Arial" w:cs="Arial" w:eastAsia="Arial" w:hAnsi="Arial"/>
          <w:sz w:val="17"/>
          <w:szCs w:val="17"/>
          <w:color w:val="auto"/>
        </w:rPr>
        <w:t>”), in December 2017 at a price of $1.50 per share, our stock price has ranged from a low of $2.10 to a high of $9.00 through March 6,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7" w:name="page18"/>
    <w:bookmarkEnd w:id="17"/>
    <w:p>
      <w:pPr>
        <w:spacing w:after="0" w:line="295" w:lineRule="auto"/>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 the factors listed below and other factors described in this “Risk Factors” section:</w:t>
      </w:r>
    </w:p>
    <w:p>
      <w:pPr>
        <w:spacing w:after="0" w:line="164" w:lineRule="exact"/>
        <w:rPr>
          <w:sz w:val="20"/>
          <w:szCs w:val="20"/>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6" w:lineRule="exact"/>
        <w:rPr>
          <w:rFonts w:ascii="Arial" w:cs="Arial" w:eastAsia="Arial" w:hAnsi="Arial"/>
          <w:sz w:val="17"/>
          <w:szCs w:val="17"/>
          <w:color w:val="auto"/>
        </w:rPr>
      </w:pPr>
    </w:p>
    <w:p>
      <w:pPr>
        <w:ind w:left="660" w:hanging="330"/>
        <w:spacing w:after="0" w:line="26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ratings changes by any securities analysts who follow our Company;</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availability of federal funding to support local law enforcement efforts, or local budgets;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by us of significant technical innovations, acquisitions, strategic partnerships, joint ventures or capital commitments;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security product companies generally;</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board of directors or management;</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of large blocks of our Common Stock, including sales by our executive officers, directors and significant stockholders;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short sales, hedging and other derivative transactions involving our capital stock;</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conditions in the United States and abroad;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or responses to these events.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In the past, stockholders have instituted securities action litigation against certain companies following periods of market volatility. If we were to become involved in securities litigation, it could subject us to substantial costs, divert resources and the attention of management from our business and adversely affect our business, operating results, financial condition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may adversely affect the market price of our Common Stock.</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officers and directors are among our largest stockholders, and may have certain personal interests that may affect the Company.</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Management owned approximately 61% of our Common Stock at March 6, 2019. As a result, our management, acting individually or as a group, has the potential ability to exert influence on the outcome of issues requiring approval by our stockholders. This concentration of ownership may have effects such as delaying or preventing a change in control of the Company that may be favored by other stockholders or preventing transactions in which stockholders might otherwise recover a premium for their shares over current market prices.</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issue additional shares of Common Stock in the future. The issuance of additional shares of Common Stock may reduce the value of your Common Stock.</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Sales of shares of Common Stock issuable upon the exercise of any future options or warrants may lower the price of our Common Stock.</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2018, we granted options to purchase 2,067,500 shares of our Common Stock. In October 2018, we issued warrants to purchase 5,017,181 shares of our Common Stock to certain accredited investors and placement agents in connection with a private placement. The issuance of shares of Common Stock issuable upon the exercise of options or warrants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in the future, and the terms of the preferred stock may reduce the value of your Common Stock.</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authorized to issue up to 5,000,000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substantial costs as a result of being a public company.</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public company, we are incurring significant levels of legal, accounting, insurance and other expenses that we did not incur as a private company. We are subject to the reporting requirements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the Dodd-Frank Act, the listing requirements of the Nasdaq Capital Market and other applicable securities rules and regulations.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including by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payment of dividends will be at the discretion of our Board of Directors.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We lease approximately 1,987 square feet of office, assembly and warehousing space located at 4620 Arville Street, Suite E, Las Vegas, Nevada 89103, pursuant to a three-year lease expiring December 2019 at a current monthly rate of $1,588. In January 2019, we extended this lease for an additional twelve months commencing January 2020 and ending December 2020 at a rate of $2,100 per month for the extension period. In February 2019, we entered into a two-year lease for 1906 square feet of office, assembly and warehousing space located at </w:t>
      </w:r>
      <w:r>
        <w:rPr>
          <w:rFonts w:ascii="Arial" w:cs="Arial" w:eastAsia="Arial" w:hAnsi="Arial"/>
          <w:sz w:val="16"/>
          <w:szCs w:val="16"/>
          <w:color w:val="1B1B1B"/>
        </w:rPr>
        <w:t>20331 Lake Forest Drive, Suite C-11, Lake Forest, California 92630</w:t>
      </w:r>
      <w:r>
        <w:rPr>
          <w:rFonts w:ascii="Arial" w:cs="Arial" w:eastAsia="Arial" w:hAnsi="Arial"/>
          <w:sz w:val="16"/>
          <w:szCs w:val="16"/>
          <w:color w:val="auto"/>
        </w:rPr>
        <w:t xml:space="preserve"> at a monthly rate of $2,723. We expect that these properties will be sufficient to meet our needs for at least the next 12 months.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in October 2017 we commenced reimbursing officer Mr. Elwood Norris $1,500 per month on a month to month basis for laboratory facility costs. In November, 2018 we commenced paying $5,000 on a month to month basis for a 50% share of 1,000 square feet at 55 Fifth Ave, Suite 1702, New York, NY 10003. We from time to time rent executive space on a month to month basis for remotely located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may at times, be involved in litigation in the ordinary course of business. We will also, from time to time, when appropriate in management’s estimation, record adequate reserves in our financial statements for pending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PART II</w:t>
      </w:r>
    </w:p>
    <w:p>
      <w:pPr>
        <w:spacing w:after="0" w:line="234" w:lineRule="exact"/>
        <w:rPr>
          <w:sz w:val="20"/>
          <w:szCs w:val="20"/>
          <w:color w:val="auto"/>
        </w:rPr>
      </w:pPr>
    </w:p>
    <w:p>
      <w:pPr>
        <w:ind w:right="1200"/>
        <w:spacing w:after="0" w:line="303" w:lineRule="auto"/>
        <w:rPr>
          <w:sz w:val="20"/>
          <w:szCs w:val="20"/>
          <w:color w:val="auto"/>
        </w:rPr>
      </w:pPr>
      <w:r>
        <w:rPr>
          <w:rFonts w:ascii="Arial" w:cs="Arial" w:eastAsia="Arial" w:hAnsi="Arial"/>
          <w:sz w:val="17"/>
          <w:szCs w:val="17"/>
          <w:b w:val="1"/>
          <w:bCs w:val="1"/>
          <w:color w:val="auto"/>
        </w:rPr>
        <w:t>ITEM 5. MARKET FOR COMMON EQUITY AND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Nasdaq Capital Market under the symbol “WRTC.”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At March 6, 2019 there were 27,364,607 shares of Common Stock outstanding and approximately 76 stockholders of record.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0"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Our 2017 Stock Incentive Plan (the “</w:t>
      </w:r>
      <w:r>
        <w:rPr>
          <w:rFonts w:ascii="Arial" w:cs="Arial" w:eastAsia="Arial" w:hAnsi="Arial"/>
          <w:sz w:val="16"/>
          <w:szCs w:val="16"/>
          <w:i w:val="1"/>
          <w:iCs w:val="1"/>
          <w:color w:val="auto"/>
        </w:rPr>
        <w:t>2017 Plan</w:t>
      </w:r>
      <w:r>
        <w:rPr>
          <w:rFonts w:ascii="Arial" w:cs="Arial" w:eastAsia="Arial" w:hAnsi="Arial"/>
          <w:sz w:val="16"/>
          <w:szCs w:val="16"/>
          <w:color w:val="auto"/>
        </w:rPr>
        <w:t>”) was adopted by our Board of Directors on March 31, 2017, and approved by a majority of our stockholders on March 31, 2017. The 2017 Plan reserves for issuance 2.0 million shares of our Common Stock for issuance as one of four types of equity incentive awards: (i) stock options, (ii) shares of Common Stock, (iii) restricted stock awards, and (iv) restricted stock units. The 2017 Plan permits the qualification of awards under the plan as “performance-based compensation” within the meaning of Section 162(m) of the Internal Revenue Code.</w:t>
      </w:r>
    </w:p>
    <w:p>
      <w:pPr>
        <w:spacing w:after="0" w:line="167" w:lineRule="exact"/>
        <w:rPr>
          <w:sz w:val="20"/>
          <w:szCs w:val="20"/>
          <w:color w:val="auto"/>
        </w:rPr>
      </w:pPr>
    </w:p>
    <w:p>
      <w:pPr>
        <w:jc w:val="both"/>
        <w:ind w:right="100"/>
        <w:spacing w:after="0" w:line="295" w:lineRule="auto"/>
        <w:rPr>
          <w:sz w:val="20"/>
          <w:szCs w:val="20"/>
          <w:color w:val="auto"/>
        </w:rPr>
      </w:pPr>
      <w:r>
        <w:rPr>
          <w:rFonts w:ascii="Arial" w:cs="Arial" w:eastAsia="Arial" w:hAnsi="Arial"/>
          <w:sz w:val="17"/>
          <w:szCs w:val="17"/>
          <w:color w:val="auto"/>
        </w:rPr>
        <w:t>The following table sets forth information as of December 31, 2018, with respect to compensation plans (including individual compensation arrangements) under which our equity securities are authorized for issuance, aggregated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Weighted-</w:t>
            </w:r>
          </w:p>
        </w:tc>
        <w:tc>
          <w:tcPr>
            <w:tcW w:w="12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7"/>
                <w:szCs w:val="17"/>
                <w:color w:val="auto"/>
                <w:w w:val="93"/>
              </w:rPr>
              <w:t>Number of securities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auto"/>
                <w:w w:val="97"/>
              </w:rPr>
              <w:t>average exercise</w:t>
            </w:r>
          </w:p>
        </w:tc>
        <w:tc>
          <w:tcPr>
            <w:tcW w:w="1900" w:type="dxa"/>
            <w:vAlign w:val="bottom"/>
            <w:gridSpan w:val="4"/>
          </w:tcPr>
          <w:p>
            <w:pPr>
              <w:ind w:left="120"/>
              <w:spacing w:after="0"/>
              <w:rPr>
                <w:sz w:val="20"/>
                <w:szCs w:val="20"/>
                <w:color w:val="auto"/>
              </w:rPr>
            </w:pPr>
            <w:r>
              <w:rPr>
                <w:rFonts w:ascii="Arial" w:cs="Arial" w:eastAsia="Arial" w:hAnsi="Arial"/>
                <w:sz w:val="17"/>
                <w:szCs w:val="17"/>
                <w:color w:val="auto"/>
              </w:rPr>
              <w:t>remaining available for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60" w:type="dxa"/>
            <w:vAlign w:val="bottom"/>
            <w:gridSpan w:val="4"/>
          </w:tcPr>
          <w:p>
            <w:pPr>
              <w:ind w:left="1160"/>
              <w:spacing w:after="0"/>
              <w:rPr>
                <w:sz w:val="20"/>
                <w:szCs w:val="20"/>
                <w:color w:val="auto"/>
              </w:rPr>
            </w:pPr>
            <w:r>
              <w:rPr>
                <w:rFonts w:ascii="Arial" w:cs="Arial" w:eastAsia="Arial" w:hAnsi="Arial"/>
                <w:sz w:val="17"/>
                <w:szCs w:val="17"/>
                <w:color w:val="auto"/>
                <w:w w:val="94"/>
              </w:rPr>
              <w:t>Number of securities to be</w:t>
            </w: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price of</w:t>
            </w:r>
          </w:p>
        </w:tc>
        <w:tc>
          <w:tcPr>
            <w:tcW w:w="1900" w:type="dxa"/>
            <w:vAlign w:val="bottom"/>
            <w:gridSpan w:val="4"/>
          </w:tcPr>
          <w:p>
            <w:pPr>
              <w:jc w:val="center"/>
              <w:ind w:right="160"/>
              <w:spacing w:after="0"/>
              <w:rPr>
                <w:sz w:val="20"/>
                <w:szCs w:val="20"/>
                <w:color w:val="auto"/>
              </w:rPr>
            </w:pPr>
            <w:r>
              <w:rPr>
                <w:rFonts w:ascii="Arial" w:cs="Arial" w:eastAsia="Arial" w:hAnsi="Arial"/>
                <w:sz w:val="17"/>
                <w:szCs w:val="17"/>
                <w:color w:val="auto"/>
                <w:w w:val="91"/>
              </w:rPr>
              <w:t>future issuance under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issued upon exercise</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outstanding</w:t>
            </w:r>
          </w:p>
        </w:tc>
        <w:tc>
          <w:tcPr>
            <w:tcW w:w="1900" w:type="dxa"/>
            <w:vAlign w:val="bottom"/>
            <w:gridSpan w:val="4"/>
          </w:tcPr>
          <w:p>
            <w:pPr>
              <w:ind w:left="120"/>
              <w:spacing w:after="0"/>
              <w:rPr>
                <w:sz w:val="20"/>
                <w:szCs w:val="20"/>
                <w:color w:val="auto"/>
              </w:rPr>
            </w:pPr>
            <w:r>
              <w:rPr>
                <w:rFonts w:ascii="Arial" w:cs="Arial" w:eastAsia="Arial" w:hAnsi="Arial"/>
                <w:sz w:val="17"/>
                <w:szCs w:val="17"/>
                <w:color w:val="auto"/>
                <w:w w:val="91"/>
              </w:rPr>
              <w:t>equity compensation plan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of</w:t>
            </w: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options,</w:t>
            </w:r>
          </w:p>
        </w:tc>
        <w:tc>
          <w:tcPr>
            <w:tcW w:w="12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(excluding securities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outstanding options,</w:t>
            </w: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warrants and</w:t>
            </w:r>
          </w:p>
        </w:tc>
        <w:tc>
          <w:tcPr>
            <w:tcW w:w="12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7"/>
                <w:szCs w:val="17"/>
                <w:color w:val="auto"/>
                <w:w w:val="95"/>
              </w:rPr>
              <w:t>reflected in column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vMerge w:val="restart"/>
          </w:tcPr>
          <w:p>
            <w:pPr>
              <w:ind w:left="2620"/>
              <w:spacing w:after="0"/>
              <w:rPr>
                <w:sz w:val="20"/>
                <w:szCs w:val="20"/>
                <w:color w:val="auto"/>
              </w:rPr>
            </w:pPr>
            <w:r>
              <w:rPr>
                <w:rFonts w:ascii="Arial" w:cs="Arial" w:eastAsia="Arial" w:hAnsi="Arial"/>
                <w:sz w:val="17"/>
                <w:szCs w:val="17"/>
                <w:b w:val="1"/>
                <w:bCs w:val="1"/>
                <w:color w:val="auto"/>
              </w:rPr>
              <w:t>Plan Category</w:t>
            </w:r>
          </w:p>
        </w:tc>
        <w:tc>
          <w:tcPr>
            <w:tcW w:w="116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warrants and rights</w:t>
            </w: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rights</w:t>
            </w:r>
          </w:p>
        </w:tc>
        <w:tc>
          <w:tcPr>
            <w:tcW w:w="12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7"/>
                <w:szCs w:val="17"/>
                <w:color w:val="auto"/>
                <w:w w:val="98"/>
              </w:rPr>
              <w: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(a)</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6"/>
              </w:rPr>
              <w:t>(b)</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(c)</w:t>
            </w:r>
          </w:p>
        </w:tc>
        <w:tc>
          <w:tcPr>
            <w:tcW w:w="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1,967,500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1.62</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2960" w:type="dxa"/>
            <w:vAlign w:val="bottom"/>
            <w:gridSpan w:val="3"/>
          </w:tcPr>
          <w:p>
            <w:pPr>
              <w:jc w:val="right"/>
              <w:ind w:right="320"/>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w:t>
            </w:r>
          </w:p>
        </w:tc>
        <w:tc>
          <w:tcPr>
            <w:tcW w:w="18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2,067,500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1.68</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0" w:lineRule="exact"/>
        <w:rPr>
          <w:sz w:val="20"/>
          <w:szCs w:val="20"/>
          <w:color w:val="auto"/>
        </w:rPr>
      </w:pPr>
    </w:p>
    <w:p>
      <w:pPr>
        <w:ind w:right="260"/>
        <w:spacing w:after="0" w:line="295" w:lineRule="auto"/>
        <w:rPr>
          <w:sz w:val="20"/>
          <w:szCs w:val="20"/>
          <w:color w:val="auto"/>
        </w:rPr>
      </w:pPr>
      <w:r>
        <w:rPr>
          <w:rFonts w:ascii="Arial" w:cs="Arial" w:eastAsia="Arial" w:hAnsi="Arial"/>
          <w:sz w:val="17"/>
          <w:szCs w:val="17"/>
          <w:color w:val="auto"/>
        </w:rPr>
        <w:t>No unregistered securities were issued during the fiscal year that were not previously reported in a Quarterly Report on Form 10-Q or Current Report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Our Transfer Agent and Registrar for our Common Stock is Colonial Stock Transfer, located at 66 Exchange Place, Suite 100, Salt Lake City, Utah 84111.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40"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color w:val="auto"/>
        </w:rPr>
        <w:t>Information requested by this Item is not included, as we are electing to take advantage of scaled disclosure requirements available to Smaller Reporting Companies.</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520"/>
          </w:cols>
          <w:pgMar w:left="240" w:top="555" w:right="1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discussion and analysis set forth below should be read in conjunction with the information presented in other sections of this Annual Report, including “Item</w:t>
      </w:r>
    </w:p>
    <w:p>
      <w:pPr>
        <w:spacing w:after="0" w:line="38" w:lineRule="exact"/>
        <w:rPr>
          <w:sz w:val="20"/>
          <w:szCs w:val="20"/>
          <w:color w:val="auto"/>
        </w:rPr>
      </w:pPr>
    </w:p>
    <w:p>
      <w:pPr>
        <w:jc w:val="both"/>
        <w:ind w:firstLine="7"/>
        <w:spacing w:after="0" w:line="271" w:lineRule="auto"/>
        <w:tabs>
          <w:tab w:leader="none" w:pos="197"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Business,” “Item 1A. Risk Factors,” and “Item 8. Financial Statements and Supplementary Data.” The following discussion may contain forward-looking statements that reflect our plans, estimates and beliefs. Words such as “expects,” “anticipates,” “intends,” “plans,” “believes,” “seeks,” “estimates”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security technology company organized in March 2016 focused on delivering modern policing solutions to customers, primarily consisting of law enforcement and security personnel. We began demonstrations of our first product, the BolaWrap 100 remote restraint device, in November 2017. The immediate addressable domestic market consists of approximately 701,000 full-time sworn law enforcement officers in the U.S. We have demonstrated the product to over 60 agencies across the country, often with media in attendance, resulting in dozens of media reports including television and print that have driven hundreds of inquiries from domestic and international prospects. Over 40 law enforcement agencies took delivery of the BolaWrap 100 devices during 2018. We have delivered over 200 devices at no cost to these agencies for evaluation and feedback as a result of these initial inquiries and have just started filling small orders as we establish production. We have made improvements to our product as a result of law agency input and we are now taking orders for an enhanced version of the BolaWrap 100 with a new green line laser accessory scheduled to commence deliveries in the second quarter of 2019. There can be no assurance regarding the timing or amount of future revenue from this product or future products, if 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Reverse Capitalization</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Company resulted from the March 31, 2017 merger of Wrap LLC with and into our wholly-owned subsidiary MegaWest. Wrap LLC’s acquisition of MegaWest and its subsequent merger with and into MegaWest as a wholly-owned subsidiary of the Company, and the exchange of membership interests for Common Stock, was accounted for as a reverse recapitalization of Wrap LLC (the “</w:t>
      </w:r>
      <w:r>
        <w:rPr>
          <w:rFonts w:ascii="Arial" w:cs="Arial" w:eastAsia="Arial" w:hAnsi="Arial"/>
          <w:sz w:val="16"/>
          <w:szCs w:val="16"/>
          <w:i w:val="1"/>
          <w:iCs w:val="1"/>
          <w:color w:val="auto"/>
        </w:rPr>
        <w:t>Recapitalization</w:t>
      </w:r>
      <w:r>
        <w:rPr>
          <w:rFonts w:ascii="Arial" w:cs="Arial" w:eastAsia="Arial" w:hAnsi="Arial"/>
          <w:sz w:val="16"/>
          <w:szCs w:val="16"/>
          <w:color w:val="auto"/>
        </w:rPr>
        <w:t>”). Wrap LLC, now the Company as a result of the Recapitalization, was deemed the accounting acquirer with MegaWest, the accounting acquiree. Our financial statements are in substance those of Wrap LLC, and are deemed to be a continuation of Wrap LLC’s business from its inception date of March 2, 2016. The Company’s balance sheet continues at historical cost, as the accounting acquiree had no assets or liabilities, and no goodwill or intangible assets were recorded as part of the Recapitalization.</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To reflect the Recapitalization, historical shares of Common Stock and additional paid-in capital have been retroactively adjusted using the exchange ratio of approximately 23,930.60 shares of Common Stock for each membership unit of Wrap LLC.</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Highlights, Outlook and Challenges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we completed a self-underwritten public offering, raising gross proceeds of approximately $3.49 million from the sale of 2,328,533 shares of Common Stock at the public offering price of $1.50 per share. Three officers of the Company purchased an aggregate of 40,000 shares of Common Stock during the offering for an aggregate purchase price of $60,000.</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May 18, 2018, the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issued a quotation clearance to our sponsoring market maker and assigned the ticker symbol “WRTC” to our Common Stock. Quotations for our Common Stock commenced under the WRTC ticker symbol on the OTCQB Venture Market for early stage and developing U.S. and international companies. On December 4, 2018, our stock trading was uplisted to the Nasdaq Capital Market also under the symbol “WRTC.” Our Common Stock is also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 eligible, allowing for electronic clearing of trades.</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2018, the U.S. Patent and Trademark Office granted the first four U.S. patents on our BolaWrap remote restraint device and technology. In September 2018 we commenced filing our first foreign patent applications, targeting the European Union (17 countries) and 17 other countries. We currently have six U.S. patents pending. We have additional patents being drafted as part of our strategy to protect our innovations in the U.S. and in targeted countries internationally.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2" w:name="page23"/>
    <w:bookmarkEnd w:id="22"/>
    <w:p>
      <w:pPr>
        <w:jc w:val="both"/>
        <w:spacing w:after="0" w:line="267" w:lineRule="auto"/>
        <w:rPr>
          <w:sz w:val="20"/>
          <w:szCs w:val="20"/>
          <w:color w:val="auto"/>
        </w:rPr>
      </w:pPr>
      <w:r>
        <w:rPr>
          <w:rFonts w:ascii="Arial" w:cs="Arial" w:eastAsia="Arial" w:hAnsi="Arial"/>
          <w:sz w:val="17"/>
          <w:szCs w:val="17"/>
          <w:color w:val="auto"/>
        </w:rPr>
        <w:t>Our strategy is to focus on the immediate addressable domestic market of approximately 701,000 full-time sworn officers in 15,300 federal, state and local law enforcement agencies while also beginning to explore other markets, including military, border patrol and international markets. According to Stratistics MRC, we participate in a segment of the non-lethal products market expected to grow to $11.85 billion by 2023. We are unable to predict the market acceptance of our new product, the BolaWrap 100, or the level of future sales, if any. We have demonstrated the product to over 60 agencies across the country, often with media in attendance, resulting in dozens of media reports including television and print that have driven hundreds of inquiries from domestic and international prospects. Over 40 law enforcement agencies took delivery of BolaWrap 100 devices during 2018. We have delivered over 200 devices at no cost to these agencies for evaluation and feedback as a result of these initial inquiries. We are making product updates as a result of initial feedback, and in October 2018 announced a patent pending green line laser accessory. We believe the enhanced version of our product with the laser accessory will meet customer requirements and we are taking orders for delivery in the second quarter of 2019. We believe we can accelerate orders in 2019. However, there can be no assurance of the timing or quantity of orders or sales in future periods.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2018 we completed a private placement of equity securities, resulting in net cash proceeds to the Company of approximately $12,140,000. We expect to grow business functions, including production, marketing, sales, distribution, service and administration. Until we generate additional revenue and net cash flow from operations or obtain additional financing, we expect to have limited personnel to accomplish these functions and will primarily rely on our executives along with outside consultants and suppliers for production and certain other services. Given our limited personnel, substantial risk and uncertainty exists with respect to whether we can timely execute our business plan and achieve our operating objectives, including obtaining orders from customers and introducing new products in the future.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Although we believe that we have adequate financial resources to sustain our operations for the next year, no assurances can be given, and we may need additional capital for future operations and to market and further develop our product line and introduce new products. Obtaining any required additional financing in the future could be a significant challenge for management, and failure to secure necessary financing would have a material adverse effect on our operations.</w:t>
      </w:r>
    </w:p>
    <w:p>
      <w:pPr>
        <w:spacing w:after="0" w:line="18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face significant challenges in establishing, operating and growing our business. We expect that we will need to continue to innovate new applications for our security technology, develop new products and technologies to meet diverse customer requirements and identify and develop new markets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Until consummation of the Recapitalization on March 31, 2017, we were treated as a partnership for federal and state income tax purposes and did not incur income taxes. Instead, our losses were included in the income tax returns of the member partners. Following the Recapitalization, we are responsible for federal, state and foreign taxes for jurisdictions in which we conduct business. As part of the process of preparing our financial statements, we are required to estimate our provision for income taxes. Significant management judgment will be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Some of our accounting policies require higher degrees of judgment than others in their application. These include share-based compensation and contingencies and, going forward, areas such as revenue recognition, warranty liabilities, impairments and valuation of intangible assets.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3" w:name="page24"/>
    <w:bookmarkEnd w:id="23"/>
    <w:p>
      <w:pPr>
        <w:jc w:val="both"/>
        <w:spacing w:after="0" w:line="292" w:lineRule="auto"/>
        <w:rPr>
          <w:sz w:val="20"/>
          <w:szCs w:val="20"/>
          <w:color w:val="auto"/>
        </w:rPr>
      </w:pPr>
      <w:r>
        <w:rPr>
          <w:rFonts w:ascii="Arial" w:cs="Arial" w:eastAsia="Arial" w:hAnsi="Arial"/>
          <w:sz w:val="16"/>
          <w:szCs w:val="16"/>
          <w:color w:val="auto"/>
        </w:rPr>
        <w:t>We sell our products to customers primarily law enforcement agencies and foreign dealers and revenue from such transactions is recognized in the periods that products are shipped (free on board (“</w:t>
      </w:r>
      <w:r>
        <w:rPr>
          <w:rFonts w:ascii="Arial" w:cs="Arial" w:eastAsia="Arial" w:hAnsi="Arial"/>
          <w:sz w:val="16"/>
          <w:szCs w:val="16"/>
          <w:i w:val="1"/>
          <w:iCs w:val="1"/>
          <w:color w:val="auto"/>
        </w:rPr>
        <w:t>FOB</w:t>
      </w:r>
      <w:r>
        <w:rPr>
          <w:rFonts w:ascii="Arial" w:cs="Arial" w:eastAsia="Arial" w:hAnsi="Arial"/>
          <w:sz w:val="16"/>
          <w:szCs w:val="16"/>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training. Our customers do not have the right to return product unless the product is found to be defective.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year ended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operating expense has included (i) selling, general and administrative expense, and (ii) research and development expense. Research and development expense comprises the costs incurred in performing research and development activities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actual level of future selling, general and administrative expense will be dependent on staffing levels, elections regarding expenditures on sales, marketing and customer training, the use of outside resources, public company and regulatory costs, and other factors, some of which are outside of our control. Our operating costs could increase rapidly as we introduce our product and expand our research and development, production, distribution, training, service and administrative functions in future months. We may also incur future financing costs and substantial noncash stock-based compensation costs depending on future option grants that are impacted by stock prices and other valuation factors. Historical expenditures are not indicative of future expenditures.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2018 Compared to Year Ended December 31, 2017</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had minimal revenue of $23,150 from deliveries to customers for the year ended December 31, 2018. At December 31, 2018 we had a backlog of approximately $53,000, that was filled in January 2019.</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did not actively pursue orders in 2018, as our objective was to introduce our new product to law enforcement and obtain feedback to improve the product prior to mass production. Recently, our marketing and selling efforts have focused on creating demand for our improved generation product with our green line laser. Initial deliveries are anticipated in the second quarter of 2019. We incurred promotional costs of $192,484 for the year ended December 31, 2018 related primarily to the cost of demonstration products and accessories delivered to law enforcement agencies, and were expensed as marketing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had no revenue or product costs for the 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Selling, general and administrative expense for the year ended December 31, 2018 was $2,607,397 compared to $522,210 for the year ended December 31, 2017. The most recent period included non-cash stock-based compensation expense of $417,151 and compensation and sales consulting costs of $950,460. There were no non-cash stock-based compensation costs for the prior year, and compensation and sales consulting costs were $263,046 for the year ended December 31, 2017. The increase in compensation and sales consulting costs was due to the increase in staffing following our December 2017 IPO and the hiring of employees and sales consultants to introduce and demonstrate the BolaWrap 100 broadly across the nation.</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Travel and entertainment costs increased from $55,356 in 2017 to $267,894 for the year ended December 31, 2018. This increase is attributable to product demonstration activities provided to law enforcement agencies during 2018. Product promotion, trade show and other marketing costs were $263,817 for the year ended December 31, 2018 compared to $58,533 for the prior year, which increase is attributable to the commencement of direct activities with agencies and demonstration products provided at no cost during the 2018 period.</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Other general and administrative costs of $708,073 during the year ended December 31, 2018 included legal, audit and professional fees of $253,412, chairman and director fees of $169,500, public company costs of $210,769 and occupancy and office costs of $74,392. In the prior year, our activities were just beginning as we focused on research and development, with other general and administrative costs aggregating $144,633, including occupancy costs of $40,880, public company costs of $18,692 and $85,061 of professional fees.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 for the year ended December 31, 2018 was $734,776, which included $95,837 of non-cash stock-based compensation expense, $323,650 of compensation and consulting costs, contract research costs of $119,431, prototype costs of $93,581, patent costs of $30,470, travel and entertainment costs of $35,136 and occupancy costs of $15,872. This was an increase from $311,335 for the prior year, which included $65,185 of compensation and consulting costs, contract research costs of $122,433, prototype costs of $29,998, patent costs of $46,580 and travel and entertainment costs of $9,953. During 2018, we increased staffing for internal research and production development activities. Our research and development costs will vary depending on specific research projects and levels of internal and external staffing and prototype costs.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loss for the year ended December 31, 2018 was $3,336,435 compared to a net loss of $833,545 for the prior year, with the increase in net loss resulting from costs associated with increased staffing and activity after our December 2017 IPO and the commencement of sales and marketing activities related to the BolaWrap 100.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net losses and negative cash flows from operations since our inception. As of December 31, 2018, we had cash of $12,358,896, positive working capital of $12,239,054, and had sustained cumulative losses attributable to common stockholders of $4,404,336. We believe that our cash on hand will sustain our operations for at least the next twelve months.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sole source of liquidity to date has been funding from our stockholders and the sale of debt and equity securities. We expect our primary source of future liquidity will be from the sale of products, if any, and if required from future equity or debt financings.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Requirements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December 2017, we completed our IPO, raising gross proceeds of approximately $3.49 million from the sale of 2,328,533 shares of Common Stock at the public offering price of $1.50 per share.</w:t>
      </w:r>
    </w:p>
    <w:p>
      <w:pPr>
        <w:spacing w:after="0" w:line="16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January 2018, the Company financed $39,435 of insurance obligations pursuant to a short-term note agreement, which accrued interest at a rate of 7.15%, and which was payable in ten monthly principal and interest payments of $4,074 due through November 2018. The note was paid in November 2018.</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 October 2018 we received approximately $12.14 million in net cash proceeds from the private sale of equity securities to certain accredited investors.</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currently estimate our future liquidity requirements or future capital needs, which will depend on, among other things, capital required to introduce our new product and the staffing and support requirements, as well as the timing and amount of future revenue and product costs. We anticipate that demands for operating and working capital will grow as we are increasing staffing, development, production, marketing, training and other functions and based on other factors outside of our control. We believe we have sufficient capital to sustain our operations for the next twelve months, although no assurances can be given. Additionally, no assurances can be provided that any future debt or equity capital will be available to us under favorable terms, if at all. Failure to quickly produce and sell products and timely obtain any required additional capital in the future will have a material adverse effect on the Company.</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future capital requirements, cash flows and results of operations could be affected by, and will depend on, many factors, some of which are currently unknown to us, including, among other things:</w:t>
      </w:r>
    </w:p>
    <w:p>
      <w:pPr>
        <w:spacing w:after="0" w:line="164"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decisions regarding staffing, development, production, marketing and other functions;</w:t>
      </w:r>
    </w:p>
    <w:p>
      <w:pPr>
        <w:spacing w:after="0" w:line="26"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extent of any market acceptance of our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planned production and required customer and regulatory compliance of our new products;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our patent applications and defending any future intellectual property-related claims;</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and timing of additional product development;</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any future warranty claims or litigation against us associated with any of our products and</w:t>
      </w:r>
    </w:p>
    <w:p>
      <w:pPr>
        <w:spacing w:after="0" w:line="19"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costs associated with any new financing.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We have no 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year ended December 31, 2018, net cash used in operating activities was $2,692,136. The net loss of $3,336,435 was decreased by non-cash expense of $512,988 for stock-based compensation and $21,875 for depreciation and amortization. Other major component changes using operating cash included a $27,075 increase in inventories, an increase of $63,982 in prepaid expense and other current assets and an increase of $4,396 in accounts receivable. An increase of $204,889 in accounts payable and accrued liabilities reduced cash used in operating activities.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2017, net cash used in operating activities was $833,709. The net loss of $833,545 was reduced by a $16,853 decrease in prepaid expense, $26,000 of deferred and accrued officer compensation and an $81,514 increase of accounts payable and accruals. A total of $131,192 was invested in inventories for production.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used $14,225 and $35,103 of cash for the purchase of property and equipment during the years ended December 31, 2018 and 2017, respectively. As patents have now been granted, we began capitalizing patent costs during 2018 and invested $120,070 in patents during the year ended December 31, 2018.</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2018 we received $12,140,786 in net proceeds from our private equity financing and repaid a short-term insurance financing note in the amount of $39,435. We obtained $3,697,716 of cash from our stockholders, net of offering costs associated with our IPO during the year ended December 31, 2017.</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are obligated to pay to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4% royalty fee on future product sales up to an aggregate amount of $1.0 million in royalties or until September 30, 2026, whichever occurs earlier.</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2019 we extended our Las Vegas, Nevada corporate and production facility lease through December 31, 2020. In February 2019 we entered into a two-year lease for an office and warehouse space in Forest Lake, California. We are committed to aggregate lease payments on these leases of $46,281 in 2019, $58,636 in 2020 and $5,598 in 2021.</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At December 31, 2018 we were committed to approximately $1.46 million of purchase commitments for product components. These purchase commitments are generally subject to modification as to timing, quantities and scheduling and in certain instances may be cancelable without penalty.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has had a material impact on our business, revenue or operating results during the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adoption of ASC 2018-07 for stock-based transactions with non-employees, which eliminates the requirement to revalue non-employee options each period, there have been no recent accounting pronouncements or changes in accounting pronouncements during the year ended December 31, 2018, or subsequently thereto, that we believe are of potential significance to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with our independent registered public accounting firm in regards to accounting and financial disclosure.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40"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Financial Statements of the Company required to be included in this Item 8 are set forth in a separate section of this report following Item 15 and the Signature Page commencing on Page F-1.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or any reportable events requiring disclosure under Item 304(b) of Regulation S-K.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2018 and, based on this evaluation, our Chief Executive Officer and Chief Financial Officer concluded that, as of the end of the period covered by this report, our disclosure controls and procedures were effective at the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the Company’s registered public accounting firm because the Company is an “emerging growth company” under the JOBS Act. An attestation report of the Company’s independent registered public accounting firm regarding internal control over financial reporting is also not required for smaller reporting companies.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Chief Financial Officer has authority to initiate transactions, has custody of assets, and records and reconciles transactions and prepares our period end financial reports. In prior periods, without the sufficient segregation of conflicting duties or adequate controls normally required for effective internal control this was considered a material weakness in our internal control over financial reporting. During the quarter ended December 31, 2018, we instituted additional internal controls consisting of adding accounting staff and instituting review procedures by our Chief Executive Officer, which we believe remediates the previously identified material weakness.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Other than described in the preceding paragraph, there have been no changes in our internal control over financial reporting during our fiscal quarter ended December 31, 2018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that may be identified during this process.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PART III</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required by this Part III is omitted from this report and is incorporated by reference to our Definitive Proxy Statement to be filed with the SEC in connection with the Annual Meeting of Stockholders to be held in 2019 (the “</w:t>
      </w:r>
      <w:r>
        <w:rPr>
          <w:rFonts w:ascii="Arial" w:cs="Arial" w:eastAsia="Arial" w:hAnsi="Arial"/>
          <w:sz w:val="17"/>
          <w:szCs w:val="17"/>
          <w:i w:val="1"/>
          <w:iCs w:val="1"/>
          <w:color w:val="auto"/>
        </w:rPr>
        <w:t>Proxy Statement</w:t>
      </w:r>
      <w:r>
        <w:rPr>
          <w:rFonts w:ascii="Arial" w:cs="Arial" w:eastAsia="Arial" w:hAnsi="Arial"/>
          <w:sz w:val="17"/>
          <w:szCs w:val="17"/>
          <w:color w:val="auto"/>
        </w:rPr>
        <w:t>”), which must be filed no later than 120 days after the close of the fiscal year ended December 31, 2018, pursuant to Regulation 14A.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Securities and Exchange Commission on or before April 30,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30, 2019.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8700" w:type="dxa"/>
            <w:vAlign w:val="bottom"/>
          </w:tcPr>
          <w:p>
            <w:pPr>
              <w:ind w:left="5360"/>
              <w:spacing w:after="0"/>
              <w:rPr>
                <w:sz w:val="20"/>
                <w:szCs w:val="20"/>
                <w:color w:val="auto"/>
              </w:rPr>
            </w:pPr>
            <w:r>
              <w:rPr>
                <w:rFonts w:ascii="Arial" w:cs="Arial" w:eastAsia="Arial" w:hAnsi="Arial"/>
                <w:sz w:val="17"/>
                <w:szCs w:val="17"/>
                <w:b w:val="1"/>
                <w:bCs w:val="1"/>
                <w:color w:val="auto"/>
              </w:rPr>
              <w:t>PART IV</w:t>
            </w:r>
          </w:p>
        </w:tc>
        <w:tc>
          <w:tcPr>
            <w:tcW w:w="2440" w:type="dxa"/>
            <w:vAlign w:val="bottom"/>
          </w:tcPr>
          <w:p>
            <w:pPr>
              <w:spacing w:after="0"/>
              <w:rPr>
                <w:sz w:val="19"/>
                <w:szCs w:val="19"/>
                <w:color w:val="auto"/>
              </w:rPr>
            </w:pPr>
          </w:p>
        </w:tc>
      </w:tr>
      <w:tr>
        <w:trPr>
          <w:trHeight w:val="430"/>
        </w:trPr>
        <w:tc>
          <w:tcPr>
            <w:tcW w:w="8700" w:type="dxa"/>
            <w:vAlign w:val="bottom"/>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2440" w:type="dxa"/>
            <w:vAlign w:val="bottom"/>
          </w:tcPr>
          <w:p>
            <w:pPr>
              <w:spacing w:after="0"/>
              <w:rPr>
                <w:sz w:val="24"/>
                <w:szCs w:val="24"/>
                <w:color w:val="auto"/>
              </w:rPr>
            </w:pPr>
          </w:p>
        </w:tc>
      </w:tr>
      <w:tr>
        <w:trPr>
          <w:trHeight w:val="423"/>
        </w:trPr>
        <w:tc>
          <w:tcPr>
            <w:tcW w:w="8700" w:type="dxa"/>
            <w:vAlign w:val="bottom"/>
          </w:tcPr>
          <w:p>
            <w:pPr>
              <w:spacing w:after="0"/>
              <w:rPr>
                <w:sz w:val="20"/>
                <w:szCs w:val="20"/>
                <w:color w:val="auto"/>
              </w:rPr>
            </w:pPr>
            <w:r>
              <w:rPr>
                <w:rFonts w:ascii="Arial" w:cs="Arial" w:eastAsia="Arial" w:hAnsi="Arial"/>
                <w:sz w:val="17"/>
                <w:szCs w:val="17"/>
                <w:color w:val="auto"/>
              </w:rPr>
              <w:t>(a)   List of documents filed as a part of this report:</w:t>
            </w:r>
          </w:p>
        </w:tc>
        <w:tc>
          <w:tcPr>
            <w:tcW w:w="2440" w:type="dxa"/>
            <w:vAlign w:val="bottom"/>
          </w:tcPr>
          <w:p>
            <w:pPr>
              <w:spacing w:after="0"/>
              <w:rPr>
                <w:sz w:val="24"/>
                <w:szCs w:val="24"/>
                <w:color w:val="auto"/>
              </w:rPr>
            </w:pPr>
          </w:p>
        </w:tc>
      </w:tr>
      <w:tr>
        <w:trPr>
          <w:trHeight w:val="215"/>
        </w:trPr>
        <w:tc>
          <w:tcPr>
            <w:tcW w:w="8700" w:type="dxa"/>
            <w:vAlign w:val="bottom"/>
          </w:tcPr>
          <w:p>
            <w:pPr>
              <w:spacing w:after="0"/>
              <w:rPr>
                <w:sz w:val="20"/>
                <w:szCs w:val="20"/>
                <w:color w:val="auto"/>
              </w:rPr>
            </w:pPr>
            <w:r>
              <w:rPr>
                <w:rFonts w:ascii="Arial" w:cs="Arial" w:eastAsia="Arial" w:hAnsi="Arial"/>
                <w:sz w:val="17"/>
                <w:szCs w:val="17"/>
                <w:color w:val="auto"/>
              </w:rPr>
              <w:t>(1)  Index to Financial Statements</w:t>
            </w:r>
          </w:p>
        </w:tc>
        <w:tc>
          <w:tcPr>
            <w:tcW w:w="2440" w:type="dxa"/>
            <w:vAlign w:val="bottom"/>
          </w:tcPr>
          <w:p>
            <w:pPr>
              <w:spacing w:after="0"/>
              <w:rPr>
                <w:sz w:val="18"/>
                <w:szCs w:val="18"/>
                <w:color w:val="auto"/>
              </w:rPr>
            </w:pPr>
          </w:p>
        </w:tc>
      </w:tr>
      <w:tr>
        <w:trPr>
          <w:trHeight w:val="215"/>
        </w:trPr>
        <w:tc>
          <w:tcPr>
            <w:tcW w:w="8700" w:type="dxa"/>
            <w:vAlign w:val="bottom"/>
          </w:tcPr>
          <w:p>
            <w:pPr>
              <w:ind w:left="500"/>
              <w:spacing w:after="0"/>
              <w:rPr>
                <w:sz w:val="20"/>
                <w:szCs w:val="20"/>
                <w:color w:val="auto"/>
              </w:rPr>
            </w:pPr>
            <w:r>
              <w:rPr>
                <w:rFonts w:ascii="Arial" w:cs="Arial" w:eastAsia="Arial" w:hAnsi="Arial"/>
                <w:sz w:val="17"/>
                <w:szCs w:val="17"/>
                <w:color w:val="auto"/>
              </w:rPr>
              <w:t>Report of Independent Registered Public Accounting Firm</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F-2</w:t>
            </w:r>
          </w:p>
        </w:tc>
      </w:tr>
      <w:tr>
        <w:trPr>
          <w:trHeight w:val="215"/>
        </w:trPr>
        <w:tc>
          <w:tcPr>
            <w:tcW w:w="8700" w:type="dxa"/>
            <w:vAlign w:val="bottom"/>
          </w:tcPr>
          <w:p>
            <w:pPr>
              <w:ind w:left="500"/>
              <w:spacing w:after="0"/>
              <w:rPr>
                <w:sz w:val="20"/>
                <w:szCs w:val="20"/>
                <w:color w:val="auto"/>
              </w:rPr>
            </w:pPr>
            <w:r>
              <w:rPr>
                <w:rFonts w:ascii="Arial" w:cs="Arial" w:eastAsia="Arial" w:hAnsi="Arial"/>
                <w:sz w:val="17"/>
                <w:szCs w:val="17"/>
                <w:color w:val="auto"/>
              </w:rPr>
              <w:t>Balance Sheets as of December 31, 2018 and 2017</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F-3</w:t>
            </w:r>
          </w:p>
        </w:tc>
      </w:tr>
      <w:tr>
        <w:trPr>
          <w:trHeight w:val="215"/>
        </w:trPr>
        <w:tc>
          <w:tcPr>
            <w:tcW w:w="8700" w:type="dxa"/>
            <w:vAlign w:val="bottom"/>
          </w:tcPr>
          <w:p>
            <w:pPr>
              <w:ind w:left="500"/>
              <w:spacing w:after="0"/>
              <w:rPr>
                <w:sz w:val="20"/>
                <w:szCs w:val="20"/>
                <w:color w:val="auto"/>
              </w:rPr>
            </w:pPr>
            <w:r>
              <w:rPr>
                <w:rFonts w:ascii="Arial" w:cs="Arial" w:eastAsia="Arial" w:hAnsi="Arial"/>
                <w:sz w:val="17"/>
                <w:szCs w:val="17"/>
                <w:color w:val="auto"/>
              </w:rPr>
              <w:t>Statements of Operations for the Years Ended December 31, 2018 and 2017</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F-4</w:t>
            </w:r>
          </w:p>
        </w:tc>
      </w:tr>
      <w:tr>
        <w:trPr>
          <w:trHeight w:val="215"/>
        </w:trPr>
        <w:tc>
          <w:tcPr>
            <w:tcW w:w="8700" w:type="dxa"/>
            <w:vAlign w:val="bottom"/>
          </w:tcPr>
          <w:p>
            <w:pPr>
              <w:ind w:left="500"/>
              <w:spacing w:after="0"/>
              <w:rPr>
                <w:sz w:val="20"/>
                <w:szCs w:val="20"/>
                <w:color w:val="auto"/>
              </w:rPr>
            </w:pPr>
            <w:r>
              <w:rPr>
                <w:rFonts w:ascii="Arial" w:cs="Arial" w:eastAsia="Arial" w:hAnsi="Arial"/>
                <w:sz w:val="17"/>
                <w:szCs w:val="17"/>
                <w:color w:val="auto"/>
              </w:rPr>
              <w:t>Statements of Stockholders’ Equity for the Years Ended December 31, 2018 and 2017</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F-5</w:t>
            </w:r>
          </w:p>
        </w:tc>
      </w:tr>
      <w:tr>
        <w:trPr>
          <w:trHeight w:val="215"/>
        </w:trPr>
        <w:tc>
          <w:tcPr>
            <w:tcW w:w="8700" w:type="dxa"/>
            <w:vAlign w:val="bottom"/>
          </w:tcPr>
          <w:p>
            <w:pPr>
              <w:ind w:left="500"/>
              <w:spacing w:after="0"/>
              <w:rPr>
                <w:sz w:val="20"/>
                <w:szCs w:val="20"/>
                <w:color w:val="auto"/>
              </w:rPr>
            </w:pPr>
            <w:r>
              <w:rPr>
                <w:rFonts w:ascii="Arial" w:cs="Arial" w:eastAsia="Arial" w:hAnsi="Arial"/>
                <w:sz w:val="17"/>
                <w:szCs w:val="17"/>
                <w:color w:val="auto"/>
              </w:rPr>
              <w:t>Statements of Cash Flows for the Years Ended December 31, 2018 and 2017</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F-6</w:t>
            </w:r>
          </w:p>
        </w:tc>
      </w:tr>
      <w:tr>
        <w:trPr>
          <w:trHeight w:val="222"/>
        </w:trPr>
        <w:tc>
          <w:tcPr>
            <w:tcW w:w="8700" w:type="dxa"/>
            <w:vAlign w:val="bottom"/>
          </w:tcPr>
          <w:p>
            <w:pPr>
              <w:ind w:left="500"/>
              <w:spacing w:after="0"/>
              <w:rPr>
                <w:sz w:val="20"/>
                <w:szCs w:val="20"/>
                <w:color w:val="auto"/>
              </w:rPr>
            </w:pPr>
            <w:r>
              <w:rPr>
                <w:rFonts w:ascii="Arial" w:cs="Arial" w:eastAsia="Arial" w:hAnsi="Arial"/>
                <w:sz w:val="17"/>
                <w:szCs w:val="17"/>
                <w:color w:val="auto"/>
              </w:rPr>
              <w:t>Notes to Financial Statements</w:t>
            </w:r>
          </w:p>
        </w:tc>
        <w:tc>
          <w:tcPr>
            <w:tcW w:w="2440" w:type="dxa"/>
            <w:vAlign w:val="bottom"/>
          </w:tcPr>
          <w:p>
            <w:pPr>
              <w:ind w:left="2200"/>
              <w:spacing w:after="0"/>
              <w:rPr>
                <w:sz w:val="20"/>
                <w:szCs w:val="20"/>
                <w:color w:val="auto"/>
              </w:rPr>
            </w:pPr>
            <w:r>
              <w:rPr>
                <w:rFonts w:ascii="Arial" w:cs="Arial" w:eastAsia="Arial" w:hAnsi="Arial"/>
                <w:sz w:val="17"/>
                <w:szCs w:val="17"/>
                <w:color w:val="auto"/>
                <w:w w:val="86"/>
              </w:rPr>
              <w:t>F-7</w:t>
            </w:r>
          </w:p>
        </w:tc>
      </w:tr>
    </w:tbl>
    <w:p>
      <w:pPr>
        <w:spacing w:after="0" w:line="20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Financial Statement Schedules</w:t>
      </w:r>
    </w:p>
    <w:p>
      <w:pPr>
        <w:spacing w:after="0" w:line="26" w:lineRule="exact"/>
        <w:rPr>
          <w:sz w:val="20"/>
          <w:szCs w:val="20"/>
          <w:color w:val="auto"/>
        </w:rPr>
      </w:pPr>
    </w:p>
    <w:p>
      <w:pPr>
        <w:ind w:left="820" w:right="560"/>
        <w:spacing w:after="0" w:line="263" w:lineRule="auto"/>
        <w:rPr>
          <w:sz w:val="20"/>
          <w:szCs w:val="20"/>
          <w:color w:val="auto"/>
        </w:rPr>
      </w:pPr>
      <w:r>
        <w:rPr>
          <w:rFonts w:ascii="Arial" w:cs="Arial" w:eastAsia="Arial" w:hAnsi="Arial"/>
          <w:sz w:val="17"/>
          <w:szCs w:val="17"/>
          <w:color w:val="auto"/>
        </w:rPr>
        <w:t>All schedules have been omitted because the information is not applicable, is not material or because the information required is included in the financial statements or the notes thereto.</w:t>
      </w:r>
    </w:p>
    <w:p>
      <w:pPr>
        <w:spacing w:after="0" w:line="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Index to Exhibits</w:t>
      </w:r>
    </w:p>
    <w:p>
      <w:pPr>
        <w:spacing w:after="0" w:line="19" w:lineRule="exact"/>
        <w:rPr>
          <w:sz w:val="20"/>
          <w:szCs w:val="20"/>
          <w:color w:val="auto"/>
        </w:rPr>
      </w:pPr>
    </w:p>
    <w:p>
      <w:pPr>
        <w:ind w:left="820" w:right="40"/>
        <w:spacing w:after="0" w:line="287" w:lineRule="auto"/>
        <w:rPr>
          <w:sz w:val="20"/>
          <w:szCs w:val="20"/>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Form 10-K.</w:t>
      </w:r>
    </w:p>
    <w:p>
      <w:pPr>
        <w:sectPr>
          <w:pgSz w:w="11900" w:h="16838" w:orient="portrait"/>
          <w:cols w:equalWidth="0" w:num="1">
            <w:col w:w="11420"/>
          </w:cols>
          <w:pgMar w:left="240" w:top="555" w:right="239" w:bottom="1440" w:gutter="0" w:footer="0" w:header="0"/>
        </w:sectPr>
      </w:pP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Exhibit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Number</w:t>
      </w:r>
    </w:p>
    <w:p>
      <w:pPr>
        <w:spacing w:after="0" w:line="31"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39">
        <w:r>
          <w:rPr>
            <w:rFonts w:ascii="Arial" w:cs="Arial" w:eastAsia="Arial" w:hAnsi="Arial"/>
            <w:sz w:val="17"/>
            <w:szCs w:val="17"/>
            <w:u w:val="single" w:color="auto"/>
            <w:color w:val="0000EE"/>
          </w:rPr>
          <w:t>2.1</w:t>
        </w:r>
      </w:hyperlink>
    </w:p>
    <w:p>
      <w:pPr>
        <w:spacing w:after="0" w:line="228"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0">
        <w:r>
          <w:rPr>
            <w:rFonts w:ascii="Arial" w:cs="Arial" w:eastAsia="Arial" w:hAnsi="Arial"/>
            <w:sz w:val="17"/>
            <w:szCs w:val="17"/>
            <w:u w:val="single" w:color="auto"/>
            <w:color w:val="0000EE"/>
          </w:rPr>
          <w:t>2.2</w:t>
        </w:r>
      </w:hyperlink>
    </w:p>
    <w:p>
      <w:pPr>
        <w:spacing w:after="0" w:line="342" w:lineRule="exact"/>
        <w:rPr>
          <w:sz w:val="20"/>
          <w:szCs w:val="20"/>
          <w:color w:val="auto"/>
        </w:rPr>
      </w:pPr>
    </w:p>
    <w:p>
      <w:pPr>
        <w:ind w:left="760"/>
        <w:spacing w:after="0"/>
        <w:rPr>
          <w:rFonts w:ascii="Arial" w:cs="Arial" w:eastAsia="Arial" w:hAnsi="Arial"/>
          <w:sz w:val="17"/>
          <w:szCs w:val="17"/>
          <w:u w:val="single" w:color="auto"/>
          <w:color w:val="0000EE"/>
        </w:rPr>
      </w:pPr>
      <w:hyperlink r:id="rId41">
        <w:r>
          <w:rPr>
            <w:rFonts w:ascii="Arial" w:cs="Arial" w:eastAsia="Arial" w:hAnsi="Arial"/>
            <w:sz w:val="17"/>
            <w:szCs w:val="17"/>
            <w:u w:val="single" w:color="auto"/>
            <w:color w:val="0000EE"/>
          </w:rPr>
          <w:t>3.1</w:t>
        </w:r>
      </w:hyperlink>
    </w:p>
    <w:p>
      <w:pPr>
        <w:spacing w:after="0" w:line="127" w:lineRule="exact"/>
        <w:rPr>
          <w:sz w:val="20"/>
          <w:szCs w:val="20"/>
          <w:color w:val="auto"/>
        </w:rPr>
      </w:pPr>
    </w:p>
    <w:p>
      <w:pPr>
        <w:ind w:left="760"/>
        <w:spacing w:after="0"/>
        <w:rPr>
          <w:rFonts w:ascii="Arial" w:cs="Arial" w:eastAsia="Arial" w:hAnsi="Arial"/>
          <w:sz w:val="17"/>
          <w:szCs w:val="17"/>
          <w:u w:val="single" w:color="auto"/>
          <w:color w:val="0000EE"/>
        </w:rPr>
      </w:pPr>
      <w:hyperlink r:id="rId42">
        <w:r>
          <w:rPr>
            <w:rFonts w:ascii="Arial" w:cs="Arial" w:eastAsia="Arial" w:hAnsi="Arial"/>
            <w:sz w:val="17"/>
            <w:szCs w:val="17"/>
            <w:u w:val="single" w:color="auto"/>
            <w:color w:val="0000EE"/>
          </w:rPr>
          <w:t>3.2</w:t>
        </w:r>
      </w:hyperlink>
    </w:p>
    <w:p>
      <w:pPr>
        <w:spacing w:after="0" w:line="127" w:lineRule="exact"/>
        <w:rPr>
          <w:sz w:val="20"/>
          <w:szCs w:val="20"/>
          <w:color w:val="auto"/>
        </w:rPr>
      </w:pPr>
    </w:p>
    <w:p>
      <w:pPr>
        <w:ind w:left="760"/>
        <w:spacing w:after="0"/>
        <w:rPr>
          <w:rFonts w:ascii="Arial" w:cs="Arial" w:eastAsia="Arial" w:hAnsi="Arial"/>
          <w:sz w:val="17"/>
          <w:szCs w:val="17"/>
          <w:u w:val="single" w:color="auto"/>
          <w:color w:val="0000EE"/>
        </w:rPr>
      </w:pPr>
      <w:hyperlink r:id="rId43">
        <w:r>
          <w:rPr>
            <w:rFonts w:ascii="Arial" w:cs="Arial" w:eastAsia="Arial" w:hAnsi="Arial"/>
            <w:sz w:val="17"/>
            <w:szCs w:val="17"/>
            <w:u w:val="single" w:color="auto"/>
            <w:color w:val="0000EE"/>
          </w:rPr>
          <w:t>4.1</w:t>
        </w:r>
      </w:hyperlink>
    </w:p>
    <w:p>
      <w:pPr>
        <w:spacing w:after="0" w:line="127" w:lineRule="exact"/>
        <w:rPr>
          <w:sz w:val="20"/>
          <w:szCs w:val="20"/>
          <w:color w:val="auto"/>
        </w:rPr>
      </w:pPr>
    </w:p>
    <w:p>
      <w:pPr>
        <w:ind w:left="760"/>
        <w:spacing w:after="0"/>
        <w:rPr>
          <w:rFonts w:ascii="Arial" w:cs="Arial" w:eastAsia="Arial" w:hAnsi="Arial"/>
          <w:sz w:val="17"/>
          <w:szCs w:val="17"/>
          <w:u w:val="single" w:color="auto"/>
          <w:color w:val="0000EE"/>
        </w:rPr>
      </w:pPr>
      <w:hyperlink r:id="rId44">
        <w:r>
          <w:rPr>
            <w:rFonts w:ascii="Arial" w:cs="Arial" w:eastAsia="Arial" w:hAnsi="Arial"/>
            <w:sz w:val="17"/>
            <w:szCs w:val="17"/>
            <w:u w:val="single" w:color="auto"/>
            <w:color w:val="0000EE"/>
          </w:rPr>
          <w:t>4.2</w:t>
        </w:r>
      </w:hyperlink>
    </w:p>
    <w:p>
      <w:pPr>
        <w:spacing w:after="0" w:line="234"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5">
        <w:r>
          <w:rPr>
            <w:rFonts w:ascii="Arial" w:cs="Arial" w:eastAsia="Arial" w:hAnsi="Arial"/>
            <w:sz w:val="17"/>
            <w:szCs w:val="17"/>
            <w:u w:val="single" w:color="auto"/>
            <w:color w:val="0000EE"/>
          </w:rPr>
          <w:t>4.3</w:t>
        </w:r>
      </w:hyperlink>
    </w:p>
    <w:p>
      <w:pPr>
        <w:spacing w:after="0" w:line="234"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6">
        <w:r>
          <w:rPr>
            <w:rFonts w:ascii="Arial" w:cs="Arial" w:eastAsia="Arial" w:hAnsi="Arial"/>
            <w:sz w:val="17"/>
            <w:szCs w:val="17"/>
            <w:u w:val="single" w:color="auto"/>
            <w:color w:val="0000EE"/>
          </w:rPr>
          <w:t>10.1</w:t>
        </w:r>
      </w:hyperlink>
    </w:p>
    <w:p>
      <w:pPr>
        <w:spacing w:after="0" w:line="342"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7">
        <w:r>
          <w:rPr>
            <w:rFonts w:ascii="Arial" w:cs="Arial" w:eastAsia="Arial" w:hAnsi="Arial"/>
            <w:sz w:val="17"/>
            <w:szCs w:val="17"/>
            <w:u w:val="single" w:color="auto"/>
            <w:color w:val="0000EE"/>
          </w:rPr>
          <w:t>10.2+</w:t>
        </w:r>
      </w:hyperlink>
    </w:p>
    <w:p>
      <w:pPr>
        <w:spacing w:after="0" w:line="234"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8">
        <w:r>
          <w:rPr>
            <w:rFonts w:ascii="Arial" w:cs="Arial" w:eastAsia="Arial" w:hAnsi="Arial"/>
            <w:sz w:val="17"/>
            <w:szCs w:val="17"/>
            <w:u w:val="single" w:color="auto"/>
            <w:color w:val="0000EE"/>
          </w:rPr>
          <w:t>10.3</w:t>
        </w:r>
      </w:hyperlink>
    </w:p>
    <w:p>
      <w:pPr>
        <w:spacing w:after="0" w:line="234" w:lineRule="exact"/>
        <w:rPr>
          <w:sz w:val="20"/>
          <w:szCs w:val="20"/>
          <w:color w:val="auto"/>
        </w:rPr>
      </w:pPr>
    </w:p>
    <w:p>
      <w:pPr>
        <w:jc w:val="center"/>
        <w:ind w:left="540"/>
        <w:spacing w:after="0"/>
        <w:rPr>
          <w:rFonts w:ascii="Arial" w:cs="Arial" w:eastAsia="Arial" w:hAnsi="Arial"/>
          <w:sz w:val="17"/>
          <w:szCs w:val="17"/>
          <w:u w:val="single" w:color="auto"/>
          <w:color w:val="0000EE"/>
        </w:rPr>
      </w:pPr>
      <w:hyperlink r:id="rId49">
        <w:r>
          <w:rPr>
            <w:rFonts w:ascii="Arial" w:cs="Arial" w:eastAsia="Arial" w:hAnsi="Arial"/>
            <w:sz w:val="17"/>
            <w:szCs w:val="17"/>
            <w:u w:val="single" w:color="auto"/>
            <w:color w:val="0000EE"/>
          </w:rPr>
          <w:t>10.4</w:t>
        </w:r>
      </w:hyperlink>
    </w:p>
    <w:p>
      <w:pPr>
        <w:spacing w:after="0" w:line="234" w:lineRule="exact"/>
        <w:rPr>
          <w:sz w:val="20"/>
          <w:szCs w:val="20"/>
          <w:color w:val="auto"/>
        </w:rPr>
      </w:pPr>
    </w:p>
    <w:p>
      <w:pPr>
        <w:ind w:left="720"/>
        <w:spacing w:after="0"/>
        <w:rPr>
          <w:rFonts w:ascii="Arial" w:cs="Arial" w:eastAsia="Arial" w:hAnsi="Arial"/>
          <w:sz w:val="17"/>
          <w:szCs w:val="17"/>
          <w:u w:val="single" w:color="auto"/>
          <w:color w:val="0000EE"/>
        </w:rPr>
      </w:pPr>
      <w:hyperlink r:id="rId50">
        <w:r>
          <w:rPr>
            <w:rFonts w:ascii="Arial" w:cs="Arial" w:eastAsia="Arial" w:hAnsi="Arial"/>
            <w:sz w:val="17"/>
            <w:szCs w:val="17"/>
            <w:u w:val="single" w:color="auto"/>
            <w:color w:val="0000EE"/>
          </w:rPr>
          <w:t>14.1</w:t>
        </w:r>
      </w:hyperlink>
    </w:p>
    <w:p>
      <w:pPr>
        <w:spacing w:after="0" w:line="127" w:lineRule="exact"/>
        <w:rPr>
          <w:sz w:val="20"/>
          <w:szCs w:val="20"/>
          <w:color w:val="auto"/>
        </w:rPr>
      </w:pPr>
    </w:p>
    <w:p>
      <w:pPr>
        <w:ind w:left="72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23.1</w:t>
        </w:r>
      </w:hyperlink>
    </w:p>
    <w:p>
      <w:pPr>
        <w:spacing w:after="0" w:line="26" w:lineRule="exact"/>
        <w:rPr>
          <w:sz w:val="20"/>
          <w:szCs w:val="20"/>
          <w:color w:val="auto"/>
        </w:rPr>
      </w:pPr>
    </w:p>
    <w:p>
      <w:pPr>
        <w:ind w:left="72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31.1</w:t>
        </w:r>
      </w:hyperlink>
    </w:p>
    <w:p>
      <w:pPr>
        <w:spacing w:after="0" w:line="19" w:lineRule="exact"/>
        <w:rPr>
          <w:sz w:val="20"/>
          <w:szCs w:val="20"/>
          <w:color w:val="auto"/>
        </w:rPr>
      </w:pPr>
    </w:p>
    <w:p>
      <w:pPr>
        <w:ind w:left="720"/>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31.2</w:t>
        </w:r>
      </w:hyperlink>
    </w:p>
    <w:p>
      <w:pPr>
        <w:spacing w:after="0" w:line="19" w:lineRule="exact"/>
        <w:rPr>
          <w:sz w:val="20"/>
          <w:szCs w:val="20"/>
          <w:color w:val="auto"/>
        </w:rPr>
      </w:pPr>
    </w:p>
    <w:p>
      <w:pPr>
        <w:ind w:left="720"/>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32.1</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101.INS</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101.SCH</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101.CAL</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101.DEF</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101.LAB</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w:t>
      </w:r>
    </w:p>
    <w:p>
      <w:pPr>
        <w:spacing w:after="0" w:line="3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Stock Purchase Agreement, dated March 22, 2017, by and between Wrap Technologies, LLC, Petro River Oil Corp., and Megawest Energy Montana Corp. Incorporated by reference to Exhibit 2.1 to the Registration Statement on Form S-1, filed on April 17, 2017. Merger Agreement between Wrap Technologies, LLC and Megawest Energy Montana Corp., dated March 30, 2017. Incorporated by reference to Exhibit 2.2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-542290</wp:posOffset>
            </wp:positionV>
            <wp:extent cx="7247255" cy="273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ind w:right="20"/>
        <w:spacing w:after="0" w:line="263" w:lineRule="auto"/>
        <w:rPr>
          <w:sz w:val="20"/>
          <w:szCs w:val="20"/>
          <w:color w:val="auto"/>
        </w:rPr>
      </w:pPr>
      <w:r>
        <w:rPr>
          <w:rFonts w:ascii="Arial" w:cs="Arial" w:eastAsia="Arial" w:hAnsi="Arial"/>
          <w:sz w:val="17"/>
          <w:szCs w:val="17"/>
          <w:color w:val="auto"/>
        </w:rPr>
        <w:t>Amended and Restated Certificate of Incorporation of the Registrant. Incorporated by reference to Exhibit 3.1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-270510</wp:posOffset>
            </wp:positionV>
            <wp:extent cx="7247255" cy="273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7"/>
          <w:szCs w:val="17"/>
          <w:color w:val="auto"/>
        </w:rPr>
        <w:t>Bylaws of the Registrant. Incorporated by reference to Exhibit 3.2 to the Registration Statement on Form S-1, filed on April 17, 2017. Form of Common Stock Certificate. Incorporated by reference to Exhibit 4.1 to Amendment No. 1 to the Registration Statement on Form S-1, filed on May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-269875</wp:posOffset>
            </wp:positionV>
            <wp:extent cx="7247255" cy="27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Form of Investor Warrant, dated October 30, 2018. Incorporated by reference to Exhibit 4.1 to the Current Report on Form 8-K, filed on November 5, 2018.</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Form of Placement Agent Warrant, dated October 30, 2018. Incorporated by reference to Exhibit 4.2 to the Current Report on Form 8-K, filed on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-270510</wp:posOffset>
            </wp:positionV>
            <wp:extent cx="7247255" cy="273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Amended and Restated Intellectual Property License Agreement, dated September 30, 2016, by and between Wrap Technologies, LLC and Syzygy Licensing LLC. Incorporated by reference to Exhibit 10.1 to the Registration Statement on Form S-1, filed on April 17, 2017. 2017 Equity Compensation Plan. Incorporated by reference to Exhibit 10.2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-269240</wp:posOffset>
            </wp:positionV>
            <wp:extent cx="7247255" cy="27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Form of Placement Agent Agreement, dated October 30, 2018. Incorporated by reference to Exhibit 10.1 to the Current Report on Form 8-K, filed on November 5, 2018.</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Form of Registration Rights Agreement, dated October 30, 2018. Incorporated by reference to Exhibit 10.2 to the Current Report on Form 8-K, filed on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-270510</wp:posOffset>
            </wp:positionV>
            <wp:extent cx="7247255" cy="273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jc w:val="both"/>
        <w:ind w:right="20"/>
        <w:spacing w:after="0" w:line="263" w:lineRule="auto"/>
        <w:rPr>
          <w:sz w:val="20"/>
          <w:szCs w:val="20"/>
          <w:color w:val="auto"/>
        </w:rPr>
      </w:pPr>
      <w:r>
        <w:rPr>
          <w:rFonts w:ascii="Arial" w:cs="Arial" w:eastAsia="Arial" w:hAnsi="Arial"/>
          <w:sz w:val="17"/>
          <w:szCs w:val="17"/>
          <w:color w:val="auto"/>
        </w:rPr>
        <w:t>Code of Ethics of the Registrant Applicable to Directors, Officers And Employees. Incorporated by reference to Exhibit 14.1 to the Quarterly Report on Form 10-Q, filed on November 9, 2018.</w:t>
      </w:r>
    </w:p>
    <w:p>
      <w:pPr>
        <w:spacing w:after="0" w:line="1" w:lineRule="exact"/>
        <w:rPr>
          <w:sz w:val="20"/>
          <w:szCs w:val="20"/>
          <w:color w:val="auto"/>
        </w:rPr>
      </w:pPr>
    </w:p>
    <w:p>
      <w:pPr>
        <w:ind w:right="2320"/>
        <w:spacing w:after="0" w:line="298" w:lineRule="auto"/>
        <w:rPr>
          <w:sz w:val="20"/>
          <w:szCs w:val="20"/>
          <w:color w:val="auto"/>
        </w:rPr>
      </w:pPr>
      <w:r>
        <w:rPr>
          <w:rFonts w:ascii="Arial" w:cs="Arial" w:eastAsia="Arial" w:hAnsi="Arial"/>
          <w:sz w:val="15"/>
          <w:szCs w:val="15"/>
          <w:color w:val="auto"/>
        </w:rPr>
        <w:t xml:space="preserve">Consent of Independent Registered Public Accounting Firm - </w:t>
      </w:r>
      <w:r>
        <w:rPr>
          <w:rFonts w:ascii="Arial" w:cs="Arial" w:eastAsia="Arial" w:hAnsi="Arial"/>
          <w:sz w:val="15"/>
          <w:szCs w:val="15"/>
          <w:color w:val="auto"/>
          <w:highlight w:val="white"/>
        </w:rPr>
        <w:t>Rosenberg Rich Baker Berman, P.A. *</w:t>
      </w:r>
      <w:r>
        <w:rPr>
          <w:rFonts w:ascii="Arial" w:cs="Arial" w:eastAsia="Arial" w:hAnsi="Arial"/>
          <w:sz w:val="15"/>
          <w:szCs w:val="15"/>
          <w:color w:val="auto"/>
        </w:rPr>
        <w:t xml:space="preserve"> Certification of David Norris pursuant to Rule 13a-14(a) under the Securities Exchange Act of 1934 * Certification of James A. Barnes pursuant to Rule 13a-14(a) under the Securities Exchange Act of 1934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-406400</wp:posOffset>
            </wp:positionV>
            <wp:extent cx="7247255"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-133350</wp:posOffset>
            </wp:positionV>
            <wp:extent cx="7247255" cy="136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jc w:val="both"/>
        <w:ind w:right="20"/>
        <w:spacing w:after="0" w:line="263" w:lineRule="auto"/>
        <w:rPr>
          <w:sz w:val="20"/>
          <w:szCs w:val="20"/>
          <w:color w:val="auto"/>
        </w:rPr>
      </w:pPr>
      <w:r>
        <w:rPr>
          <w:rFonts w:ascii="Arial" w:cs="Arial" w:eastAsia="Arial" w:hAnsi="Arial"/>
          <w:sz w:val="17"/>
          <w:szCs w:val="17"/>
          <w:color w:val="auto"/>
        </w:rPr>
        <w:t>Certifications pursuant to 18 U.S.C. Section 1350. This certification is being furnished solely to accompany this Annual Report on Form 10-K and is not being filed for purposes of Section 18 of the Securities Exchange Act of 1934, as amended, and is not to be incorporated by reference into any filing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Extensible Business Reporting Language (XBRL)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7247255" cy="13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Instance Document.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7247255" cy="13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Taxonomy Extension Calculation Linkbase.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7247255" cy="136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Taxonomy Extension Labels Linkbase.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7247255" cy="13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520"/>
            <w:col w:w="9700"/>
          </w:cols>
          <w:pgMar w:left="240" w:top="555" w:right="239" w:bottom="1440" w:gutter="0" w:footer="0" w:header="0"/>
          <w:type w:val="continuous"/>
        </w:sectPr>
      </w:pPr>
    </w:p>
    <w:p>
      <w:pPr>
        <w:spacing w:after="0" w:line="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24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SIGNATURES</w:t>
      </w:r>
    </w:p>
    <w:p>
      <w:pPr>
        <w:spacing w:after="0" w:line="240"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Las Vegas, State of Nevada, on the 7th day of March, 2019.</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Wrap Technologies, Inc.</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34925</wp:posOffset>
            </wp:positionV>
            <wp:extent cx="25577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2557780" cy="17145"/>
                    </a:xfrm>
                    <a:prstGeom prst="rect">
                      <a:avLst/>
                    </a:prstGeom>
                    <a:noFill/>
                  </pic:spPr>
                </pic:pic>
              </a:graphicData>
            </a:graphic>
          </wp:anchor>
        </w:drawing>
      </w:r>
    </w:p>
    <w:p>
      <w:pPr>
        <w:spacing w:after="0" w:line="53"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2019</w:t>
      </w:r>
    </w:p>
    <w:p>
      <w:pPr>
        <w:spacing w:after="0" w:line="234"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15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Position</w:t>
            </w:r>
          </w:p>
        </w:tc>
        <w:tc>
          <w:tcPr>
            <w:tcW w:w="15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Date</w:t>
            </w:r>
          </w:p>
        </w:tc>
      </w:tr>
      <w:tr>
        <w:trPr>
          <w:trHeight w:val="437"/>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NORRIS</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Chief Executive Officer and Director</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David Norris</w:t>
            </w:r>
          </w:p>
        </w:tc>
        <w:tc>
          <w:tcPr>
            <w:tcW w:w="15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0"/>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A. BARNES</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Chief Financial Officer, Secretary and</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06"/>
        </w:trPr>
        <w:tc>
          <w:tcPr>
            <w:tcW w:w="2540" w:type="dxa"/>
            <w:vAlign w:val="bottom"/>
          </w:tcPr>
          <w:p>
            <w:pPr>
              <w:spacing w:after="0"/>
              <w:rPr>
                <w:sz w:val="20"/>
                <w:szCs w:val="20"/>
                <w:color w:val="auto"/>
              </w:rPr>
            </w:pPr>
            <w:r>
              <w:rPr>
                <w:rFonts w:ascii="Arial" w:cs="Arial" w:eastAsia="Arial" w:hAnsi="Arial"/>
                <w:sz w:val="17"/>
                <w:szCs w:val="17"/>
                <w:color w:val="auto"/>
              </w:rPr>
              <w:t>James A. Barnes</w:t>
            </w:r>
          </w:p>
        </w:tc>
        <w:tc>
          <w:tcPr>
            <w:tcW w:w="150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Treasurer</w:t>
            </w:r>
          </w:p>
        </w:tc>
        <w:tc>
          <w:tcPr>
            <w:tcW w:w="15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2"/>
        </w:trPr>
        <w:tc>
          <w:tcPr>
            <w:tcW w:w="2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(Principal Accounting Officer)</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8"/>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 COHEN</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Executive Chairman of Board</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Scot Cohen</w:t>
            </w:r>
          </w:p>
        </w:tc>
        <w:tc>
          <w:tcPr>
            <w:tcW w:w="1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0"/>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/s/MICHAEL PARRIS</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Director</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Michael Parris</w:t>
            </w:r>
          </w:p>
        </w:tc>
        <w:tc>
          <w:tcPr>
            <w:tcW w:w="1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645"/>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/s/WAYNE R. WALKER</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Director</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Wayne R. Walker</w:t>
            </w:r>
          </w:p>
        </w:tc>
        <w:tc>
          <w:tcPr>
            <w:tcW w:w="1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0"/>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/s/PATRICK KINSELLA</w:t>
            </w:r>
          </w:p>
        </w:tc>
        <w:tc>
          <w:tcPr>
            <w:tcW w:w="15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Director</w:t>
            </w:r>
          </w:p>
        </w:tc>
        <w:tc>
          <w:tcPr>
            <w:tcW w:w="150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March 7, 2019</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Patrick Kinsella</w:t>
            </w:r>
          </w:p>
        </w:tc>
        <w:tc>
          <w:tcPr>
            <w:tcW w:w="1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798"/>
        </w:trPr>
        <w:tc>
          <w:tcPr>
            <w:tcW w:w="25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jc w:val="right"/>
              <w:ind w:right="2113"/>
              <w:spacing w:after="0"/>
              <w:rPr>
                <w:sz w:val="20"/>
                <w:szCs w:val="20"/>
                <w:color w:val="auto"/>
              </w:rPr>
            </w:pPr>
            <w:r>
              <w:rPr>
                <w:rFonts w:ascii="Arial" w:cs="Arial" w:eastAsia="Arial" w:hAnsi="Arial"/>
                <w:sz w:val="17"/>
                <w:szCs w:val="17"/>
                <w:color w:val="auto"/>
              </w:rPr>
              <w:t>-27-</w:t>
            </w:r>
          </w:p>
        </w:tc>
        <w:tc>
          <w:tcPr>
            <w:tcW w:w="1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0"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40" w:type="dxa"/>
            <w:vAlign w:val="bottom"/>
          </w:tcPr>
          <w:p>
            <w:pPr>
              <w:jc w:val="center"/>
              <w:ind w:left="2353"/>
              <w:spacing w:after="0"/>
              <w:rPr>
                <w:sz w:val="20"/>
                <w:szCs w:val="20"/>
                <w:color w:val="auto"/>
              </w:rPr>
            </w:pPr>
            <w:r>
              <w:rPr>
                <w:rFonts w:ascii="Arial" w:cs="Arial" w:eastAsia="Arial" w:hAnsi="Arial"/>
                <w:sz w:val="17"/>
                <w:szCs w:val="17"/>
                <w:b w:val="1"/>
                <w:bCs w:val="1"/>
                <w:color w:val="auto"/>
              </w:rPr>
              <w:t>WRAP TECHNOLOGIES, INC.</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940" w:type="dxa"/>
            <w:vAlign w:val="bottom"/>
          </w:tcPr>
          <w:p>
            <w:pPr>
              <w:jc w:val="center"/>
              <w:ind w:left="2353"/>
              <w:spacing w:after="0"/>
              <w:rPr>
                <w:sz w:val="20"/>
                <w:szCs w:val="20"/>
                <w:color w:val="auto"/>
              </w:rPr>
            </w:pPr>
            <w:r>
              <w:rPr>
                <w:rFonts w:ascii="Arial" w:cs="Arial" w:eastAsia="Arial" w:hAnsi="Arial"/>
                <w:sz w:val="17"/>
                <w:szCs w:val="17"/>
                <w:b w:val="1"/>
                <w:bCs w:val="1"/>
                <w:color w:val="auto"/>
              </w:rPr>
              <w:t>INDEX TO FINANCIAL STATEMENTS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Audited Financial Statements:</w:t>
            </w: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Balance Sheets as of December 31, 2018 and 2017</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Statements of Operations for the Years Ended December 31, 2018 and 2017</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Statements of Stockholders’ Equity for Years Ended December 31, 2018 and 2017</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Statements of Cash Flows for the Years Ended December 31, 2018 and 2017</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Notes to Financial Statements</w:t>
            </w:r>
          </w:p>
        </w:tc>
        <w:tc>
          <w:tcPr>
            <w:tcW w:w="24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Wrap Technologies,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balance sheets of Wrap Technologies, Inc. (the Company) as of December 31, 2018 and 2017, and the related statements of operations, stockholders’ equity, and cash flows for each of the years in the two years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years in the two years ended December 31, 2018,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Rosenberg Rich Baker Berman, P.A.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5"/>
          </w:tcPr>
          <w:p>
            <w:pPr>
              <w:jc w:val="right"/>
              <w:ind w:right="8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820" w:type="dxa"/>
            <w:vAlign w:val="bottom"/>
            <w:gridSpan w:val="2"/>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12,358,896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3,083,976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114,863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12,636,422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3,226,614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Intangible assets,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Other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12,787,022</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3,264,794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68,453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and accrued officer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397,368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192,479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Commitments and contingencies (Note 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- 5,000,000 authorized; par value $0.0001 per share; none issued and outstanding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w w:val="97"/>
              </w:rPr>
              <w:t>Common stock - 150,000,000 authorized; par value $0.0001 per share; 27,364,607 and 22,803,533 shares issued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outstanding, respectively</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16,791,254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Accumulated deficit</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(4,404,336)</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(1,067,901)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12,389,654</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3,072,315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12,787,022</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3,264,794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33" w:name="page34"/>
    <w:bookmarkEnd w:id="33"/>
    <w:p>
      <w:pPr>
        <w:ind w:left="4820"/>
        <w:spacing w:after="0"/>
        <w:rPr>
          <w:sz w:val="20"/>
          <w:szCs w:val="20"/>
          <w:color w:val="auto"/>
        </w:rPr>
      </w:pPr>
      <w:r>
        <w:rPr>
          <w:rFonts w:ascii="Arial" w:cs="Arial" w:eastAsia="Arial" w:hAnsi="Arial"/>
          <w:sz w:val="17"/>
          <w:szCs w:val="17"/>
          <w:b w:val="1"/>
          <w:bCs w:val="1"/>
          <w:color w:val="auto"/>
        </w:rPr>
        <w:t>Wrap Technologies, Inc.</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Statements of Operations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Product sales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Other revenue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18,611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2,607,397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522,210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734,776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311,335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3,342,173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833,545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(3,337,634)</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(833,545)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(3,336,435)</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(833,545)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loss per basic and diluted common share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(0.14)</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common shares used to compute net loss per basic and diluted common share</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23,578,291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20,194,560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Stockholders' Equity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8"/>
              </w:rPr>
              <w:t>Additional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r>
      <w:tr>
        <w:trPr>
          <w:trHeight w:val="242"/>
        </w:trPr>
        <w:tc>
          <w:tcPr>
            <w:tcW w:w="5840" w:type="dxa"/>
            <w:vAlign w:val="bottom"/>
          </w:tcPr>
          <w:p>
            <w:pPr>
              <w:spacing w:after="0"/>
              <w:rPr>
                <w:sz w:val="21"/>
                <w:szCs w:val="21"/>
                <w:color w:val="auto"/>
              </w:rPr>
            </w:pPr>
          </w:p>
        </w:tc>
        <w:tc>
          <w:tcPr>
            <w:tcW w:w="204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Common Stock</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Paid-In</w:t>
            </w:r>
          </w:p>
        </w:tc>
        <w:tc>
          <w:tcPr>
            <w:tcW w:w="1160" w:type="dxa"/>
            <w:vAlign w:val="bottom"/>
            <w:gridSpan w:val="4"/>
          </w:tcPr>
          <w:p>
            <w:pPr>
              <w:ind w:left="100"/>
              <w:spacing w:after="0"/>
              <w:rPr>
                <w:sz w:val="20"/>
                <w:szCs w:val="20"/>
                <w:color w:val="auto"/>
              </w:rPr>
            </w:pPr>
            <w:r>
              <w:rPr>
                <w:rFonts w:ascii="Arial" w:cs="Arial" w:eastAsia="Arial" w:hAnsi="Arial"/>
                <w:sz w:val="17"/>
                <w:szCs w:val="17"/>
                <w:b w:val="1"/>
                <w:bCs w:val="1"/>
                <w:color w:val="auto"/>
                <w:w w:val="97"/>
              </w:rPr>
              <w:t>Accumulated</w:t>
            </w:r>
          </w:p>
        </w:tc>
        <w:tc>
          <w:tcPr>
            <w:tcW w:w="1100" w:type="dxa"/>
            <w:vAlign w:val="bottom"/>
            <w:gridSpan w:val="4"/>
          </w:tcPr>
          <w:p>
            <w:pPr>
              <w:ind w:left="80"/>
              <w:spacing w:after="0"/>
              <w:rPr>
                <w:sz w:val="20"/>
                <w:szCs w:val="20"/>
                <w:color w:val="auto"/>
              </w:rPr>
            </w:pPr>
            <w:r>
              <w:rPr>
                <w:rFonts w:ascii="Arial" w:cs="Arial" w:eastAsia="Arial" w:hAnsi="Arial"/>
                <w:sz w:val="17"/>
                <w:szCs w:val="17"/>
                <w:b w:val="1"/>
                <w:bCs w:val="1"/>
                <w:color w:val="auto"/>
                <w:w w:val="89"/>
              </w:rPr>
              <w:t>Stockholders'</w:t>
            </w:r>
          </w:p>
        </w:tc>
      </w:tr>
      <w:tr>
        <w:trPr>
          <w:trHeight w:val="250"/>
        </w:trPr>
        <w:tc>
          <w:tcPr>
            <w:tcW w:w="5840" w:type="dxa"/>
            <w:vAlign w:val="bottom"/>
          </w:tcPr>
          <w:p>
            <w:pPr>
              <w:spacing w:after="0"/>
              <w:rPr>
                <w:sz w:val="21"/>
                <w:szCs w:val="21"/>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9"/>
              </w:rPr>
              <w:t>Amount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Capital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Deficit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Equity</w:t>
            </w:r>
          </w:p>
        </w:tc>
        <w:tc>
          <w:tcPr>
            <w:tcW w:w="100" w:type="dxa"/>
            <w:vAlign w:val="bottom"/>
          </w:tcPr>
          <w:p>
            <w:pPr>
              <w:spacing w:after="0"/>
              <w:rPr>
                <w:sz w:val="21"/>
                <w:szCs w:val="21"/>
                <w:color w:val="auto"/>
              </w:rPr>
            </w:pPr>
          </w:p>
        </w:tc>
      </w:tr>
      <w:tr>
        <w:trPr>
          <w:trHeight w:val="215"/>
        </w:trPr>
        <w:tc>
          <w:tcPr>
            <w:tcW w:w="58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17,445,408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440,755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(234,356)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208,144</w:t>
            </w:r>
          </w:p>
        </w:tc>
        <w:tc>
          <w:tcPr>
            <w:tcW w:w="100" w:type="dxa"/>
            <w:vAlign w:val="bottom"/>
            <w:shd w:val="clear" w:color="auto" w:fill="CCEEFF"/>
          </w:tcPr>
          <w:p>
            <w:pPr>
              <w:spacing w:after="0"/>
              <w:rPr>
                <w:sz w:val="18"/>
                <w:szCs w:val="18"/>
                <w:color w:val="auto"/>
              </w:rPr>
            </w:pPr>
          </w:p>
        </w:tc>
      </w:tr>
      <w:tr>
        <w:trPr>
          <w:trHeight w:val="215"/>
        </w:trPr>
        <w:tc>
          <w:tcPr>
            <w:tcW w:w="5840" w:type="dxa"/>
            <w:vAlign w:val="bottom"/>
          </w:tcPr>
          <w:p>
            <w:pPr>
              <w:ind w:left="220"/>
              <w:spacing w:after="0"/>
              <w:rPr>
                <w:sz w:val="20"/>
                <w:szCs w:val="20"/>
                <w:color w:val="auto"/>
              </w:rPr>
            </w:pPr>
            <w:r>
              <w:rPr>
                <w:rFonts w:ascii="Arial" w:cs="Arial" w:eastAsia="Arial" w:hAnsi="Arial"/>
                <w:sz w:val="17"/>
                <w:szCs w:val="17"/>
                <w:color w:val="auto"/>
              </w:rPr>
              <w:t>Sale of common stock in January 2017 at $0.10447 per share</w:t>
            </w:r>
          </w:p>
        </w:tc>
        <w:tc>
          <w:tcPr>
            <w:tcW w:w="900" w:type="dxa"/>
            <w:vAlign w:val="bottom"/>
          </w:tcPr>
          <w:p>
            <w:pPr>
              <w:jc w:val="right"/>
              <w:spacing w:after="0"/>
              <w:rPr>
                <w:sz w:val="20"/>
                <w:szCs w:val="20"/>
                <w:color w:val="auto"/>
              </w:rPr>
            </w:pPr>
            <w:r>
              <w:rPr>
                <w:rFonts w:ascii="Arial" w:cs="Arial" w:eastAsia="Arial" w:hAnsi="Arial"/>
                <w:sz w:val="17"/>
                <w:szCs w:val="17"/>
                <w:color w:val="auto"/>
              </w:rPr>
              <w:t>2,153,754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224,785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tcPr>
          <w:p>
            <w:pPr>
              <w:spacing w:after="0"/>
              <w:rPr>
                <w:sz w:val="18"/>
                <w:szCs w:val="18"/>
                <w:color w:val="auto"/>
              </w:rPr>
            </w:pPr>
          </w:p>
        </w:tc>
      </w:tr>
      <w:tr>
        <w:trPr>
          <w:trHeight w:val="215"/>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Shares issued to acquire merger subsidiary to effect reverse recapitalization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400,838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5"/>
        </w:trPr>
        <w:tc>
          <w:tcPr>
            <w:tcW w:w="5840" w:type="dxa"/>
            <w:vAlign w:val="bottom"/>
          </w:tcPr>
          <w:p>
            <w:pPr>
              <w:ind w:left="220"/>
              <w:spacing w:after="0"/>
              <w:rPr>
                <w:sz w:val="20"/>
                <w:szCs w:val="20"/>
                <w:color w:val="auto"/>
              </w:rPr>
            </w:pPr>
            <w:r>
              <w:rPr>
                <w:rFonts w:ascii="Arial" w:cs="Arial" w:eastAsia="Arial" w:hAnsi="Arial"/>
                <w:sz w:val="17"/>
                <w:szCs w:val="17"/>
                <w:color w:val="auto"/>
              </w:rPr>
              <w:t>Sale of common stock in July 2017 at $0.10447 per share</w:t>
            </w:r>
          </w:p>
        </w:tc>
        <w:tc>
          <w:tcPr>
            <w:tcW w:w="900" w:type="dxa"/>
            <w:vAlign w:val="bottom"/>
          </w:tcPr>
          <w:p>
            <w:pPr>
              <w:jc w:val="right"/>
              <w:spacing w:after="0"/>
              <w:rPr>
                <w:sz w:val="20"/>
                <w:szCs w:val="20"/>
                <w:color w:val="auto"/>
              </w:rPr>
            </w:pPr>
            <w:r>
              <w:rPr>
                <w:rFonts w:ascii="Arial" w:cs="Arial" w:eastAsia="Arial" w:hAnsi="Arial"/>
                <w:sz w:val="17"/>
                <w:szCs w:val="17"/>
                <w:color w:val="auto"/>
              </w:rPr>
              <w:t>475,000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r>
      <w:tr>
        <w:trPr>
          <w:trHeight w:val="206"/>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Sale of common stock in public offering at $1.50 per share in fourth quarter of</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2017, net of 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2,328,533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3,422,483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3,422,716</w:t>
            </w:r>
          </w:p>
        </w:tc>
        <w:tc>
          <w:tcPr>
            <w:tcW w:w="100" w:type="dxa"/>
            <w:vAlign w:val="bottom"/>
            <w:shd w:val="clear" w:color="auto" w:fill="CCEEFF"/>
          </w:tcPr>
          <w:p>
            <w:pPr>
              <w:spacing w:after="0"/>
              <w:rPr>
                <w:sz w:val="19"/>
                <w:szCs w:val="19"/>
                <w:color w:val="auto"/>
              </w:rPr>
            </w:pPr>
          </w:p>
        </w:tc>
      </w:tr>
      <w:tr>
        <w:trPr>
          <w:trHeight w:val="215"/>
        </w:trPr>
        <w:tc>
          <w:tcPr>
            <w:tcW w:w="5840" w:type="dxa"/>
            <w:vAlign w:val="bottom"/>
          </w:tcPr>
          <w:p>
            <w:pPr>
              <w:ind w:left="220"/>
              <w:spacing w:after="0"/>
              <w:rPr>
                <w:sz w:val="20"/>
                <w:szCs w:val="20"/>
                <w:color w:val="auto"/>
              </w:rPr>
            </w:pPr>
            <w:r>
              <w:rPr>
                <w:rFonts w:ascii="Arial" w:cs="Arial" w:eastAsia="Arial" w:hAnsi="Arial"/>
                <w:sz w:val="17"/>
                <w:szCs w:val="17"/>
                <w:color w:val="auto"/>
              </w:rPr>
              <w:t>Net loss for the period</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(833,545)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(833,545)</w:t>
            </w:r>
          </w:p>
        </w:tc>
      </w:tr>
      <w:tr>
        <w:trPr>
          <w:trHeight w:val="27"/>
        </w:trPr>
        <w:tc>
          <w:tcPr>
            <w:tcW w:w="58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58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22,803,533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4,137,936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(1,067,901)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3,072,315</w:t>
            </w:r>
          </w:p>
        </w:tc>
        <w:tc>
          <w:tcPr>
            <w:tcW w:w="100" w:type="dxa"/>
            <w:vAlign w:val="bottom"/>
            <w:shd w:val="clear" w:color="auto" w:fill="CCEEFF"/>
          </w:tcPr>
          <w:p>
            <w:pPr>
              <w:spacing w:after="0"/>
              <w:rPr>
                <w:sz w:val="18"/>
                <w:szCs w:val="18"/>
                <w:color w:val="auto"/>
              </w:rPr>
            </w:pPr>
          </w:p>
        </w:tc>
      </w:tr>
      <w:tr>
        <w:trPr>
          <w:trHeight w:val="206"/>
        </w:trPr>
        <w:tc>
          <w:tcPr>
            <w:tcW w:w="5840" w:type="dxa"/>
            <w:vAlign w:val="bottom"/>
          </w:tcPr>
          <w:p>
            <w:pPr>
              <w:ind w:left="220"/>
              <w:spacing w:after="0"/>
              <w:rPr>
                <w:sz w:val="20"/>
                <w:szCs w:val="20"/>
                <w:color w:val="auto"/>
              </w:rPr>
            </w:pPr>
            <w:r>
              <w:rPr>
                <w:rFonts w:ascii="Arial" w:cs="Arial" w:eastAsia="Arial" w:hAnsi="Arial"/>
                <w:sz w:val="17"/>
                <w:szCs w:val="17"/>
                <w:color w:val="auto"/>
                <w:w w:val="97"/>
              </w:rPr>
              <w:t>Sale of common stock and warrants at $3.00 per share and placement agent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840" w:type="dxa"/>
            <w:vAlign w:val="bottom"/>
          </w:tcPr>
          <w:p>
            <w:pPr>
              <w:ind w:left="160"/>
              <w:spacing w:after="0"/>
              <w:rPr>
                <w:sz w:val="20"/>
                <w:szCs w:val="20"/>
                <w:color w:val="auto"/>
              </w:rPr>
            </w:pPr>
            <w:r>
              <w:rPr>
                <w:rFonts w:ascii="Arial" w:cs="Arial" w:eastAsia="Arial" w:hAnsi="Arial"/>
                <w:sz w:val="17"/>
                <w:szCs w:val="17"/>
                <w:color w:val="auto"/>
              </w:rPr>
              <w:t>warrants in private offering, net of issuance costs</w:t>
            </w:r>
          </w:p>
        </w:tc>
        <w:tc>
          <w:tcPr>
            <w:tcW w:w="900" w:type="dxa"/>
            <w:vAlign w:val="bottom"/>
          </w:tcPr>
          <w:p>
            <w:pPr>
              <w:jc w:val="right"/>
              <w:spacing w:after="0"/>
              <w:rPr>
                <w:sz w:val="20"/>
                <w:szCs w:val="20"/>
                <w:color w:val="auto"/>
              </w:rPr>
            </w:pPr>
            <w:r>
              <w:rPr>
                <w:rFonts w:ascii="Arial" w:cs="Arial" w:eastAsia="Arial" w:hAnsi="Arial"/>
                <w:sz w:val="17"/>
                <w:szCs w:val="17"/>
                <w:color w:val="auto"/>
              </w:rPr>
              <w:t>4,561,074</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12,140,330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12,140,786</w:t>
            </w:r>
          </w:p>
        </w:tc>
        <w:tc>
          <w:tcPr>
            <w:tcW w:w="100" w:type="dxa"/>
            <w:vAlign w:val="bottom"/>
          </w:tcPr>
          <w:p>
            <w:pPr>
              <w:spacing w:after="0"/>
              <w:rPr>
                <w:sz w:val="19"/>
                <w:szCs w:val="19"/>
                <w:color w:val="auto"/>
              </w:rPr>
            </w:pPr>
          </w:p>
        </w:tc>
      </w:tr>
      <w:tr>
        <w:trPr>
          <w:trHeight w:val="243"/>
        </w:trPr>
        <w:tc>
          <w:tcPr>
            <w:tcW w:w="5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Share-based compensation expense</w:t>
            </w: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100" w:type="dxa"/>
            <w:vAlign w:val="bottom"/>
            <w:shd w:val="clear" w:color="auto" w:fill="CCEEFF"/>
          </w:tcPr>
          <w:p>
            <w:pPr>
              <w:spacing w:after="0"/>
              <w:rPr>
                <w:sz w:val="21"/>
                <w:szCs w:val="21"/>
                <w:color w:val="auto"/>
              </w:rPr>
            </w:pPr>
          </w:p>
        </w:tc>
      </w:tr>
      <w:tr>
        <w:trPr>
          <w:trHeight w:val="215"/>
        </w:trPr>
        <w:tc>
          <w:tcPr>
            <w:tcW w:w="5840" w:type="dxa"/>
            <w:vAlign w:val="bottom"/>
          </w:tcPr>
          <w:p>
            <w:pPr>
              <w:ind w:left="220"/>
              <w:spacing w:after="0"/>
              <w:rPr>
                <w:sz w:val="20"/>
                <w:szCs w:val="20"/>
                <w:color w:val="auto"/>
              </w:rPr>
            </w:pPr>
            <w:r>
              <w:rPr>
                <w:rFonts w:ascii="Arial" w:cs="Arial" w:eastAsia="Arial" w:hAnsi="Arial"/>
                <w:sz w:val="17"/>
                <w:szCs w:val="17"/>
                <w:color w:val="auto"/>
              </w:rPr>
              <w:t>Net loss for the period</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(3,336,435)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(3,336,435)</w:t>
            </w:r>
          </w:p>
        </w:tc>
      </w:tr>
      <w:tr>
        <w:trPr>
          <w:trHeight w:val="27"/>
        </w:trPr>
        <w:tc>
          <w:tcPr>
            <w:tcW w:w="58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58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27,364,607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16,791,254</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(4,404,336)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12,389,654</w:t>
            </w:r>
          </w:p>
        </w:tc>
        <w:tc>
          <w:tcPr>
            <w:tcW w:w="100" w:type="dxa"/>
            <w:vAlign w:val="bottom"/>
            <w:shd w:val="clear" w:color="auto" w:fill="CCEEFF"/>
          </w:tcPr>
          <w:p>
            <w:pPr>
              <w:spacing w:after="0"/>
              <w:rPr>
                <w:sz w:val="20"/>
                <w:szCs w:val="20"/>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5" w:name="page36"/>
    <w:bookmarkEnd w:id="35"/>
    <w:p>
      <w:pPr>
        <w:ind w:left="4820"/>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882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(3,336,435)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(833,545)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Adjustments to reconcile net loss to net cash</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used in operating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7"/>
                <w:szCs w:val="17"/>
                <w:color w:val="auto"/>
              </w:rPr>
              <w:t>Changes in assets and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(27,075)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(131,192)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(63,982)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196,750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and accrued officer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7"/>
                <w:szCs w:val="17"/>
                <w:color w:val="auto"/>
              </w:rPr>
              <w:t>Accrued liabilities and 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(2,692,136)</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(833,709)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Capital expenditures for property and equipment</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(14,225)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(35,103)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patents and trademarks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(120,070)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(134,295)</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(35,103)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 of common stock and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13,683,222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Offering costs paid</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(1,542,436)</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(70,084)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notes payable</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(39,435)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12,101,351</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3,697,716</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9,274,920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2,828,904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3,083,976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255,072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Cash, end of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12,358,896</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3,083,976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Investing</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and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80"/>
              <w:spacing w:after="0"/>
              <w:rPr>
                <w:sz w:val="20"/>
                <w:szCs w:val="20"/>
                <w:color w:val="auto"/>
              </w:rPr>
            </w:pPr>
            <w:r>
              <w:rPr>
                <w:rFonts w:ascii="Arial" w:cs="Arial" w:eastAsia="Arial" w:hAnsi="Arial"/>
                <w:sz w:val="17"/>
                <w:szCs w:val="17"/>
                <w:color w:val="auto"/>
              </w:rPr>
              <w:t>Interest paid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1,304</w:t>
            </w:r>
          </w:p>
        </w:tc>
        <w:tc>
          <w:tcPr>
            <w:tcW w:w="2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Non-cash investing and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Prepaid insurance financed with note payable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39,435</w:t>
            </w:r>
          </w:p>
        </w:tc>
        <w:tc>
          <w:tcPr>
            <w:tcW w:w="2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costs relating to warrants issued to private offering selling agent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664,427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Organization and Business Description</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Wrap Technologies,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is a developer of security products designed for use by law enforcement and security personnel. The Company’s first product is the BolaWrap 100 remote restraint device.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resulted from the March 31, 2017 merger of Wrap Technologies, LLC (“</w:t>
      </w:r>
      <w:r>
        <w:rPr>
          <w:rFonts w:ascii="Arial" w:cs="Arial" w:eastAsia="Arial" w:hAnsi="Arial"/>
          <w:sz w:val="16"/>
          <w:szCs w:val="16"/>
          <w:i w:val="1"/>
          <w:iCs w:val="1"/>
          <w:color w:val="auto"/>
        </w:rPr>
        <w:t>Wrap LLC</w:t>
      </w:r>
      <w:r>
        <w:rPr>
          <w:rFonts w:ascii="Arial" w:cs="Arial" w:eastAsia="Arial" w:hAnsi="Arial"/>
          <w:sz w:val="16"/>
          <w:szCs w:val="16"/>
          <w:color w:val="auto"/>
        </w:rPr>
        <w:t>”) with and into its wholly-owned subsidiary MegaWest Energy Montana Corp. (“</w:t>
      </w:r>
      <w:r>
        <w:rPr>
          <w:rFonts w:ascii="Arial" w:cs="Arial" w:eastAsia="Arial" w:hAnsi="Arial"/>
          <w:sz w:val="16"/>
          <w:szCs w:val="16"/>
          <w:i w:val="1"/>
          <w:iCs w:val="1"/>
          <w:color w:val="auto"/>
        </w:rPr>
        <w:t>MegaWest</w:t>
      </w:r>
      <w:r>
        <w:rPr>
          <w:rFonts w:ascii="Arial" w:cs="Arial" w:eastAsia="Arial" w:hAnsi="Arial"/>
          <w:sz w:val="16"/>
          <w:szCs w:val="16"/>
          <w:color w:val="auto"/>
        </w:rPr>
        <w:t>”) (the “</w:t>
      </w:r>
      <w:r>
        <w:rPr>
          <w:rFonts w:ascii="Arial" w:cs="Arial" w:eastAsia="Arial" w:hAnsi="Arial"/>
          <w:sz w:val="16"/>
          <w:szCs w:val="16"/>
          <w:i w:val="1"/>
          <w:iCs w:val="1"/>
          <w:color w:val="auto"/>
        </w:rPr>
        <w:t>Merger</w:t>
      </w:r>
      <w:r>
        <w:rPr>
          <w:rFonts w:ascii="Arial" w:cs="Arial" w:eastAsia="Arial" w:hAnsi="Arial"/>
          <w:sz w:val="16"/>
          <w:szCs w:val="16"/>
          <w:color w:val="auto"/>
        </w:rPr>
        <w:t>”). Wrap LLC ceased separate existence, and MegaWest continued as the surviving entity. MegaWest then changed its name to Wrap Technologies, Inc., and an amended and restated certificate of incorporation changing the Company’s corporate name, authorizing 150,000,000 shares of common stock, par value $0.0001 per share, and authorizing 5,000,000 shares of preferred stock, par value $0.0001 per share, was filed with the Delaware Department of Corporations. All 835.75 membership units of Wrap LLC outstanding immediately prior to the Merger were exchanged, on a pro rata basis, for an aggregate of 20,000,000 shares of common stock of the Company in the Merger.</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 to the Merger, on March 22, 2017, Wrap LLC acquired privately held MegaWest from Petro River Oil Corp. (“</w:t>
      </w:r>
      <w:r>
        <w:rPr>
          <w:rFonts w:ascii="Arial" w:cs="Arial" w:eastAsia="Arial" w:hAnsi="Arial"/>
          <w:sz w:val="17"/>
          <w:szCs w:val="17"/>
          <w:i w:val="1"/>
          <w:iCs w:val="1"/>
          <w:color w:val="auto"/>
        </w:rPr>
        <w:t>Petro River</w:t>
      </w:r>
      <w:r>
        <w:rPr>
          <w:rFonts w:ascii="Arial" w:cs="Arial" w:eastAsia="Arial" w:hAnsi="Arial"/>
          <w:sz w:val="17"/>
          <w:szCs w:val="17"/>
          <w:color w:val="auto"/>
        </w:rPr>
        <w:t>”) through the issuance of 16.75 membership units, representing a 2% ownership interest in Wrap LLC. At that time, Petro River was owned 11% by Scot Cohen, Executive Chairman and a Manager of Petro River, a 26% owner of Wrap LLC, and a director and officer of the Company. MegaWest had no assets or liabilities at the date of acquisition and was not considered an operating business.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Wrap LLC’s acquisition of MegaWest and its subsequent merger with and into the MegaWest wholly-owned subsidiary and exchange of member units for common stock was accounted for as a reverse recapitalization of Wrap LLC. Wrap LLC, now the Company, was deemed the accounting acquirer with MegaWest the accounting acquiree. The Company’s financial statements are in substance those of Wrap LLC, and are deemed to be a continuation of Wrap LLC’s business from its inception date of March 2, 2016. The balance sheet of the Company continues at historical cost, as the accounting acquiree had no assets or liabilities and no goodwill or intangible assets were recorded as part of the recapitalization of the Company.</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To reflect the recapitalization, historical common shares and additional paid-in capital have been retroactively adjusted using the exchange ratio of approximately 23,930.60 shares for each membership unit of Wrap LLC.</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Use of Estimates</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GAAP</w:t>
      </w:r>
      <w:r>
        <w:rPr>
          <w:rFonts w:ascii="Arial" w:cs="Arial" w:eastAsia="Arial" w:hAnsi="Arial"/>
          <w:sz w:val="17"/>
          <w:szCs w:val="17"/>
          <w:color w:val="auto"/>
        </w:rPr>
        <w:t>”). The preparation of financial statements in conformity with accounting principles generally accepted in the United States of America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(e.g., recognition and measurement of contingencies and accrued costs)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and Private Offerings</w:t>
      </w:r>
    </w:p>
    <w:p>
      <w:pPr>
        <w:spacing w:after="0" w:line="234" w:lineRule="exact"/>
        <w:rPr>
          <w:sz w:val="20"/>
          <w:szCs w:val="20"/>
          <w:color w:val="auto"/>
        </w:rPr>
      </w:pPr>
    </w:p>
    <w:p>
      <w:pPr>
        <w:jc w:val="both"/>
        <w:spacing w:after="0" w:line="367" w:lineRule="auto"/>
        <w:rPr>
          <w:sz w:val="20"/>
          <w:szCs w:val="20"/>
          <w:color w:val="auto"/>
        </w:rPr>
      </w:pPr>
      <w:r>
        <w:rPr>
          <w:rFonts w:ascii="Arial" w:cs="Arial" w:eastAsia="Arial" w:hAnsi="Arial"/>
          <w:sz w:val="15"/>
          <w:szCs w:val="15"/>
          <w:color w:val="auto"/>
        </w:rPr>
        <w:t>In December 2017, the Company completed a self-underwritten public offering raising gross proceeds of approximately $3.49 million from the sale of 2,328,533 shares of common stock at $1.50 per share. Three officers of the Company purchased an aggregate of 40,000 shares of the offering for an aggregate of $60,000.</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2018, the Company obtained gross cash proceeds of $13.68 million and net cash proceeds of approximately $12.14 million from the sale of 4,561,074 units (“</w:t>
      </w:r>
      <w:r>
        <w:rPr>
          <w:rFonts w:ascii="Arial" w:cs="Arial" w:eastAsia="Arial" w:hAnsi="Arial"/>
          <w:sz w:val="17"/>
          <w:szCs w:val="17"/>
          <w:i w:val="1"/>
          <w:iCs w:val="1"/>
          <w:color w:val="auto"/>
        </w:rPr>
        <w:t>Units</w:t>
      </w:r>
      <w:r>
        <w:rPr>
          <w:rFonts w:ascii="Arial" w:cs="Arial" w:eastAsia="Arial" w:hAnsi="Arial"/>
          <w:sz w:val="17"/>
          <w:szCs w:val="17"/>
          <w:color w:val="auto"/>
        </w:rPr>
        <w:t>”) for $3.00 per Unit in a private offering. Each Unit consisted of one share of common stock and one detachable two-year warrant to purchase one share of common stock at an exercise price of $5.00 per share.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Based Compensation</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follows the fair value recognition provisions issued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in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has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stock-based transactions with non-employees. Stock based compensation expense recognized during the year ended December 31, 2018 includes compensation expense for all stock-based payments based on a grant date fair value using the Black-Scholes valuation model. The grant date is the date at which an employer and employee or non-employee reach a mutual understanding of the key terms and conditions of a stock-based payment award.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per Share</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warrants exercisable into a total of 7,084,681 shares of common stock were outstanding at December 31, 2018. These securities are not included in the computation of diluted net loss per common share for the periods presented as their inclusion would be antidilutive due to losses incurred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cash, accounts payable and accrued liabilities approximate fair values due to the short nature of these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Concentrations of Credit Risk</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Due to the relative short nature of such instrument, the carrying amount approximates fair value. The Company places its cash in a demand deposit account at one bank and such balances may at times be in excess of amounts insured by federal agencies, which is $250,000 as of December 31, 2018. The Company does not believe that it is subject to any unusual financial risk beyond the normal risk associated with commercial banking relationships. The Company performs periodic evaluations of the relative credit standing of these financial institutions. The Company has not experienced any significant losses on its cash.</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 and Allowance for Doubtful Accounts</w:t>
      </w:r>
    </w:p>
    <w:p>
      <w:pPr>
        <w:spacing w:after="0" w:line="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policy is to evaluate the collectability of accounts receivable based on an assessment of the collectability of specific customer accounts and then record an allowance for doubtful accounts to reduce the receivables to an amount that management reasonably estimates will be collected. The following factors are considered when determining if collection of a receivable is reasonably assured: customer credit-worthiness, past transaction history with the customer, current economic industry trends and changes in customer payment terms. There was no allowance for doubtful accounts recorded at December 31, 2018. Accounts that are deemed uncollectible will be written off against the allowance for doubtful accounts after all reasonable collection efforts have been exhausted. If a major customer’s creditworthiness deteriorates, or actual defaults exceed our historical experience, such estimates could change and impact our future reported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Inventories are valued at the lower of cost or net realizable value. The cost of substantially all of the Company’s inventory is determined by the weighted average cost method. Inventory is comprised of raw materials, assemblies and finished products intended for sale to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evaluates the need for reserves for excess and obsolete inventories determined primarily based upon estimates of future demand for the Company’s products. At December 31, 2018 the Company had no reserve for obsolescence.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Equipment and Depreciation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is stated at cost. Depreciation on property and equipment is computed over the estimated useful lives of three years using the straight-line method. The Company intends, on any retirement or disposition of property and equipment, that the related cost and accumulated depreciation or amortization will be removed and a gain or loss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ind w:left="820" w:hanging="813"/>
        <w:spacing w:after="0"/>
        <w:tabs>
          <w:tab w:leader="none" w:pos="8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Intangible assets consisted of capitalized legal fees and filing costs related to obtaining patents and trademarks. Intangible assets are carried at cost, less accumulated amortization. Amortization for patents is computed on a straight-line basis over the estimated remaining lives of issued patents, which is 20 years from the initial filing. Trademarks are amortized on a straight-line basis over ten years, the estimated useful life of the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The Company did not recognize any impairment loss during the periods ended December 31, 2017 and 2018.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Classification and Valuation of Warrants</w:t>
      </w:r>
    </w:p>
    <w:p>
      <w:pPr>
        <w:spacing w:after="0" w:line="26"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 Company accounts for warrants as either equity or liabilities based upon the characteristics and provisions of each particular instrument. Warrants valued and classified as equity are recorded as additional paid-in capital based on the issue date fair value and no further adjustment to valuation is made. As of December 31, 2018, the Company had no warrants or other derivative financial instruments that require separate accounting as liabilities and periodic revaluation.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 Costs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expenses advertising costs in the period in which they are incurred. The Company incurred advertising costs of $27,218 and $11,812 for the years ended December 31, 2018 and 2017, respectively. The Company incurred product promotion costs for demonstration products delivered to prospective customers of $192,484 for the year ended December 31, 2018. Advertising and promotion costs are included in selling, general and administrative expenses in the accompanying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Research and development costs consist primarily of contract development costs and experimental work materials and certain startup patent costs. Research and development costs with no alternative use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Leases entered into are classified as either capital or operating leases. At the time a capital lease is entered into, an asset is recorded, together with its related long-term obligation to reflect the purchase and financing. At December 31, 2018 and 2017, the Company had no capital lease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w:t>
      </w:r>
      <w:r>
        <w:rPr>
          <w:rFonts w:ascii="Arial" w:cs="Arial" w:eastAsia="Arial" w:hAnsi="Arial"/>
          <w:sz w:val="17"/>
          <w:szCs w:val="17"/>
          <w:i w:val="1"/>
          <w:iCs w:val="1"/>
          <w:color w:val="auto"/>
        </w:rPr>
        <w:t>ASU 2014-09</w:t>
      </w:r>
      <w:r>
        <w:rPr>
          <w:rFonts w:ascii="Arial" w:cs="Arial" w:eastAsia="Arial" w:hAnsi="Arial"/>
          <w:sz w:val="17"/>
          <w:szCs w:val="17"/>
          <w:color w:val="auto"/>
        </w:rPr>
        <w:t>”) and ASC Subtopic 340-40, Other Assets and Deferred Costs - Contracts with Customers (“</w:t>
      </w:r>
      <w:r>
        <w:rPr>
          <w:rFonts w:ascii="Arial" w:cs="Arial" w:eastAsia="Arial" w:hAnsi="Arial"/>
          <w:sz w:val="17"/>
          <w:szCs w:val="17"/>
          <w:i w:val="1"/>
          <w:iCs w:val="1"/>
          <w:color w:val="auto"/>
        </w:rPr>
        <w:t>ASC 340-40</w:t>
      </w:r>
      <w:r>
        <w:rPr>
          <w:rFonts w:ascii="Arial" w:cs="Arial" w:eastAsia="Arial" w:hAnsi="Arial"/>
          <w:sz w:val="17"/>
          <w:szCs w:val="17"/>
          <w:color w:val="auto"/>
        </w:rPr>
        <w:t>”), (collectively, “</w:t>
      </w:r>
      <w:r>
        <w:rPr>
          <w:rFonts w:ascii="Arial" w:cs="Arial" w:eastAsia="Arial" w:hAnsi="Arial"/>
          <w:sz w:val="17"/>
          <w:szCs w:val="17"/>
          <w:i w:val="1"/>
          <w:iCs w:val="1"/>
          <w:color w:val="auto"/>
        </w:rPr>
        <w:t>Topic 606</w:t>
      </w:r>
      <w:r>
        <w:rPr>
          <w:rFonts w:ascii="Arial" w:cs="Arial" w:eastAsia="Arial" w:hAnsi="Arial"/>
          <w:sz w:val="17"/>
          <w:szCs w:val="17"/>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26"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Shipping and handling costs are included in cost of revenues. Shipping and handling costs invoiced to customers are included in revenue. Actual shipping and handling costs were $1,570 for the year ended December 31, 2018. Actual revenues from shipping and handling were $670 for the year ended December 31, 2018.</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 Reserves</w:t>
      </w:r>
    </w:p>
    <w:p>
      <w:pPr>
        <w:spacing w:after="0" w:line="26"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$428 at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Segment Information</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has one operating segment with one business activity, providing restraint solutions. The Company’s chief operating decision maker is its Chief Executive Officer, who manages operations on a consolidated basis for purposes of allocating resources.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Instead, its losses were included in the income tax returns of the member partners. Accordingly, no provision or liability for federal or state income taxes has been included in these financial statements for the period prior to March 31, 2017 and no income tax expense was recorded for period ended December 31, 2018 due to losses incurred.</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Deferred tax assets and liabilities are determined based on temporary differences between the bases of certain assets and liabilities for income tax and financial reporting purposes.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Events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has evaluated events subsequent to December 31, 2018 through the date the accompanying financial statements were filed with the Securities and Exchange Commission and noted that there have been no events or transactions which would affect the Company’s financial statements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Issued Accounting Guidance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Derivatives and Hedging (Topic 815). The amendments in Part I of this ASU change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The amendments in Part I of this ASU are effective for the Company as of January 1, 2019 with early adoption permitted. The amendments in Part II of this ASU replace the indefinite deferral of certain guidance in Topic 480 with a scope exception. The amendments in Part</w:t>
      </w:r>
    </w:p>
    <w:p>
      <w:pPr>
        <w:spacing w:after="0" w:line="3" w:lineRule="exact"/>
        <w:rPr>
          <w:sz w:val="20"/>
          <w:szCs w:val="20"/>
          <w:color w:val="auto"/>
        </w:rPr>
      </w:pPr>
    </w:p>
    <w:p>
      <w:pPr>
        <w:ind w:firstLine="7"/>
        <w:spacing w:after="0" w:line="287" w:lineRule="auto"/>
        <w:tabs>
          <w:tab w:leader="none" w:pos="1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of this ASU do not require any transition guidance. The </w:t>
      </w:r>
      <w:r>
        <w:rPr>
          <w:rFonts w:ascii="Arial" w:cs="Arial" w:eastAsia="Arial" w:hAnsi="Arial"/>
          <w:sz w:val="17"/>
          <w:szCs w:val="17"/>
          <w:color w:val="2E2E2E"/>
        </w:rPr>
        <w:t>adoption of this ASU did not have any impact on the Company’s historical financial statements and the</w:t>
      </w:r>
      <w:r>
        <w:rPr>
          <w:rFonts w:ascii="Arial" w:cs="Arial" w:eastAsia="Arial" w:hAnsi="Arial"/>
          <w:sz w:val="17"/>
          <w:szCs w:val="17"/>
          <w:color w:val="auto"/>
        </w:rPr>
        <w:t xml:space="preserve"> </w:t>
      </w:r>
      <w:r>
        <w:rPr>
          <w:rFonts w:ascii="Arial" w:cs="Arial" w:eastAsia="Arial" w:hAnsi="Arial"/>
          <w:sz w:val="17"/>
          <w:szCs w:val="17"/>
          <w:color w:val="2E2E2E"/>
        </w:rPr>
        <w:t>Company was permitted and adopted retrospectively to January 1, 2018 the standard for any equity securities with down round features.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ind w:left="820" w:hanging="813"/>
        <w:spacing w:after="0"/>
        <w:tabs>
          <w:tab w:leader="none" w:pos="8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As discussed above under “Revenue Recognition”, the Company adopted Topic 606 on January 1, 2018.</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ASU 2016-02, Leases (Topic 842), which is intended to increase transparency and comparability among organizations by requiring the recognition of right-of-use (“</w:t>
      </w:r>
      <w:r>
        <w:rPr>
          <w:rFonts w:ascii="Arial" w:cs="Arial" w:eastAsia="Arial" w:hAnsi="Arial"/>
          <w:sz w:val="17"/>
          <w:szCs w:val="17"/>
          <w:i w:val="1"/>
          <w:iCs w:val="1"/>
          <w:color w:val="auto"/>
        </w:rPr>
        <w:t>ROU</w:t>
      </w:r>
      <w:r>
        <w:rPr>
          <w:rFonts w:ascii="Arial" w:cs="Arial" w:eastAsia="Arial" w:hAnsi="Arial"/>
          <w:sz w:val="17"/>
          <w:szCs w:val="17"/>
          <w:color w:val="auto"/>
        </w:rPr>
        <w:t>”) assets and lease liabilities on the balance sheet. In July 2018, the FASB issued additional guidance which provided an additional transition method for adopting the updated guidance. Under the additional transition method, entities may elect to recognize a cumulative-effect adjustment to the opening balance of retained earnings in the year of adoption. We currently plan to adopt this standard using this modified retrospective approach.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 the first quarter of 2019:</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ASU 2016-02, Leases (Topic 842), which is intended to increase transparency and comparability among organizations by requiring the recognition of right-of-use (“ROU”) assets and lease liabilities on the balance sheet. In July 2018, the FASB issued additional guidance which provided an additional transition method for adopting the updated guidance. Under the additional transition method, entities may elect to recognize a cumulative-effect adjustment to the opening balance of retained earnings in the year of adoption. We currently plan to adopt this standard using this modified retrospective approach.</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prominent among the changes in the standard is the requirement for lessees to recognize ROU assets and lease liabilities for those leases classified as operating leases under current U.S. GAAP. The standard requires additional disclosures to enable users of financial statements to assess the amount, timing, and certainty of cash flows arising from leases. We intend to elect certain of the available practical expedients upon adoption. We have evaluated our existing lease portfolio and believe that our population of leases is low in number. We have implemented key processes and controls to enable the accurate assessment of leases and preparation of related financial information.</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expect adoption of the standard will result in the recognition of an ROU asset and lease liability of approximately $12,900 for one operating lease as of January 1, 2019, with no impact to retained earnings. We had no capital leases at December 31, 2018.</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 the first quarter of 2020:</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the FASB issued ASU No. 2018-13, Fair Value Measurement (“</w:t>
      </w:r>
      <w:r>
        <w:rPr>
          <w:rFonts w:ascii="Arial" w:cs="Arial" w:eastAsia="Arial" w:hAnsi="Arial"/>
          <w:sz w:val="17"/>
          <w:szCs w:val="17"/>
          <w:i w:val="1"/>
          <w:iCs w:val="1"/>
          <w:color w:val="auto"/>
        </w:rPr>
        <w:t>Topic 820</w:t>
      </w:r>
      <w:r>
        <w:rPr>
          <w:rFonts w:ascii="Arial" w:cs="Arial" w:eastAsia="Arial" w:hAnsi="Arial"/>
          <w:sz w:val="17"/>
          <w:szCs w:val="17"/>
          <w:color w:val="auto"/>
        </w:rPr>
        <w:t>”): Disclosure Framework - Changes to the Disclosure Requirements for Fair Value Measurement. The ASU modifies the disclosure requirements in Topic 820, Fair Value Measurement, to improve the effectiveness of fair value measurement disclosures by removing or modifying certain disclosure requirements and adding other requirements. This ASU is effective for public companies for annual reporting periods and interim periods within those annual periods beginning after December 15, 2019. The Company is currently evaluating the effect, if any, that ASU 2018-13 will have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pronouncements: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ind w:left="820" w:hanging="813"/>
        <w:spacing w:after="0"/>
        <w:tabs>
          <w:tab w:leader="none" w:pos="8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PRODUCT COSTS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no historical revenue prior to the year ended December 31, 2018, and accordingly all revenue has been reported in accordance with Topic 606, which the Company adopted on January 1, 2018. There were no adjustments to prior period amounts nor changes to stockholders’ equity (accumulated deficit) required upon adoption.</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enters into contracts that include various combinations of products, accessories and services, such as training, each of which are generally distinct and are accounted for as separate performance obligations.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internally approved pricing guidelines related to the performance obligations.</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Performance obligations to deliver products and accessories are generally satisfied at the point in time the Company ships the product, as this is when the customer obtains control of the asset under our standard terms and conditions. The Company has elected to recognize shipping costs as an expense in cost of revenues when control has transferred to the customer. The revenues and costs of training are recognized when the training is completed, generally following delivery of related products.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December 31, 2018 the Company had no contract assets and no deferred revenue related to products or training for product delivered during the year.</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December 31, 2018. The Company will apply the practical expedient to expense any sales commissions related to performance obligations with an amortization of one year or less when incurred within selling, general and administrative expenses.</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Estimated costs for the Company’s standard one-year warranty are charged to cost of products sold when revenue is recorded for the related product. Royalties are also charged to cost of products sold.</w:t>
      </w:r>
    </w:p>
    <w:p>
      <w:pPr>
        <w:spacing w:after="0" w:line="185" w:lineRule="exact"/>
        <w:rPr>
          <w:sz w:val="20"/>
          <w:szCs w:val="20"/>
          <w:color w:val="auto"/>
        </w:rPr>
      </w:pPr>
    </w:p>
    <w:p>
      <w:pPr>
        <w:ind w:left="820" w:hanging="813"/>
        <w:spacing w:after="0"/>
        <w:tabs>
          <w:tab w:leader="none" w:pos="8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NET</w:t>
      </w:r>
    </w:p>
    <w:p>
      <w:pPr>
        <w:spacing w:after="0" w:line="267"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Inventory is recorded at the lower of cost or net realizable value. The cost of substantially all the Company’s inventory is determined by the weighted average cost method. Inventories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82,313</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Work in process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12,695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5,484</w:t>
            </w: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63,259</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158,267</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131,192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12,730</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Tooling</w:t>
            </w:r>
          </w:p>
        </w:tc>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22,683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18,165</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Furniture and fixtures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9,595</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9,595</w:t>
            </w:r>
          </w:p>
        </w:tc>
        <w:tc>
          <w:tcPr>
            <w:tcW w:w="1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44,641</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Accumulated depreciation</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(28,493)</w:t>
            </w:r>
          </w:p>
        </w:tc>
        <w:tc>
          <w:tcPr>
            <w:tcW w:w="3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(7,973)</w:t>
            </w:r>
          </w:p>
        </w:tc>
      </w:tr>
      <w:tr>
        <w:trPr>
          <w:trHeight w:val="255"/>
        </w:trPr>
        <w:tc>
          <w:tcPr>
            <w:tcW w:w="20" w:type="dxa"/>
            <w:vAlign w:val="bottom"/>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30,373</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36,668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21"/>
        </w:trPr>
        <w:tc>
          <w:tcPr>
            <w:tcW w:w="8820" w:type="dxa"/>
            <w:vAlign w:val="bottom"/>
            <w:gridSpan w:val="3"/>
          </w:tcPr>
          <w:p>
            <w:pPr>
              <w:spacing w:after="0"/>
              <w:rPr>
                <w:sz w:val="20"/>
                <w:szCs w:val="20"/>
                <w:color w:val="auto"/>
              </w:rPr>
            </w:pPr>
            <w:r>
              <w:rPr>
                <w:rFonts w:ascii="Arial" w:cs="Arial" w:eastAsia="Arial" w:hAnsi="Arial"/>
                <w:sz w:val="17"/>
                <w:szCs w:val="17"/>
                <w:color w:val="auto"/>
              </w:rPr>
              <w:t>Depreciation expense was $20,520 and $6,661 for the years ended December 31, 2018 and 2017, respectively.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0"/>
        </w:trPr>
        <w:tc>
          <w:tcPr>
            <w:tcW w:w="68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8140" w:type="dxa"/>
            <w:vAlign w:val="bottom"/>
          </w:tcPr>
          <w:p>
            <w:pPr>
              <w:ind w:left="140"/>
              <w:spacing w:after="0"/>
              <w:rPr>
                <w:sz w:val="20"/>
                <w:szCs w:val="20"/>
                <w:color w:val="auto"/>
              </w:rPr>
            </w:pPr>
            <w:r>
              <w:rPr>
                <w:rFonts w:ascii="Arial" w:cs="Arial" w:eastAsia="Arial" w:hAnsi="Arial"/>
                <w:sz w:val="17"/>
                <w:szCs w:val="17"/>
                <w:b w:val="1"/>
                <w:bCs w:val="1"/>
                <w:color w:val="auto"/>
              </w:rPr>
              <w:t>INTANGIBLE ASSETS, NET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Intangible assets at December 31, 2018 consisted of patent and trademark costs of $120,070. Upon the Company’s first patent approval in July 2018, the Company commenced capitalizing patent and trademark costs, which consist of legal and filing fees related to the prosecution of patent filings. When a patent or trademark is issued the cost is amortized using the straight-line method over the estimated remaining lives. An impairment charge is recognized if the carrying amount is not recoverable and the carrying amount exceeds the fair value of the intangible assets as determined by projected discounted net future cash flows. Amortization expense was $1,355 for the year ended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8220" w:type="dxa"/>
            <w:vAlign w:val="bottom"/>
          </w:tcPr>
          <w:p>
            <w:pPr>
              <w:ind w:left="220"/>
              <w:spacing w:after="0"/>
              <w:rPr>
                <w:sz w:val="20"/>
                <w:szCs w:val="20"/>
                <w:color w:val="auto"/>
              </w:rPr>
            </w:pPr>
            <w:r>
              <w:rPr>
                <w:rFonts w:ascii="Arial" w:cs="Arial" w:eastAsia="Arial" w:hAnsi="Arial"/>
                <w:sz w:val="17"/>
                <w:szCs w:val="17"/>
                <w:b w:val="1"/>
                <w:bCs w:val="1"/>
                <w:color w:val="auto"/>
              </w:rPr>
              <w:t>CURRENT LIABILITIES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820" w:type="dxa"/>
            <w:vAlign w:val="bottom"/>
            <w:gridSpan w:val="3"/>
          </w:tcPr>
          <w:p>
            <w:pPr>
              <w:spacing w:after="0"/>
              <w:rPr>
                <w:sz w:val="20"/>
                <w:szCs w:val="20"/>
                <w:color w:val="auto"/>
              </w:rPr>
            </w:pPr>
            <w:r>
              <w:rPr>
                <w:rFonts w:ascii="Arial" w:cs="Arial" w:eastAsia="Arial" w:hAnsi="Arial"/>
                <w:sz w:val="17"/>
                <w:szCs w:val="17"/>
                <w:color w:val="auto"/>
              </w:rPr>
              <w:t>Accounts payable includes $871 due to related party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See note 9.</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820" w:type="dxa"/>
            <w:vAlign w:val="bottom"/>
            <w:gridSpan w:val="3"/>
          </w:tcPr>
          <w:p>
            <w:pPr>
              <w:spacing w:after="0"/>
              <w:rPr>
                <w:sz w:val="20"/>
                <w:szCs w:val="20"/>
                <w:color w:val="auto"/>
              </w:rPr>
            </w:pPr>
            <w:r>
              <w:rPr>
                <w:rFonts w:ascii="Arial" w:cs="Arial" w:eastAsia="Arial" w:hAnsi="Arial"/>
                <w:sz w:val="17"/>
                <w:szCs w:val="17"/>
                <w:color w:val="auto"/>
              </w:rPr>
              <w:t>Accrued liabilities consist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 costs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11,600</w:t>
            </w:r>
          </w:p>
        </w:tc>
        <w:tc>
          <w:tcPr>
            <w:tcW w:w="64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Accrued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55,493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Warranty costs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Other</w:t>
            </w:r>
          </w:p>
        </w:tc>
        <w:tc>
          <w:tcPr>
            <w:tcW w:w="8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68,453</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60,314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367" w:lineRule="auto"/>
        <w:rPr>
          <w:sz w:val="20"/>
          <w:szCs w:val="20"/>
          <w:color w:val="auto"/>
        </w:rPr>
      </w:pPr>
      <w:r>
        <w:rPr>
          <w:rFonts w:ascii="Arial" w:cs="Arial" w:eastAsia="Arial" w:hAnsi="Arial"/>
          <w:sz w:val="15"/>
          <w:szCs w:val="15"/>
          <w:color w:val="auto"/>
        </w:rPr>
        <w:t>In January 2018, the Company financed $39,435 of insurance obligations pursuant to a short-term note agreement, which note accrued interest at a rate of 7.15% per annum, and which was payable in ten monthly principal and interest payments of $4,074 due through November 2018. The note was paid in November 2018.</w:t>
      </w:r>
    </w:p>
    <w:p>
      <w:pPr>
        <w:spacing w:after="0" w:line="111" w:lineRule="exact"/>
        <w:rPr>
          <w:sz w:val="20"/>
          <w:szCs w:val="20"/>
          <w:color w:val="auto"/>
        </w:rPr>
      </w:pPr>
    </w:p>
    <w:p>
      <w:pPr>
        <w:ind w:left="820" w:hanging="813"/>
        <w:spacing w:after="0"/>
        <w:tabs>
          <w:tab w:leader="none" w:pos="8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DEFERRED AND ACCRUED COMPENSATION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From March 2016 through February 2017, the Company accrued monthly compensation for the services of two officers in the aggregate amount of $7,000 per month payable to Syzygy. In March 2017, the Company accrued and deferred $6,000 of compensation to each of the two officers. The balance payable to Syzygy as of December 31, 2018 was $84,000 and the accrued deferred compensation aggregated $12,000. These balances accrue without interest. No payment terms or schedule has been established.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383" w:lineRule="exact"/>
        <w:rPr>
          <w:sz w:val="20"/>
          <w:szCs w:val="20"/>
          <w:color w:val="auto"/>
        </w:rPr>
      </w:pPr>
    </w:p>
    <w:p>
      <w:pPr>
        <w:ind w:left="820" w:hanging="813"/>
        <w:spacing w:after="0"/>
        <w:tabs>
          <w:tab w:leader="none" w:pos="8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AND SHARE-BASED COMPENSATION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consists of 150,000,000 shares of common stock, par value $0.0001, and 5,000,000 shares of preferred stock, par value $0.0001. To reflect the recapitalization (see Note 1) historical shares of common stock and additional paid-in capital have been retroactively adjusted using the exchange ratio of approximately 23,930.60 shares of common stock for each member unit of Wrap LLC.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Offering</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2017, the Company completed a self-underwritten public offering raising gross proceeds of $3,492,800 from the sale of 2,328,533 shares of common stock at $1.50 per share. Net cash proceeds to the Company were $3,422,716 after deduction of $70,084 of offering costs. Three officers of the Company purchased an aggregate of 40,000 shares of the offering for an aggregate of $60,000.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Offering</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30, 2018 the Company consummated a private offering, pursuant to which it sold 4,561,074 units (“</w:t>
      </w:r>
      <w:r>
        <w:rPr>
          <w:rFonts w:ascii="Arial" w:cs="Arial" w:eastAsia="Arial" w:hAnsi="Arial"/>
          <w:sz w:val="17"/>
          <w:szCs w:val="17"/>
          <w:i w:val="1"/>
          <w:iCs w:val="1"/>
          <w:color w:val="auto"/>
        </w:rPr>
        <w:t>Units</w:t>
      </w:r>
      <w:r>
        <w:rPr>
          <w:rFonts w:ascii="Arial" w:cs="Arial" w:eastAsia="Arial" w:hAnsi="Arial"/>
          <w:sz w:val="17"/>
          <w:szCs w:val="17"/>
          <w:color w:val="auto"/>
        </w:rPr>
        <w:t>”) to certain accredited investors for $3.00 per Unit. Each Unit consisted of one share of common stock and one detachable two-year warrant to purchase one share of common stock at an exercise price of $5.00 per share. The offering resulted in the Company’s receipt of gross cash proceeds of $13,683,222 and net cash proceeds of $12,140,786 after deduction of commissions and offering costs. One officer, Elwood G. Norris, purchased 333,334 of the Units for cash of $1,000,000 on the same terms as those applicable to all other investors.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the offering, the Company also issued placement agent warrants exercisable for 456,107 shares of common stock for two years at an exercise price of $3.00 per share. The estimated fair value of these warrants was $664,427, as determined using the Black-Scholes methodology (assuming estimated volatility of 49%, risk-free interest rate of 2.84%, and expected dividend yield of 0.0%). This amount was recorded as both an increase to additional paid in capital and as a non-cash issuance cost of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with the Merger, on March 31, 2017, the Company adopted and the shareholders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Company common stock for issuance as stock options, shares of common stock, restricted stock awards and restricted stock units to employees, directors or consultants. The Company generally recognizes stock compensation expense on the grant date and over the period of vesting or period that services will be provided.</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October 2018 the Company granted a consultant options outside of the Plan exercisable for 100,000 shares of common stock at an exercise price of $3.00 per share with 50% vesting ratably over 18 months and the balance vesting based on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the year ended December 31, 2018:</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7"/>
                <w:szCs w:val="17"/>
                <w:b w:val="1"/>
                <w:bCs w:val="1"/>
                <w:color w:val="auto"/>
              </w:rPr>
              <w:t>Weighted Average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Options 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4"/>
              </w:rPr>
              <w:t>Remaining</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Aggregate</w:t>
            </w:r>
          </w:p>
        </w:tc>
      </w:tr>
      <w:tr>
        <w:trPr>
          <w:trHeight w:val="242"/>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Common</w:t>
            </w:r>
          </w:p>
        </w:tc>
        <w:tc>
          <w:tcPr>
            <w:tcW w:w="160" w:type="dxa"/>
            <w:vAlign w:val="bottom"/>
          </w:tcPr>
          <w:p>
            <w:pPr>
              <w:spacing w:after="0"/>
              <w:rPr>
                <w:sz w:val="21"/>
                <w:szCs w:val="21"/>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b w:val="1"/>
                <w:bCs w:val="1"/>
                <w:color w:val="auto"/>
              </w:rPr>
              <w:t>Exercise</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5"/>
              </w:rPr>
              <w:t>Contractual</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Intrinsic</w:t>
            </w:r>
          </w:p>
        </w:tc>
      </w:tr>
      <w:tr>
        <w:trPr>
          <w:trHeight w:val="250"/>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Price</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Term</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2"/>
              </w:rPr>
              <w:t>Value</w:t>
            </w:r>
          </w:p>
        </w:tc>
        <w:tc>
          <w:tcPr>
            <w:tcW w:w="14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1, 2018</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Granted</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2,067,500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Forfeited, cancelled, expired</w:t>
            </w:r>
          </w:p>
        </w:tc>
        <w:tc>
          <w:tcPr>
            <w:tcW w:w="17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December 31, 2018</w:t>
            </w:r>
          </w:p>
        </w:tc>
        <w:tc>
          <w:tcPr>
            <w:tcW w:w="17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2,067,500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3,063,375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Vested and exercisable at December 31, 2018</w:t>
            </w:r>
          </w:p>
        </w:tc>
        <w:tc>
          <w:tcPr>
            <w:tcW w:w="17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225,000</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371,250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83"/>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ind w:left="1180"/>
              <w:spacing w:after="0"/>
              <w:rPr>
                <w:sz w:val="20"/>
                <w:szCs w:val="20"/>
                <w:color w:val="auto"/>
              </w:rPr>
            </w:pPr>
            <w:r>
              <w:rPr>
                <w:rFonts w:ascii="Arial" w:cs="Arial" w:eastAsia="Arial" w:hAnsi="Arial"/>
                <w:sz w:val="17"/>
                <w:szCs w:val="17"/>
                <w:color w:val="auto"/>
              </w:rPr>
              <w:t>F-15</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AND SHARE-BASED COMPENSATION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in its statements of operations as follows:</w:t>
      </w:r>
    </w:p>
    <w:p>
      <w:pPr>
        <w:spacing w:after="0" w:line="255" w:lineRule="exact"/>
        <w:rPr>
          <w:sz w:val="20"/>
          <w:szCs w:val="20"/>
          <w:color w:val="auto"/>
        </w:rPr>
      </w:pPr>
    </w:p>
    <w:p>
      <w:pPr>
        <w:jc w:val="center"/>
        <w:ind w:left="8680"/>
        <w:spacing w:after="0"/>
        <w:rPr>
          <w:sz w:val="20"/>
          <w:szCs w:val="20"/>
          <w:color w:val="auto"/>
        </w:rPr>
      </w:pPr>
      <w:r>
        <w:rPr>
          <w:rFonts w:ascii="Arial" w:cs="Arial" w:eastAsia="Arial" w:hAnsi="Arial"/>
          <w:sz w:val="17"/>
          <w:szCs w:val="17"/>
          <w:b w:val="1"/>
          <w:bCs w:val="1"/>
          <w:color w:val="auto"/>
        </w:rPr>
        <w:t>Year</w:t>
      </w:r>
    </w:p>
    <w:p>
      <w:pPr>
        <w:spacing w:after="0" w:line="46" w:lineRule="exact"/>
        <w:rPr>
          <w:sz w:val="20"/>
          <w:szCs w:val="20"/>
          <w:color w:val="auto"/>
        </w:rPr>
      </w:pPr>
    </w:p>
    <w:p>
      <w:pPr>
        <w:jc w:val="center"/>
        <w:ind w:left="8680"/>
        <w:spacing w:after="0"/>
        <w:rPr>
          <w:sz w:val="20"/>
          <w:szCs w:val="20"/>
          <w:color w:val="auto"/>
        </w:rPr>
      </w:pPr>
      <w:r>
        <w:rPr>
          <w:rFonts w:ascii="Arial" w:cs="Arial" w:eastAsia="Arial" w:hAnsi="Arial"/>
          <w:sz w:val="17"/>
          <w:szCs w:val="17"/>
          <w:b w:val="1"/>
          <w:bCs w:val="1"/>
          <w:color w:val="auto"/>
        </w:rPr>
        <w:t>Ended December 31,</w:t>
      </w:r>
    </w:p>
    <w:p>
      <w:pPr>
        <w:spacing w:after="0" w:line="46"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417,151</w:t>
            </w:r>
          </w:p>
        </w:tc>
        <w:tc>
          <w:tcPr>
            <w:tcW w:w="26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95,837</w:t>
            </w:r>
          </w:p>
        </w:tc>
        <w:tc>
          <w:tcPr>
            <w:tcW w:w="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stock-based expense</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of December 31, 2018, total estimated compensation cost of stock options granted but not yet vested was $970,576, which is expected to be recognized over the weighted average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Year</w:t>
            </w:r>
          </w:p>
        </w:tc>
        <w:tc>
          <w:tcPr>
            <w:tcW w:w="0" w:type="dxa"/>
            <w:vAlign w:val="bottom"/>
          </w:tcPr>
          <w:p>
            <w:pPr>
              <w:spacing w:after="0"/>
              <w:rPr>
                <w:sz w:val="1"/>
                <w:szCs w:val="1"/>
                <w:color w:val="auto"/>
              </w:rPr>
            </w:pPr>
          </w:p>
        </w:tc>
      </w:tr>
      <w:tr>
        <w:trPr>
          <w:trHeight w:val="242"/>
        </w:trPr>
        <w:tc>
          <w:tcPr>
            <w:tcW w:w="10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42"/>
        </w:trPr>
        <w:tc>
          <w:tcPr>
            <w:tcW w:w="10180" w:type="dxa"/>
            <w:vAlign w:val="bottom"/>
          </w:tcPr>
          <w:p>
            <w:pPr>
              <w:spacing w:after="0"/>
              <w:rPr>
                <w:sz w:val="21"/>
                <w:szCs w:val="21"/>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50"/>
        </w:trPr>
        <w:tc>
          <w:tcPr>
            <w:tcW w:w="10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Expected stock price volatility</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3"/>
              </w:rPr>
              <w:t>47% to 49%</w:t>
            </w:r>
          </w:p>
        </w:tc>
        <w:tc>
          <w:tcPr>
            <w:tcW w:w="0" w:type="dxa"/>
            <w:vAlign w:val="bottom"/>
          </w:tcPr>
          <w:p>
            <w:pPr>
              <w:spacing w:after="0"/>
              <w:rPr>
                <w:sz w:val="1"/>
                <w:szCs w:val="1"/>
                <w:color w:val="auto"/>
              </w:rPr>
            </w:pPr>
          </w:p>
        </w:tc>
      </w:tr>
      <w:tr>
        <w:trPr>
          <w:trHeight w:val="206"/>
        </w:trPr>
        <w:tc>
          <w:tcPr>
            <w:tcW w:w="10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2.67% to</w:t>
            </w:r>
          </w:p>
        </w:tc>
        <w:tc>
          <w:tcPr>
            <w:tcW w:w="0" w:type="dxa"/>
            <w:vAlign w:val="bottom"/>
          </w:tcPr>
          <w:p>
            <w:pPr>
              <w:spacing w:after="0"/>
              <w:rPr>
                <w:sz w:val="1"/>
                <w:szCs w:val="1"/>
                <w:color w:val="auto"/>
              </w:rPr>
            </w:pPr>
          </w:p>
        </w:tc>
      </w:tr>
      <w:tr>
        <w:trPr>
          <w:trHeight w:val="222"/>
        </w:trPr>
        <w:tc>
          <w:tcPr>
            <w:tcW w:w="101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tcPr>
          <w:p>
            <w:pPr>
              <w:spacing w:after="0"/>
              <w:rPr>
                <w:sz w:val="19"/>
                <w:szCs w:val="19"/>
                <w:color w:val="auto"/>
              </w:rPr>
            </w:pPr>
          </w:p>
        </w:tc>
        <w:tc>
          <w:tcPr>
            <w:tcW w:w="1000" w:type="dxa"/>
            <w:vAlign w:val="bottom"/>
          </w:tcPr>
          <w:p>
            <w:pPr>
              <w:jc w:val="right"/>
              <w:ind w:right="233"/>
              <w:spacing w:after="0"/>
              <w:rPr>
                <w:sz w:val="20"/>
                <w:szCs w:val="20"/>
                <w:color w:val="auto"/>
              </w:rPr>
            </w:pPr>
            <w:r>
              <w:rPr>
                <w:rFonts w:ascii="Arial" w:cs="Arial" w:eastAsia="Arial" w:hAnsi="Arial"/>
                <w:sz w:val="17"/>
                <w:szCs w:val="17"/>
                <w:color w:val="auto"/>
              </w:rPr>
              <w:t>2.99%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1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Forfeiture rate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10180" w:type="dxa"/>
            <w:vAlign w:val="bottom"/>
          </w:tcPr>
          <w:p>
            <w:pPr>
              <w:ind w:left="500"/>
              <w:spacing w:after="0"/>
              <w:rPr>
                <w:sz w:val="20"/>
                <w:szCs w:val="20"/>
                <w:color w:val="auto"/>
              </w:rPr>
            </w:pPr>
            <w:r>
              <w:rPr>
                <w:rFonts w:ascii="Arial" w:cs="Arial" w:eastAsia="Arial" w:hAnsi="Arial"/>
                <w:sz w:val="17"/>
                <w:szCs w:val="17"/>
                <w:color w:val="auto"/>
              </w:rPr>
              <w:t>Expected dividend yield</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101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Expected life of options - years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2.75 - 5.00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500"/>
              <w:spacing w:after="0"/>
              <w:rPr>
                <w:sz w:val="20"/>
                <w:szCs w:val="20"/>
                <w:color w:val="auto"/>
              </w:rPr>
            </w:pPr>
            <w:r>
              <w:rPr>
                <w:rFonts w:ascii="Arial" w:cs="Arial" w:eastAsia="Arial" w:hAnsi="Arial"/>
                <w:sz w:val="17"/>
                <w:szCs w:val="17"/>
                <w:color w:val="auto"/>
              </w:rPr>
              <w:t>Weighted-average fair value of options granted</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101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as it only recently commenced trading.</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 The Company has elected to use the contract life of the option for nonemployee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options outstanding at December 31, 2018:</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233"/>
              <w:spacing w:after="0"/>
              <w:rPr>
                <w:sz w:val="20"/>
                <w:szCs w:val="20"/>
                <w:color w:val="auto"/>
              </w:rPr>
            </w:pPr>
            <w:r>
              <w:rPr>
                <w:rFonts w:ascii="Arial" w:cs="Arial" w:eastAsia="Arial" w:hAnsi="Arial"/>
                <w:sz w:val="17"/>
                <w:szCs w:val="17"/>
                <w:b w:val="1"/>
                <w:bCs w:val="1"/>
                <w:color w:val="auto"/>
                <w:w w:val="91"/>
              </w:rPr>
              <w:t>Weighted</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2"/>
        </w:trPr>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center"/>
              <w:ind w:left="233"/>
              <w:spacing w:after="0"/>
              <w:rPr>
                <w:sz w:val="20"/>
                <w:szCs w:val="20"/>
                <w:color w:val="auto"/>
              </w:rPr>
            </w:pPr>
            <w:r>
              <w:rPr>
                <w:rFonts w:ascii="Arial" w:cs="Arial" w:eastAsia="Arial" w:hAnsi="Arial"/>
                <w:sz w:val="17"/>
                <w:szCs w:val="17"/>
                <w:b w:val="1"/>
                <w:bCs w:val="1"/>
                <w:color w:val="auto"/>
                <w:w w:val="92"/>
              </w:rPr>
              <w:t>Average</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Weighted</w:t>
            </w: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Weighted</w:t>
            </w:r>
          </w:p>
        </w:tc>
      </w:tr>
      <w:tr>
        <w:trPr>
          <w:trHeight w:val="242"/>
        </w:trPr>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center"/>
              <w:ind w:left="233"/>
              <w:spacing w:after="0"/>
              <w:rPr>
                <w:sz w:val="20"/>
                <w:szCs w:val="20"/>
                <w:color w:val="auto"/>
              </w:rPr>
            </w:pPr>
            <w:r>
              <w:rPr>
                <w:rFonts w:ascii="Arial" w:cs="Arial" w:eastAsia="Arial" w:hAnsi="Arial"/>
                <w:sz w:val="17"/>
                <w:szCs w:val="17"/>
                <w:b w:val="1"/>
                <w:bCs w:val="1"/>
                <w:color w:val="auto"/>
                <w:w w:val="94"/>
              </w:rPr>
              <w:t>Remaining</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center"/>
              <w:ind w:right="153"/>
              <w:spacing w:after="0"/>
              <w:rPr>
                <w:sz w:val="20"/>
                <w:szCs w:val="20"/>
                <w:color w:val="auto"/>
              </w:rPr>
            </w:pPr>
            <w:r>
              <w:rPr>
                <w:rFonts w:ascii="Arial" w:cs="Arial" w:eastAsia="Arial" w:hAnsi="Arial"/>
                <w:sz w:val="17"/>
                <w:szCs w:val="17"/>
                <w:b w:val="1"/>
                <w:bCs w:val="1"/>
                <w:color w:val="auto"/>
                <w:w w:val="89"/>
              </w:rPr>
              <w:t>Average</w:t>
            </w: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2"/>
              </w:rPr>
              <w:t>Average</w:t>
            </w:r>
          </w:p>
        </w:tc>
      </w:tr>
      <w:tr>
        <w:trPr>
          <w:trHeight w:val="242"/>
        </w:trPr>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53"/>
              <w:spacing w:after="0"/>
              <w:rPr>
                <w:sz w:val="20"/>
                <w:szCs w:val="20"/>
                <w:color w:val="auto"/>
              </w:rPr>
            </w:pPr>
            <w:r>
              <w:rPr>
                <w:rFonts w:ascii="Arial" w:cs="Arial" w:eastAsia="Arial" w:hAnsi="Arial"/>
                <w:sz w:val="17"/>
                <w:szCs w:val="17"/>
                <w:b w:val="1"/>
                <w:bCs w:val="1"/>
                <w:color w:val="auto"/>
              </w:rPr>
              <w:t>Range of</w:t>
            </w:r>
          </w:p>
        </w:tc>
        <w:tc>
          <w:tcPr>
            <w:tcW w:w="360" w:type="dxa"/>
            <w:vAlign w:val="bottom"/>
          </w:tcPr>
          <w:p>
            <w:pPr>
              <w:spacing w:after="0"/>
              <w:rPr>
                <w:sz w:val="21"/>
                <w:szCs w:val="21"/>
                <w:color w:val="auto"/>
              </w:rPr>
            </w:pPr>
          </w:p>
        </w:tc>
        <w:tc>
          <w:tcPr>
            <w:tcW w:w="1520" w:type="dxa"/>
            <w:vAlign w:val="bottom"/>
          </w:tcPr>
          <w:p>
            <w:pPr>
              <w:jc w:val="right"/>
              <w:ind w:right="353"/>
              <w:spacing w:after="0"/>
              <w:rPr>
                <w:sz w:val="20"/>
                <w:szCs w:val="20"/>
                <w:color w:val="auto"/>
              </w:rPr>
            </w:pPr>
            <w:r>
              <w:rPr>
                <w:rFonts w:ascii="Arial" w:cs="Arial" w:eastAsia="Arial" w:hAnsi="Arial"/>
                <w:sz w:val="17"/>
                <w:szCs w:val="17"/>
                <w:b w:val="1"/>
                <w:bCs w:val="1"/>
                <w:color w:val="auto"/>
              </w:rPr>
              <w:t>Number</w:t>
            </w:r>
          </w:p>
        </w:tc>
        <w:tc>
          <w:tcPr>
            <w:tcW w:w="380" w:type="dxa"/>
            <w:vAlign w:val="bottom"/>
          </w:tcPr>
          <w:p>
            <w:pPr>
              <w:spacing w:after="0"/>
              <w:rPr>
                <w:sz w:val="21"/>
                <w:szCs w:val="21"/>
                <w:color w:val="auto"/>
              </w:rPr>
            </w:pPr>
          </w:p>
        </w:tc>
        <w:tc>
          <w:tcPr>
            <w:tcW w:w="1220" w:type="dxa"/>
            <w:vAlign w:val="bottom"/>
          </w:tcPr>
          <w:p>
            <w:pPr>
              <w:jc w:val="center"/>
              <w:ind w:left="233"/>
              <w:spacing w:after="0"/>
              <w:rPr>
                <w:sz w:val="20"/>
                <w:szCs w:val="20"/>
                <w:color w:val="auto"/>
              </w:rPr>
            </w:pPr>
            <w:r>
              <w:rPr>
                <w:rFonts w:ascii="Arial" w:cs="Arial" w:eastAsia="Arial" w:hAnsi="Arial"/>
                <w:sz w:val="17"/>
                <w:szCs w:val="17"/>
                <w:b w:val="1"/>
                <w:bCs w:val="1"/>
                <w:color w:val="auto"/>
                <w:w w:val="95"/>
              </w:rPr>
              <w:t>Contractual</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center"/>
              <w:ind w:right="173"/>
              <w:spacing w:after="0"/>
              <w:rPr>
                <w:sz w:val="20"/>
                <w:szCs w:val="20"/>
                <w:color w:val="auto"/>
              </w:rPr>
            </w:pPr>
            <w:r>
              <w:rPr>
                <w:rFonts w:ascii="Arial" w:cs="Arial" w:eastAsia="Arial" w:hAnsi="Arial"/>
                <w:sz w:val="17"/>
                <w:szCs w:val="17"/>
                <w:b w:val="1"/>
                <w:bCs w:val="1"/>
                <w:color w:val="auto"/>
                <w:w w:val="88"/>
              </w:rPr>
              <w:t>Exercise</w:t>
            </w:r>
          </w:p>
        </w:tc>
        <w:tc>
          <w:tcPr>
            <w:tcW w:w="380" w:type="dxa"/>
            <w:vAlign w:val="bottom"/>
          </w:tcPr>
          <w:p>
            <w:pPr>
              <w:spacing w:after="0"/>
              <w:rPr>
                <w:sz w:val="21"/>
                <w:szCs w:val="21"/>
                <w:color w:val="auto"/>
              </w:rPr>
            </w:pPr>
          </w:p>
        </w:tc>
        <w:tc>
          <w:tcPr>
            <w:tcW w:w="1520" w:type="dxa"/>
            <w:vAlign w:val="bottom"/>
          </w:tcPr>
          <w:p>
            <w:pPr>
              <w:jc w:val="right"/>
              <w:ind w:right="353"/>
              <w:spacing w:after="0"/>
              <w:rPr>
                <w:sz w:val="20"/>
                <w:szCs w:val="20"/>
                <w:color w:val="auto"/>
              </w:rPr>
            </w:pPr>
            <w:r>
              <w:rPr>
                <w:rFonts w:ascii="Arial" w:cs="Arial" w:eastAsia="Arial" w:hAnsi="Arial"/>
                <w:sz w:val="17"/>
                <w:szCs w:val="17"/>
                <w:b w:val="1"/>
                <w:bCs w:val="1"/>
                <w:color w:val="auto"/>
              </w:rPr>
              <w:t>Number</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Exercise</w:t>
            </w:r>
          </w:p>
        </w:tc>
      </w:tr>
      <w:tr>
        <w:trPr>
          <w:trHeight w:val="250"/>
        </w:trPr>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2"/>
              </w:rPr>
              <w:t>Exercise Prices</w:t>
            </w:r>
          </w:p>
        </w:tc>
        <w:tc>
          <w:tcPr>
            <w:tcW w:w="360" w:type="dxa"/>
            <w:vAlign w:val="bottom"/>
          </w:tcPr>
          <w:p>
            <w:pPr>
              <w:spacing w:after="0"/>
              <w:rPr>
                <w:sz w:val="21"/>
                <w:szCs w:val="21"/>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Outstanding</w:t>
            </w:r>
          </w:p>
        </w:tc>
        <w:tc>
          <w:tcPr>
            <w:tcW w:w="380" w:type="dxa"/>
            <w:vAlign w:val="bottom"/>
          </w:tcPr>
          <w:p>
            <w:pPr>
              <w:spacing w:after="0"/>
              <w:rPr>
                <w:sz w:val="21"/>
                <w:szCs w:val="21"/>
                <w:color w:val="auto"/>
              </w:rPr>
            </w:pPr>
          </w:p>
        </w:tc>
        <w:tc>
          <w:tcPr>
            <w:tcW w:w="12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9"/>
              </w:rPr>
              <w:t>Life</w:t>
            </w:r>
          </w:p>
        </w:tc>
        <w:tc>
          <w:tcPr>
            <w:tcW w:w="3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Price</w:t>
            </w:r>
          </w:p>
        </w:tc>
        <w:tc>
          <w:tcPr>
            <w:tcW w:w="380" w:type="dxa"/>
            <w:vAlign w:val="bottom"/>
          </w:tcPr>
          <w:p>
            <w:pPr>
              <w:spacing w:after="0"/>
              <w:rPr>
                <w:sz w:val="21"/>
                <w:szCs w:val="21"/>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Exercisable</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Price</w:t>
            </w:r>
          </w:p>
        </w:tc>
        <w:tc>
          <w:tcPr>
            <w:tcW w:w="180" w:type="dxa"/>
            <w:vAlign w:val="bottom"/>
          </w:tcPr>
          <w:p>
            <w:pPr>
              <w:spacing w:after="0"/>
              <w:rPr>
                <w:sz w:val="21"/>
                <w:szCs w:val="21"/>
                <w:color w:val="auto"/>
              </w:rPr>
            </w:pPr>
          </w:p>
        </w:tc>
      </w:tr>
      <w:tr>
        <w:trPr>
          <w:trHeight w:val="215"/>
        </w:trPr>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1,847,500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4.39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0" w:type="dxa"/>
            <w:vAlign w:val="bottom"/>
            <w:shd w:val="clear" w:color="auto" w:fill="CCEEFF"/>
          </w:tcPr>
          <w:p>
            <w:pPr>
              <w:spacing w:after="0"/>
              <w:rPr>
                <w:sz w:val="18"/>
                <w:szCs w:val="18"/>
                <w:color w:val="auto"/>
              </w:rPr>
            </w:pPr>
          </w:p>
        </w:tc>
      </w:tr>
      <w:tr>
        <w:trPr>
          <w:trHeight w:val="222"/>
        </w:trPr>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3.00 - $3.61</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220,000</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4.82</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3.23</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left="820" w:hanging="813"/>
        <w:spacing w:after="0"/>
        <w:tabs>
          <w:tab w:leader="none" w:pos="8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AND SHARE-BASED COMPENSATION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outstanding common stock purchase warrants as of December 31, 2018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660" w:type="dxa"/>
            <w:vAlign w:val="bottom"/>
            <w:gridSpan w:val="2"/>
          </w:tcPr>
          <w:p>
            <w:pPr>
              <w:ind w:left="340"/>
              <w:spacing w:after="0"/>
              <w:rPr>
                <w:sz w:val="20"/>
                <w:szCs w:val="20"/>
                <w:color w:val="auto"/>
              </w:rPr>
            </w:pPr>
            <w:r>
              <w:rPr>
                <w:rFonts w:ascii="Arial" w:cs="Arial" w:eastAsia="Arial" w:hAnsi="Arial"/>
                <w:sz w:val="17"/>
                <w:szCs w:val="17"/>
                <w:b w:val="1"/>
                <w:bCs w:val="1"/>
                <w:color w:val="auto"/>
              </w:rPr>
              <w:t>Number of</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b w:val="1"/>
                <w:bCs w:val="1"/>
                <w:color w:val="auto"/>
              </w:rPr>
              <w:t>Exercise Price</w:t>
            </w:r>
          </w:p>
        </w:tc>
        <w:tc>
          <w:tcPr>
            <w:tcW w:w="1940" w:type="dxa"/>
            <w:vAlign w:val="bottom"/>
          </w:tcPr>
          <w:p>
            <w:pPr>
              <w:spacing w:after="0"/>
              <w:rPr>
                <w:sz w:val="19"/>
                <w:szCs w:val="19"/>
                <w:color w:val="auto"/>
              </w:rPr>
            </w:pPr>
          </w:p>
        </w:tc>
      </w:tr>
      <w:tr>
        <w:trPr>
          <w:trHeight w:val="277"/>
        </w:trPr>
        <w:tc>
          <w:tcPr>
            <w:tcW w:w="608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99"/>
              </w:rPr>
              <w:t>Common Shares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Per Share</w:t>
            </w:r>
          </w:p>
        </w:tc>
        <w:tc>
          <w:tcPr>
            <w:tcW w:w="80" w:type="dxa"/>
            <w:vAlign w:val="bottom"/>
          </w:tcPr>
          <w:p>
            <w:pPr>
              <w:spacing w:after="0"/>
              <w:rPr>
                <w:sz w:val="24"/>
                <w:szCs w:val="24"/>
                <w:color w:val="auto"/>
              </w:rPr>
            </w:pPr>
          </w:p>
        </w:tc>
        <w:tc>
          <w:tcPr>
            <w:tcW w:w="1940" w:type="dxa"/>
            <w:vAlign w:val="bottom"/>
          </w:tcPr>
          <w:p>
            <w:pPr>
              <w:ind w:left="420"/>
              <w:spacing w:after="0"/>
              <w:rPr>
                <w:sz w:val="20"/>
                <w:szCs w:val="20"/>
                <w:color w:val="auto"/>
              </w:rPr>
            </w:pPr>
            <w:r>
              <w:rPr>
                <w:rFonts w:ascii="Arial" w:cs="Arial" w:eastAsia="Arial" w:hAnsi="Arial"/>
                <w:sz w:val="17"/>
                <w:szCs w:val="17"/>
                <w:b w:val="1"/>
                <w:bCs w:val="1"/>
                <w:color w:val="auto"/>
              </w:rPr>
              <w:t>Expiration Date</w:t>
            </w: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 xml:space="preserve">Purchase Warrants </w:t>
            </w:r>
            <w:r>
              <w:rPr>
                <w:rFonts w:ascii="Arial" w:cs="Arial" w:eastAsia="Arial" w:hAnsi="Arial"/>
                <w:sz w:val="24"/>
                <w:szCs w:val="24"/>
                <w:color w:val="auto"/>
                <w:vertAlign w:val="superscript"/>
              </w:rPr>
              <w:t>(1)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4,561,074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w:t>
            </w:r>
          </w:p>
        </w:tc>
        <w:tc>
          <w:tcPr>
            <w:tcW w:w="1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October 30, 2020</w:t>
            </w: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Agent Warrants</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456,107</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7"/>
                <w:szCs w:val="17"/>
                <w:color w:val="auto"/>
              </w:rPr>
              <w:t>3.00</w:t>
            </w:r>
          </w:p>
        </w:tc>
        <w:tc>
          <w:tcPr>
            <w:tcW w:w="1940" w:type="dxa"/>
            <w:vAlign w:val="bottom"/>
          </w:tcPr>
          <w:p>
            <w:pPr>
              <w:ind w:left="100"/>
              <w:spacing w:after="0"/>
              <w:rPr>
                <w:sz w:val="20"/>
                <w:szCs w:val="20"/>
                <w:color w:val="auto"/>
              </w:rPr>
            </w:pPr>
            <w:r>
              <w:rPr>
                <w:rFonts w:ascii="Arial" w:cs="Arial" w:eastAsia="Arial" w:hAnsi="Arial"/>
                <w:sz w:val="17"/>
                <w:szCs w:val="17"/>
                <w:color w:val="auto"/>
              </w:rPr>
              <w:t>October 30, 2020</w:t>
            </w:r>
          </w:p>
        </w:tc>
      </w:tr>
    </w:tbl>
    <w:p>
      <w:pPr>
        <w:spacing w:after="0" w:line="145" w:lineRule="exact"/>
        <w:rPr>
          <w:sz w:val="20"/>
          <w:szCs w:val="20"/>
          <w:color w:val="auto"/>
        </w:rPr>
      </w:pPr>
    </w:p>
    <w:p>
      <w:pPr>
        <w:ind w:left="980" w:hanging="328"/>
        <w:spacing w:after="0"/>
        <w:tabs>
          <w:tab w:leader="none" w:pos="98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333,334 warrants are held by a family trust of officer Elwood G. Norris.</w:t>
      </w:r>
    </w:p>
    <w:p>
      <w:pPr>
        <w:spacing w:after="0" w:line="20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above warrants resulted from the private offering consummated in October 2018. No warrants were exercised during the period from issuance to December 31, 2018.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0" w:hanging="813"/>
        <w:spacing w:after="0"/>
        <w:tabs>
          <w:tab w:leader="none" w:pos="82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Facility Leases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Commencing December 1, 2016, the Company leased 1,890 square feet of improved office, assembly and warehouse space in Las Vegas, Nevada. The term of the lease agreement is 37 months, with a termination date of December 31, 2019. The gross monthly rent is currently $1,588, subject to certain possible adjustments. In January 2019 the Company entered into an amendment extending the lease to December 31, 2020 with a gross monthly rent of $2,100 per month for the year 2020.</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Rent expense for the year ended December 31, 2018 and 2017 was $18,157 and $18,120, respectively. The remaining future annual minimum lease obligations under the foregoing facility lease, as amended at December 31, 2018, are $19,051 and $25,200 for 2019 and 2020, respectively.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February 2019, the Company entered into a two-year lease commencing March 1, 2019 for 1906 square feet of office, assembly and warehousing space located in </w:t>
      </w:r>
      <w:r>
        <w:rPr>
          <w:rFonts w:ascii="Arial" w:cs="Arial" w:eastAsia="Arial" w:hAnsi="Arial"/>
          <w:sz w:val="17"/>
          <w:szCs w:val="17"/>
          <w:color w:val="1B1B1B"/>
        </w:rPr>
        <w:t>Lake Forest, California</w:t>
      </w:r>
      <w:r>
        <w:rPr>
          <w:rFonts w:ascii="Arial" w:cs="Arial" w:eastAsia="Arial" w:hAnsi="Arial"/>
          <w:sz w:val="17"/>
          <w:szCs w:val="17"/>
          <w:color w:val="auto"/>
        </w:rPr>
        <w:t xml:space="preserve"> at an initial monthly rate of $2,723. Minimum annual lease commitments are $27,230, $33,436 and $5,598 for 2019, 2020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Related Party Technology License Agreement</w:t>
      </w:r>
    </w:p>
    <w:p>
      <w:pPr>
        <w:spacing w:after="0" w:line="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obligated to pay royalties and pay development and patent costs pursuant to an exclusive Amended and Restated Intellectual Property License Agreement dated as of September 30, 2016 with Syzygy, a company owned and controlled by stockholders/officers Mr. Elwood Norris and Mr. James Barnes. The agreement provides for royalty payments of 4% of revenue from products employing the licensed ensnarement device technology up to an aggregate of $1,000,000 in royalties or until September 30, 2026, whichever occurs earlier. The Company accrued $871 at December 31, 2018 for royalties incurred in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Suppliers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 number of components produced by outside suppliers, some of which are sourced from a single supplier, which can magnify the risk of shortages and decrease the Company’s ability to negotiate with suppliers on the basis of price. If supplier shortages occur, or quality problems arise, then production schedules could be significantly delayed or costs significantly increased, which could in turn have a material adverse effect on the Company’s financial condition, results of operation and cash flows.</w:t>
      </w:r>
    </w:p>
    <w:p>
      <w:pPr>
        <w:spacing w:after="0" w:line="185" w:lineRule="exact"/>
        <w:rPr>
          <w:sz w:val="20"/>
          <w:szCs w:val="20"/>
          <w:color w:val="auto"/>
        </w:rPr>
      </w:pPr>
    </w:p>
    <w:p>
      <w:pPr>
        <w:ind w:right="3240"/>
        <w:spacing w:after="0" w:line="295" w:lineRule="auto"/>
        <w:rPr>
          <w:sz w:val="20"/>
          <w:szCs w:val="20"/>
          <w:color w:val="auto"/>
        </w:rPr>
      </w:pPr>
      <w:r>
        <w:rPr>
          <w:rFonts w:ascii="Arial" w:cs="Arial" w:eastAsia="Arial" w:hAnsi="Arial"/>
          <w:sz w:val="17"/>
          <w:szCs w:val="17"/>
          <w:color w:val="auto"/>
        </w:rPr>
        <w:t>At December 31, 2018, the Company was committed for approximately $1.5 million for future component deliveries that are generally subject to modification or rescheduling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ind w:left="820" w:hanging="813"/>
        <w:spacing w:after="0"/>
        <w:tabs>
          <w:tab w:leader="none" w:pos="82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Indemnifications and Guarantees</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Regulatory Agencies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subject to oversight from regulatory agencies regarding firearms that arise in the ordinary course of its business.</w:t>
      </w:r>
    </w:p>
    <w:p>
      <w:pPr>
        <w:spacing w:after="0" w:line="222" w:lineRule="exact"/>
        <w:rPr>
          <w:sz w:val="20"/>
          <w:szCs w:val="20"/>
          <w:color w:val="auto"/>
        </w:rPr>
      </w:pPr>
    </w:p>
    <w:p>
      <w:pPr>
        <w:ind w:left="820" w:hanging="813"/>
        <w:spacing w:after="0"/>
        <w:tabs>
          <w:tab w:leader="none" w:pos="82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did not provide any current or deferred U.S. federal income tax provision or benefit for the periods presented because of operating losses since inception. As of December 31, 2018, the Company has net operating loss carryforwards of approximately $3,591,000 to reduce future taxable income through 2038. Certain changes in stock ownership can result in a limitation on the amount of net operating loss and tax credit carryovers that can be utilized each year. As of December 31, 2018, management has not determined the extent of any such limitations, if any.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provided a full valuation allowance on the net deferred tax asset, consisting of net operating loss carry forwards, because management has determined that it is more likely than not that we will not earn income sufficient to realize the deferred tax assets during the carry forward period. As a result of the change in future Federal statutory tax rates due to the passing of the Tax Cuts and Jobs Act of 2017, management has determined that the deferred tax assets and liabilities should not be valued at a federal statutory rate of 34% but rather at the rate in which the benefit of the deferred tax asset or liability will be realized by the Company. As such, the Federal statutory rate used to value the Company's deferred tax assets and liabilities is 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not taken a tax position that, if challenged, would have a material effect on the financial statements for the period ended December 31, 2018 applicable under FASB ASC 740. The Company did not recognize any adjustment to the liability for uncertain tax position and therefore did not record any adjustment to the beginning balance of accumulated deficit on the balance sheet. All tax returns for the Company remain open.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gridSpan w:val="2"/>
          </w:tcPr>
          <w:p>
            <w:pPr>
              <w:spacing w:after="0"/>
              <w:rPr>
                <w:sz w:val="20"/>
                <w:szCs w:val="20"/>
                <w:color w:val="auto"/>
              </w:rPr>
            </w:pPr>
            <w:r>
              <w:rPr>
                <w:rFonts w:ascii="Arial" w:cs="Arial" w:eastAsia="Arial" w:hAnsi="Arial"/>
                <w:sz w:val="17"/>
                <w:szCs w:val="17"/>
                <w:b w:val="1"/>
                <w:bCs w:val="1"/>
                <w:color w:val="auto"/>
              </w:rPr>
              <w:t>10.</w:t>
            </w:r>
          </w:p>
        </w:tc>
        <w:tc>
          <w:tcPr>
            <w:tcW w:w="8300" w:type="dxa"/>
            <w:vAlign w:val="bottom"/>
          </w:tcPr>
          <w:p>
            <w:pPr>
              <w:ind w:left="300"/>
              <w:spacing w:after="0"/>
              <w:rPr>
                <w:sz w:val="20"/>
                <w:szCs w:val="20"/>
                <w:color w:val="auto"/>
              </w:rPr>
            </w:pPr>
            <w:r>
              <w:rPr>
                <w:rFonts w:ascii="Arial" w:cs="Arial" w:eastAsia="Arial" w:hAnsi="Arial"/>
                <w:sz w:val="17"/>
                <w:szCs w:val="17"/>
                <w:b w:val="1"/>
                <w:bCs w:val="1"/>
                <w:color w:val="auto"/>
              </w:rPr>
              <w:t>INCOME TAXES (continued)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820" w:type="dxa"/>
            <w:vAlign w:val="bottom"/>
            <w:gridSpan w:val="3"/>
          </w:tcPr>
          <w:p>
            <w:pPr>
              <w:spacing w:after="0"/>
              <w:rPr>
                <w:sz w:val="20"/>
                <w:szCs w:val="20"/>
                <w:color w:val="auto"/>
              </w:rPr>
            </w:pPr>
            <w:r>
              <w:rPr>
                <w:rFonts w:ascii="Arial" w:cs="Arial" w:eastAsia="Arial" w:hAnsi="Arial"/>
                <w:sz w:val="17"/>
                <w:szCs w:val="17"/>
                <w:color w:val="auto"/>
              </w:rPr>
              <w:t>The provision for (benefit from) income taxes consists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tax benefit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Deferred tax benefit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678,000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(678,000)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Income tax benefit (provision)</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provision for income taxes at the federal statutory rate of 21% to the Company’s provision for income tax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Income taxes benefit computed at federal statutory rate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Research tax credits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 and other</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(678,000)</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(136,000)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operating losses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132,000</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Research tax credits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6,000</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compensation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Stock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Accruals and other</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875,000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171,000</w:t>
            </w:r>
          </w:p>
        </w:tc>
        <w:tc>
          <w:tcPr>
            <w:tcW w:w="1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Depreciation and other</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29,000</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846,000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168,000</w:t>
            </w: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(846,000)</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(168,000)</w:t>
            </w: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deferred taxes after valuation allowance</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7" w:lineRule="exact"/>
        <w:rPr>
          <w:sz w:val="20"/>
          <w:szCs w:val="20"/>
          <w:color w:val="auto"/>
        </w:rPr>
      </w:pPr>
    </w:p>
    <w:p>
      <w:pPr>
        <w:ind w:left="820" w:hanging="813"/>
        <w:spacing w:after="0"/>
        <w:tabs>
          <w:tab w:leader="none" w:pos="8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40"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Commencing in October 2017, the Company began reimbursing officer Mr. Elwood Norris $1,500 per month on a month to month basis for laboratory costs for an aggregate of $18,000 and $4,500 during the years ended December 31, 2018 and 2017,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See Notes 1, 6, 7, 8 and 9 for additional related party transactions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23.1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Wrap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w:t>
      </w:r>
    </w:p>
    <w:p>
      <w:pPr>
        <w:spacing w:after="0" w:line="228" w:lineRule="exact"/>
        <w:rPr>
          <w:sz w:val="20"/>
          <w:szCs w:val="20"/>
          <w:color w:val="auto"/>
        </w:rPr>
      </w:pPr>
    </w:p>
    <w:p>
      <w:pPr>
        <w:jc w:val="both"/>
        <w:ind w:right="220" w:firstLine="483"/>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 333-225102) on Form S-8 and (No. 333-228974) on Form S-3 of Wrap Technologies, Inc. of our reports dated March 7, 2019, relating to the financial statements of Wrap Technologies, Inc., appearing in this Annual Report on Form 10-K of Wrap Technologies, Inc.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Rosenberg Rich Baker Berman, P.A.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Rosenberg Rich Baker Berman, P.A.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516255</wp:posOffset>
            </wp:positionV>
            <wp:extent cx="724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David Norris, certify that:</w:t>
      </w:r>
    </w:p>
    <w:p>
      <w:pPr>
        <w:spacing w:after="0" w:line="167" w:lineRule="exact"/>
        <w:rPr>
          <w:sz w:val="20"/>
          <w:szCs w:val="20"/>
          <w:color w:val="auto"/>
        </w:rPr>
      </w:pPr>
    </w:p>
    <w:p>
      <w:pPr>
        <w:ind w:left="660" w:hanging="653"/>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7" w:lineRule="exact"/>
        <w:rPr>
          <w:rFonts w:ascii="Arial" w:cs="Arial" w:eastAsia="Arial" w:hAnsi="Arial"/>
          <w:sz w:val="17"/>
          <w:szCs w:val="17"/>
          <w:color w:val="auto"/>
        </w:rPr>
      </w:pPr>
    </w:p>
    <w:p>
      <w:pPr>
        <w:ind w:left="660" w:hanging="653"/>
        <w:spacing w:after="0" w:line="367"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5"/>
          <w:szCs w:val="15"/>
          <w:color w:val="auto"/>
        </w:rPr>
      </w:pPr>
    </w:p>
    <w:p>
      <w:pPr>
        <w:ind w:left="660" w:hanging="653"/>
        <w:spacing w:after="0" w:line="29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6" w:lineRule="exact"/>
        <w:rPr>
          <w:rFonts w:ascii="Arial" w:cs="Arial" w:eastAsia="Arial" w:hAnsi="Arial"/>
          <w:sz w:val="17"/>
          <w:szCs w:val="17"/>
          <w:color w:val="auto"/>
        </w:rPr>
      </w:pPr>
    </w:p>
    <w:p>
      <w:pPr>
        <w:jc w:val="both"/>
        <w:ind w:left="1300" w:hanging="648"/>
        <w:spacing w:after="0" w:line="27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300" w:hanging="648"/>
        <w:spacing w:after="0" w:line="329"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6"/>
          <w:szCs w:val="16"/>
          <w:color w:val="auto"/>
        </w:rPr>
      </w:pPr>
    </w:p>
    <w:p>
      <w:pPr>
        <w:jc w:val="both"/>
        <w:ind w:left="1300" w:hanging="648"/>
        <w:spacing w:after="0" w:line="27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1300" w:right="20" w:hanging="648"/>
        <w:spacing w:after="0" w:line="295"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7"/>
          <w:szCs w:val="17"/>
          <w:color w:val="auto"/>
        </w:rPr>
      </w:pPr>
    </w:p>
    <w:p>
      <w:pPr>
        <w:ind w:left="1300" w:hanging="648"/>
        <w:spacing w:after="0" w:line="295"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247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James A. Barnes, certify that:</w:t>
      </w:r>
    </w:p>
    <w:p>
      <w:pPr>
        <w:spacing w:after="0" w:line="167" w:lineRule="exact"/>
        <w:rPr>
          <w:sz w:val="20"/>
          <w:szCs w:val="20"/>
          <w:color w:val="auto"/>
        </w:rPr>
      </w:pPr>
    </w:p>
    <w:p>
      <w:pPr>
        <w:ind w:left="660" w:hanging="653"/>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7" w:lineRule="exact"/>
        <w:rPr>
          <w:rFonts w:ascii="Arial" w:cs="Arial" w:eastAsia="Arial" w:hAnsi="Arial"/>
          <w:sz w:val="17"/>
          <w:szCs w:val="17"/>
          <w:color w:val="auto"/>
        </w:rPr>
      </w:pPr>
    </w:p>
    <w:p>
      <w:pPr>
        <w:ind w:left="660" w:hanging="653"/>
        <w:spacing w:after="0" w:line="367"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5"/>
          <w:szCs w:val="15"/>
          <w:color w:val="auto"/>
        </w:rPr>
      </w:pPr>
    </w:p>
    <w:p>
      <w:pPr>
        <w:ind w:left="660" w:hanging="653"/>
        <w:spacing w:after="0" w:line="29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6" w:lineRule="exact"/>
        <w:rPr>
          <w:rFonts w:ascii="Arial" w:cs="Arial" w:eastAsia="Arial" w:hAnsi="Arial"/>
          <w:sz w:val="17"/>
          <w:szCs w:val="17"/>
          <w:color w:val="auto"/>
        </w:rPr>
      </w:pPr>
    </w:p>
    <w:p>
      <w:pPr>
        <w:jc w:val="both"/>
        <w:ind w:left="1300" w:hanging="648"/>
        <w:spacing w:after="0" w:line="279"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300" w:hanging="648"/>
        <w:spacing w:after="0" w:line="329"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648"/>
        <w:spacing w:after="0" w:line="266"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7"/>
          <w:szCs w:val="17"/>
          <w:color w:val="auto"/>
        </w:rPr>
      </w:pPr>
    </w:p>
    <w:p>
      <w:pPr>
        <w:ind w:left="660" w:hanging="653"/>
        <w:spacing w:after="0" w:line="287"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1300" w:right="20" w:hanging="648"/>
        <w:spacing w:after="0" w:line="295"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7"/>
          <w:szCs w:val="17"/>
          <w:color w:val="auto"/>
        </w:rPr>
      </w:pPr>
    </w:p>
    <w:p>
      <w:pPr>
        <w:ind w:left="1300" w:hanging="648"/>
        <w:spacing w:after="0" w:line="295"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247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2018,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Dated: March 7,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Dated: March 7,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247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420"/>
      </w:cols>
      <w:pgMar w:left="240" w:top="3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o"/>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upperLetter"/>
      <w:start w:val="35"/>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2"/>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decimal"/>
      <w:start w:val="7"/>
    </w:lvl>
  </w:abstractNum>
  <w:abstractNum w:abstractNumId="25">
    <w:nsid w:val="1E7FF521"/>
    <w:multiLevelType w:val="hybridMultilevel"/>
    <w:lvl w:ilvl="0">
      <w:lvlJc w:val="left"/>
      <w:lvlText w:val="%1."/>
      <w:numFmt w:val="decimal"/>
      <w:start w:val="8"/>
    </w:lvl>
  </w:abstractNum>
  <w:abstractNum w:abstractNumId="26">
    <w:nsid w:val="7C3DBD3D"/>
    <w:multiLevelType w:val="hybridMultilevel"/>
    <w:lvl w:ilvl="0">
      <w:lvlJc w:val="left"/>
      <w:lvlText w:val="%1."/>
      <w:numFmt w:val="decimal"/>
      <w:start w:val="8"/>
    </w:lvl>
  </w:abstractNum>
  <w:abstractNum w:abstractNumId="27">
    <w:nsid w:val="737B8DDC"/>
    <w:multiLevelType w:val="hybridMultilevel"/>
    <w:lvl w:ilvl="0">
      <w:lvlJc w:val="left"/>
      <w:lvlText w:val="%1."/>
      <w:numFmt w:val="decimal"/>
      <w:start w:val="8"/>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9"/>
    </w:lvl>
  </w:abstractNum>
  <w:abstractNum w:abstractNumId="30">
    <w:nsid w:val="4516DDE9"/>
    <w:multiLevelType w:val="hybridMultilevel"/>
    <w:lvl w:ilvl="0">
      <w:lvlJc w:val="left"/>
      <w:lvlText w:val="%1."/>
      <w:numFmt w:val="decimal"/>
      <w:start w:val="9"/>
    </w:lvl>
  </w:abstractNum>
  <w:abstractNum w:abstractNumId="31">
    <w:nsid w:val="3006C83E"/>
    <w:multiLevelType w:val="hybridMultilevel"/>
    <w:lvl w:ilvl="0">
      <w:lvlJc w:val="left"/>
      <w:lvlText w:val="%1."/>
      <w:numFmt w:val="decimal"/>
      <w:start w:val="10"/>
    </w:lvl>
  </w:abstractNum>
  <w:abstractNum w:abstractNumId="32">
    <w:nsid w:val="614FD4A1"/>
    <w:multiLevelType w:val="hybridMultilevel"/>
    <w:lvl w:ilvl="0">
      <w:lvlJc w:val="left"/>
      <w:lvlText w:val="%1."/>
      <w:numFmt w:val="decimal"/>
      <w:start w:val="1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39" Type="http://schemas.openxmlformats.org/officeDocument/2006/relationships/hyperlink" Target="http://www.sec.gov/Archives/edgar/data/1702924/000165495417003384/ex2-1.htm" TargetMode="External"/><Relationship Id="rId40" Type="http://schemas.openxmlformats.org/officeDocument/2006/relationships/hyperlink" Target="http://www.sec.gov/Archives/edgar/data/1702924/000165495417003384/ex2-2.htm" TargetMode="External"/><Relationship Id="rId41" Type="http://schemas.openxmlformats.org/officeDocument/2006/relationships/hyperlink" Target="http://www.sec.gov/Archives/edgar/data/1702924/000165495417003384/ex3-1.htm" TargetMode="External"/><Relationship Id="rId42" Type="http://schemas.openxmlformats.org/officeDocument/2006/relationships/hyperlink" Target="http://www.sec.gov/Archives/edgar/data/1702924/000165495417003384/ex3-2.htm" TargetMode="External"/><Relationship Id="rId43" Type="http://schemas.openxmlformats.org/officeDocument/2006/relationships/hyperlink" Target="http://www.sec.gov/Archives/edgar/data/1702924/000165495417005181/ex4-1.htm" TargetMode="External"/><Relationship Id="rId44" Type="http://schemas.openxmlformats.org/officeDocument/2006/relationships/hyperlink" Target="http://www.sec.gov/Archives/edgar/data/1702924/000165495418011996/ex4-1.htm" TargetMode="External"/><Relationship Id="rId45" Type="http://schemas.openxmlformats.org/officeDocument/2006/relationships/hyperlink" Target="http://www.sec.gov/Archives/edgar/data/1702924/000165495418011996/ex4-2.htm" TargetMode="External"/><Relationship Id="rId46" Type="http://schemas.openxmlformats.org/officeDocument/2006/relationships/hyperlink" Target="http://www.sec.gov/Archives/edgar/data/1702924/000165495417003384/ex10-1.htm" TargetMode="External"/><Relationship Id="rId47" Type="http://schemas.openxmlformats.org/officeDocument/2006/relationships/hyperlink" Target="http://www.sec.gov/Archives/edgar/data/1702924/000165495417003384/ex10-2.htm" TargetMode="External"/><Relationship Id="rId48" Type="http://schemas.openxmlformats.org/officeDocument/2006/relationships/hyperlink" Target="http://www.sec.gov/Archives/edgar/data/1702924/000165495418011996/ex10-1.htm" TargetMode="External"/><Relationship Id="rId49" Type="http://schemas.openxmlformats.org/officeDocument/2006/relationships/hyperlink" Target="http://www.sec.gov/Archives/edgar/data/1702924/000165495418011996/ex10-2.htm" TargetMode="External"/><Relationship Id="rId50" Type="http://schemas.openxmlformats.org/officeDocument/2006/relationships/hyperlink" Target="http://www.sec.gov/Archives/edgar/data/1702924/000165495418012310/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2020-01-09T15:43:50Z</dcterms:created>
  <dcterms:modified xsi:type="dcterms:W3CDTF">2020-01-09T15:43:50Z</dcterms:modified>
</cp:coreProperties>
</file>