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Scot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WRAP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3480 MAIN HWY, 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WRAP TECHNOLOGIES, INC.</w:t>
              </w:r>
            </w:hyperlink>
            <w:r>
              <w:rPr/>
              <w:t xml:space="preserve"> [ </w:t>
            </w:r>
            <w:r>
              <w:rPr>
                <w:rFonts w:ascii="Times;serif" w:hAnsi="Times;serif"/>
                <w:color w:val="0000FF"/>
                <w:sz w:val="24"/>
                <w:shd w:fill="FFFFFF" w:val="clear"/>
              </w:rPr>
              <w:t>WRAP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Executive Chairman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931"/>
        <w:gridCol w:w="454"/>
        <w:gridCol w:w="617"/>
        <w:gridCol w:w="1280"/>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6,408</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2,014,877</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V4 Global LLC</w:t>
            </w:r>
            <w:r>
              <w:rPr>
                <w:rFonts w:ascii="Times;serif" w:hAnsi="Times;serif"/>
                <w:color w:val="008000"/>
                <w:position w:val="7"/>
                <w:sz w:val="16"/>
                <w:sz w:val="20"/>
                <w:shd w:fill="FFFFFF" w:val="clear"/>
              </w:rPr>
              <w:t>(2)</w:t>
            </w:r>
            <w:r>
              <w:rPr/>
              <w:t xml:space="preserve"> </w:t>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4,576</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6,589,555</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21,740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w:t>
            </w:r>
            <w:r>
              <w:rPr/>
              <w:t xml:space="preserve"> </w:t>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6,798,908</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par value $0.0001 per share (the "Common Stock"), issued as a payment of dividends on the Issuer's Series A Convertible Preferred Stock, par value $0.0001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directly owned by V4 Global LLC ("V4") and may be deemed to be beneficially owned by the Reporting Person as managing member of V4. The Reporting Person disclaims beneficial ownership of the reported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913" TargetMode="External"/><Relationship Id="rId5" Type="http://schemas.openxmlformats.org/officeDocument/2006/relationships/hyperlink" Target="http://www.sec.gov/cgi-bin/browse-edgar?action=getcompany&amp;CIK=00017029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3589</Characters>
  <CharactersWithSpaces>4185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