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left="3920" w:right="2120" w:hanging="3912"/>
        <w:spacing w:after="0" w:line="479"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8" w:lineRule="exact"/>
        <w:rPr>
          <w:sz w:val="24"/>
          <w:szCs w:val="24"/>
          <w:color w:val="auto"/>
        </w:rPr>
      </w:pPr>
    </w:p>
    <w:p>
      <w:pPr>
        <w:ind w:left="4260" w:right="2420" w:hanging="4252"/>
        <w:spacing w:after="0" w:line="537"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w:t>
      </w:r>
      <w:r>
        <w:rPr>
          <w:rFonts w:ascii="Times New Roman" w:cs="Times New Roman" w:eastAsia="Times New Roman" w:hAnsi="Times New Roman"/>
          <w:sz w:val="18"/>
          <w:szCs w:val="18"/>
          <w:color w:val="auto"/>
        </w:rPr>
        <w:t>Commission File Number: 001-38750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-24765</wp:posOffset>
            </wp:positionV>
            <wp:extent cx="136271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27432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Wrap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60" w:type="dxa"/>
            <w:vAlign w:val="bottom"/>
            <w:gridSpan w:val="5"/>
          </w:tcPr>
          <w:p>
            <w:pPr>
              <w:jc w:val="center"/>
              <w:ind w:right="2040"/>
              <w:spacing w:after="0"/>
              <w:rPr>
                <w:sz w:val="20"/>
                <w:szCs w:val="20"/>
                <w:color w:val="auto"/>
              </w:rPr>
            </w:pPr>
            <w:r>
              <w:rPr>
                <w:rFonts w:ascii="Times New Roman" w:cs="Times New Roman" w:eastAsia="Times New Roman" w:hAnsi="Times New Roman"/>
                <w:sz w:val="18"/>
                <w:szCs w:val="18"/>
                <w:color w:val="auto"/>
                <w:w w:val="98"/>
              </w:rPr>
              <w:t>Delaware</w:t>
            </w: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8"/>
              </w:rPr>
              <w:t>98-0551945</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17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560" w:type="dxa"/>
            <w:vAlign w:val="bottom"/>
            <w:gridSpan w:val="5"/>
          </w:tcPr>
          <w:p>
            <w:pPr>
              <w:jc w:val="center"/>
              <w:ind w:right="20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4"/>
        </w:trPr>
        <w:tc>
          <w:tcPr>
            <w:tcW w:w="7560" w:type="dxa"/>
            <w:vAlign w:val="bottom"/>
            <w:gridSpan w:val="5"/>
          </w:tcPr>
          <w:p>
            <w:pPr>
              <w:jc w:val="center"/>
              <w:ind w:left="3610"/>
              <w:spacing w:after="0"/>
              <w:rPr>
                <w:sz w:val="20"/>
                <w:szCs w:val="20"/>
                <w:color w:val="auto"/>
              </w:rPr>
            </w:pPr>
            <w:r>
              <w:rPr>
                <w:rFonts w:ascii="Times New Roman" w:cs="Times New Roman" w:eastAsia="Times New Roman" w:hAnsi="Times New Roman"/>
                <w:sz w:val="18"/>
                <w:szCs w:val="18"/>
                <w:color w:val="auto"/>
                <w:w w:val="99"/>
              </w:rPr>
              <w:t>3480 Main Hwy</w:t>
            </w:r>
          </w:p>
        </w:tc>
        <w:tc>
          <w:tcPr>
            <w:tcW w:w="3680" w:type="dxa"/>
            <w:vAlign w:val="bottom"/>
          </w:tcPr>
          <w:p>
            <w:pPr>
              <w:spacing w:after="0"/>
              <w:rPr>
                <w:sz w:val="24"/>
                <w:szCs w:val="24"/>
                <w:color w:val="auto"/>
              </w:rPr>
            </w:pPr>
          </w:p>
        </w:tc>
      </w:tr>
      <w:tr>
        <w:trPr>
          <w:trHeight w:val="194"/>
        </w:trPr>
        <w:tc>
          <w:tcPr>
            <w:tcW w:w="7560" w:type="dxa"/>
            <w:vAlign w:val="bottom"/>
            <w:gridSpan w:val="5"/>
          </w:tcPr>
          <w:p>
            <w:pPr>
              <w:jc w:val="center"/>
              <w:ind w:left="3590"/>
              <w:spacing w:after="0" w:line="194" w:lineRule="exact"/>
              <w:rPr>
                <w:sz w:val="20"/>
                <w:szCs w:val="20"/>
                <w:color w:val="auto"/>
              </w:rPr>
            </w:pPr>
            <w:r>
              <w:rPr>
                <w:rFonts w:ascii="Times New Roman" w:cs="Times New Roman" w:eastAsia="Times New Roman" w:hAnsi="Times New Roman"/>
                <w:sz w:val="18"/>
                <w:szCs w:val="18"/>
                <w:color w:val="auto"/>
              </w:rPr>
              <w:t>Suite 202Miami, Florida 33133</w:t>
            </w:r>
          </w:p>
        </w:tc>
        <w:tc>
          <w:tcPr>
            <w:tcW w:w="368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37"/>
        </w:trPr>
        <w:tc>
          <w:tcPr>
            <w:tcW w:w="7560" w:type="dxa"/>
            <w:vAlign w:val="bottom"/>
            <w:gridSpan w:val="5"/>
          </w:tcPr>
          <w:p>
            <w:pPr>
              <w:jc w:val="center"/>
              <w:ind w:left="36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(800) 583-2652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WRAP</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40"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June 30, 2024 (the last business day of the registrant’s most recently completed second fiscal quarter) was $69,444,666 based on the closing price of $2.00 per share as reported on the Nasdaq Capital Market (“Nasdaq”) on June 28, 2024.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50,494,701 shares of common stock, par value $0.0001 per share, were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for its 2025 Annual Meeting of Stockholders (the “Proxy Statement”), to be filed with the Securities and Exchange Commission within 120 days after the end of the fiscal year ended December 31, 2024,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gridSpan w:val="1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46"/>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60" w:type="dxa"/>
            <w:vAlign w:val="bottom"/>
            <w:gridSpan w:val="10"/>
            <w:shd w:val="clear" w:color="auto" w:fill="CCEEFF"/>
          </w:tcPr>
          <w:p>
            <w:pPr>
              <w:jc w:val="center"/>
              <w:ind w:right="506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64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ITEM1A.</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70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902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8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720" w:type="dxa"/>
            <w:vAlign w:val="bottom"/>
            <w:gridSpan w:val="12"/>
            <w:shd w:val="clear" w:color="auto" w:fill="CCEEFF"/>
          </w:tcPr>
          <w:p>
            <w:pPr>
              <w:jc w:val="center"/>
              <w:ind w:right="5000"/>
              <w:spacing w:after="0" w:line="17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640" w:type="dxa"/>
            <w:vAlign w:val="bottom"/>
            <w:shd w:val="clear" w:color="auto" w:fill="CCEEFF"/>
          </w:tcPr>
          <w:p>
            <w:pPr>
              <w:spacing w:after="0"/>
              <w:rPr>
                <w:sz w:val="17"/>
                <w:szCs w:val="17"/>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64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20" w:type="dxa"/>
            <w:vAlign w:val="bottom"/>
            <w:gridSpan w:val="13"/>
          </w:tcPr>
          <w:p>
            <w:pPr>
              <w:jc w:val="center"/>
              <w:ind w:right="43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64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3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720" w:type="dxa"/>
            <w:vAlign w:val="bottom"/>
            <w:gridSpan w:val="12"/>
          </w:tcPr>
          <w:p>
            <w:pPr>
              <w:jc w:val="center"/>
              <w:ind w:right="500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64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8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53"/>
        </w:trPr>
        <w:tc>
          <w:tcPr>
            <w:tcW w:w="840" w:type="dxa"/>
            <w:vAlign w:val="bottom"/>
            <w:tcBorders>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gridSpan w:val="9"/>
          </w:tcPr>
          <w:p>
            <w:pPr>
              <w:spacing w:after="0"/>
              <w:rPr>
                <w:sz w:val="24"/>
                <w:szCs w:val="24"/>
                <w:color w:val="auto"/>
              </w:rPr>
            </w:pPr>
          </w:p>
        </w:tc>
        <w:tc>
          <w:tcPr>
            <w:tcW w:w="3900" w:type="dxa"/>
            <w:vAlign w:val="bottom"/>
            <w:tcBorders>
              <w:bottom w:val="single" w:sz="8" w:color="auto"/>
            </w:tcBorders>
            <w:gridSpan w:val="14"/>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“Annual Report”)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including, without limitation, the Company’s ability to successfully implement training programs for the use of its products; the Company’s ability to manufacture and produce its products; the Company’s ability to develop sales for its new products; the acceptance of existing and future products, including the acceptance of the BolaWrap 150, Wrap Reality, our Body-Worn Camera and our Digital Evidence Management system; the risk that distributor and customer orders for future deliveries are modified, rescheduled or cancelled in the normal course of business; the availability of funding to continue to finance operations; the complexity, expense and time associated with sales to law enforcement and government entities; the lengthy evaluation and sales cycle for the Company’s product solution; product defects; litigation risks from alleged product-related injuries; risks of government regulations; the impact resulting from geopolitical conflicts and any resulting sanctions; the ability to obtain export licenses for countries outside of the US; the ability to obtain patents and defend IP against competitors; the impact of competitive products and solutions; and the Company’s ability to maintain and enhance its brand; the ability to maintain compliance with the Nasdaq Stock Market’s listing standards; the ability of the Company to timely and effectively implement controls and procedures required by Section 404 of the Sarbanes-Oxley Act of 2002; and risks resulting from the Company’s status as a smaller reporting company, including that reduced disclosure requirements may make shares of the Company’s common stock, par value $0.0001 per share (“Common Stock”) less attractive to investors. Additional factors that could cause actual results to differ materially from the results anticipated in these forward-looking statements are described in this Annual Report, including under the section entitled “Risk Factors,” and in our other reports filed with the Securities and Exchange Commission (the “SEC”).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Annual Report on Form 10-K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because of the risks and uncertainties related to them and to the risk factors. We disclaim any obligation to update the forward-looking statements contained in, or incorporated by reference into, this Annual Report to reflect any new information or future events or circumstances or otherwise, except as required by the federal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and Industry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market and industry data that we have obtained from third party sources, including industry publications, as well as industry data prepared by our management based on its knowledge of and experience in the industries in which we operate (including our management’s estimates and assumptions relating to such industries based on that knowledge). Management has developed its knowledge of such industries through its experience and participation in these industries. While our management believes the third-party sources referred to in this Annual Report on Form 10-K are reliable, neither we nor our management have independently verified any of the data from such sources referred to in this Annual Report or ascertained the underlying economic assumptions relied upon by such sources. Furthermore, references in this Annual Report to any publications, reports, surveys or articles prepared by third parties should not be construed as depicting the complete findings of the entire publication, report, survey or article. The information in any such publication, report, survey or article is not incorporated by reference in this Annual Report on Form 10-K.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Forecasts and other forward-looking information obtained from these sources involve risks and uncertainties and are subject to change based on various factors, including those discussed in sections entitled “Cautionary Note Regarding Forward-Looking Statements,” “Item 1A. Risk Factors” and “Item 7. Management’s Discussion and Analysis of Financial Condition and Results of Operations”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trademarks include Wrap, the Wrap logo, BolaWrap®, and Wrap Reality™, Intrensic, and Evidence on A Cloud, some of which are registered trademarks in the US and certain other jurisdictions. They, along with our other common law trademarks, service marks or trade names appearing in this Annual Report are the property of the Company. Other trademarks, service marks or trade names appearing in this Annual Report are the property of their owners. We do not intend our use or display of other companies’ trade names or trademarks to imply a relationship with, or endorsement of or sponsorship of us by, any other companies. Solely for convenience, we have omitted the ® and ™ designations, as applicable, for the trademarks used in this Annual Report, but such references are not intended to indicate in any way that we will not assert, to the fullest extent under applicable law, our rights to these trademarks and trade names.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fit for modern society. We began sales of our first public safety product, the BolaWrap 100 remote restraint device, in late 2018. In the first quarter of 2022, we delivered a new generation product, the BolaWrap 150. The BolaWrap 150 is electronically deployed and is more robust, smaller, lighter and simpler to deploy than the BolaWrap 100 that has since been phased out. In late 2020 we added a new solution to our public safety technologies, our virtual reality (“VR”) training platform, Wrap Reality, and in August 2023 we acquired Intrensic, LLC, a Delaware limited liability company (“Intrensic”), which added a Body-Worn Camera (“BWC”) and Digital Evidence Management (“DEM”) solution to our portfolio of policing solutions. Wrap Reality is now sold to law enforcement agencies for simulation training as well as corrections departments for the societal reentry scenarios.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a hand-held remote restraint device that discharges a seven and half-foot Kevlar tether to entangle an individual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10-25 feet. BolaWrap assists law enforcement to safely and effectively control encounters early without resorting to painful force options.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a law enforcement 3D training system employing immersive computer graphics VR with proprietary software-enabled content. It allows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two participants to enter a simulated training environment simultaneously, and customized weapons controllers enable trainees to engage in strategic decision making along the force continuum. Wrap Reality has 45 scenarios for law enforcement and corrections and 15 scenarios for societal reentry. Wrap Reality is one of the most robust 3D Virtual Reality solutions on the market for law enforcement and societal reentry today.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Wrap Intrensic </w:t>
      </w:r>
      <w:r>
        <w:rPr>
          <w:rFonts w:ascii="Times New Roman" w:cs="Times New Roman" w:eastAsia="Times New Roman" w:hAnsi="Times New Roman"/>
          <w:sz w:val="18"/>
          <w:szCs w:val="18"/>
          <w:color w:val="auto"/>
        </w:rPr>
        <w:t>– a Body-Worn Camera and Digital Evidence Management solutions provider. BWC and DEM play crucial roles in capturing, storing,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our cloud-based video storage platform provides an unlimited video storage platform that includes video and other evidence uploading, search, retrieval, redaction, and evidence sharing while reducing the need for resources required to manage this evidence.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US law enforcement market, we have shipped our restraint products to 62 countries. We have established an active distributor network representing 50 states and one dealer representing the US territory of Puerto Rico. We have distribution agreements with 23 international distributors covering 63 countries. We focus significant sales, training and business development efforts to support our distribution network in addition to our internal sales team.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non-lethal and less-lethal products and devices serves law enforcement agencies, correctional facilities, military agencies, private security guard companies, and retail consumers. As thought leaders in new public safety products, we focus on the law enforcement agency segment of the market with our BolaWrap remote restraint solution, Wrap Reality virtual reality system, and our Body-Worn Camera and Digital Evidence Management solutions. Recent trends, such as the rise in mental health cases, police reform, and reorganization of police departments, have started a growing conversation across the country on the need for de-escalation before applying a pain-compliance policing policy. As this de-escalation movement unfolds, there are thousands of law enforcement, police, and sheriff’s offices focusing on training, policies, and the use of more non-lethal restraining solutions. This movement highlights a growing need for new approaches, which we believe will drive demand for our innovative and safe law enforcement solutions.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law enforcement seeks to detain an individual, there usually is a use of force continuum that an agency follows, starting with officer presence and verbal commands. If verbal commands break down, agencies may authorize the use of less lethal pain inducing compliance tools, such as pepper spray, pepper ball, wooden batons or metal collapsible batons, launchers and bean bags, and conducted energy weapons, such as Taser®. Our BolaWrap product offers an alternative. It can be used in many cases to restrain an individual after verbal commands break down and prior to the need to use pain-inducing compliance tools. The use of nonlethal solutions like BolaWrap potentially could lead to a reduction in use of force incidents that result in ending careers as well as the number of legal cases filed against agencies for excessive use of force, wrongful death, and injury, thus decreasing expensive litigation, settlements, and insurance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use of the BolaWrap by public safety agencies can increase goodwill between public safety agencies and their communities, especially in a time when interactions with public safety officers are increasingly subject to public and media scrutiny. We believe the law enforcement community’s response to BolaWrap demonstrates the need for the product and its utility in safely detaining individuals. Our goal is to equip every public safety officer with a BolaWrap remote restraint solution that they carry with them each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participate in the global non-lethal market that, according to the January 2022 report by 360iResearch, was expected to grow to $16.1 billion by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segments are our target markets: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and International Law Enforcement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services are primarily targeted at federal, state, and local law enforcement agencies in the U.S. As of 2018, there were over 18,000 law enforcement agencies and 800,000 full-time local and state law enforcement officers in the US, while the US Department of Justice reported over 100,000 full-time federal officers based on 2016 data. Our product line, including BolaWrap, can be an effective tool for safe detention of individuals under the jurisdiction of these agencies.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identified an international market opportunity of over 12.1 million police officers in the 100 largest police forces outside the US. We have delivered products to 62 countries and have entered into agreements with international distributors. We anticipate that sales attributable to international markets will represent a significant portion of our sales in the future due in part to the centralized purchase decision-making process at the national level in these markets. Often, the international markets have large national police forces. Conversely, in the US, the market is more fragmented with many smaller agencies and longer procurement and sales cycles. We expect international sales to continue to be lumpy due the timing of purchase decisions and relatively large size of orders.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Correctional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US Bureau of Justice statistics (“Census of State and Federal Correctional Facilities, 2019,” US Department of Justice, Bureau of Justice Statistics, published November 2022) estimated that there were 240,000 correctional officers in over 1,000 federal and state correctional facilities in the U.S., representing a large potential market for our products and services. Most correctional facilities fall under federal, state or local law enforcement jurisdiction and we believe these facilities could leverage Wrap Reality for law enforcement and societal reentry platforms as well as BolaWrap inside and outside of the correctional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Security Firms and Guard Services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2019 Bureau of Labor Statistics estimates (“Occupational Employment Statistics,” US Department of Labor), there were 1.1 million privately employed security guards in the U.S. They represent a broad range of individuals, including those employed by investigation and security services, hospitals, schools, local government, and others. We believe that the use of BolaWrap by security personnel could effectively de-escalate some encounters without eliminating other devices available today. Providing security personnel with the BolaWrap may also reduce the potential liability of private security companies and personnel in such encounters.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ATF classifications play a role in restricting Wrap’s ability to transfer easily to non-government security firms. We believe the classification is overly onerous and we will continue to work with the ATF and others to change our nonlethal product’s classification. It is important to note that countries in which we have international customers do not have any transfer or possession restrictions on the non-lethal BolaWrap devices and we believe this should be the future for BolaWrap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Reality Training Market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virtual training and simulation market is projected to reach $602 billion by 2027, according to a 2019 report by Allied Market Research. We expect the growth of virtual reality and simulation to continue expanding into many nascent industries, including law enforcement, corrections, military, school, and private security although it currently represents a relatively small segment of the overall market. The law enforcement and military sectors are important segments of the market, and increasing awareness of the benefits of virtual training and simulation is driving market growth. Advancements in technology now enable virtual reality to recreate real-world scenarios in a 360-degree immersive environment.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Wrap Products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BolaWrap Remote Restraint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BolaWrap product line includes the BolaWrap 100, which was our first remote restraint product and which has been phased out, and the BolaWrap 150, delivered to the market in the first quarter of 2022. The BolaWrap 150 offers electronic deployment and is more robust, smaller, lighter, and simpler to use than the BolaWrap 100. The BolaWrap is a handheld remote restraint device that discharges a seven and a half-foot Kevlar tether, entangling an individual from a range of 10-25 feet. Developed in collaboration with law enforcement professionals, this device enables safe and effective control of low-force encounters, providing a valuable tool for law enforcement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128270</wp:posOffset>
            </wp:positionV>
            <wp:extent cx="5349240" cy="3540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BolaWrap is a remote restraint device that safely wraps around an individual’s arms and/or legs to impede movement and prevent harm to themselves or others. The device provides a valuable tool for law enforcement officers to safely and humanely take subjects into custody without injury, especially when verbal commands are ineffective.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wide effectiveness zone and a guiding seven dot green laser for accurate placement of the Kevlar tether, the BolaWrap mitigates the risk of injury to the subject, officer and potential bystanders. Its small, light, and rugged design allows officers to maintain other use of force continuum options while providing a non-lethal alternative to potentially injurious less-lethal forces or firearms.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BolaWrap’s effectiveness in restraining individuals and hindering their ability to flee or fight has been proven. Not only does it allow officers to act safely and effectively in difficult situations by minimizing the need for other uses of force, including hand-to-hand combat and other more injurious less lethal or lethal weapons, but also it helps minimize injury and prevent a force frenzy that can occur after chasing a fleeing subject.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other less-lethal tools that rely on pain compliance and may lead to escalation of incidents and serious injuries, the BolaWrap does not rely on pain or electricity-enabled neuromuscular incapacitation. BolaWrap does not induce paralyzed falls or recovery time, making the BolaWrap an ideal non-lethal tool for law enforcement officers. Additionally, the fight or flight response that comes from less lethal tools that cause pain and injury is minimized by being wrapped by a BolaWrap device.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spend significant resources training law enforcement on the safe and effective use of the BolaWrap in conjunction with de-escalation and apprehension techniques. However, like any restraining action, some injuries may result from the use of BolaWrap. Our training includes primary use cases that fall into the three broad categories routinely encountered by law enforcement and security personnel:</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remotely restrain and limit the mobility of an individual who is experiencing a mental health crisis, narcotics-induced psychosis, or other crisis condition rendering them incapable of responding to law enforcement’s verbal commands but that presents a danger to law enforcement, the public or themselves if not restrained;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remotely restrain and limit the mobility of an individual attempting to evade arrest or questioning, as well as individuals ignoring verbal commands from law enforcement. These individuals are commonly referred to as passively resistant or non-compliant;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in subduing individuals actively resisting arrest by limiting mobility, possibly making other engagement options less risky to officers and less injurious to individuals.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 enforcement encounters involving individuals experiencing a behavioral health crisis can be challenging, resulting in public controversy and costly consequences. The Treatment Advocacy Center: Office of Research &amp; Public Affairs reported that one in ten police encounters involve individuals with mental illness, with at least one in four fatal police encounters involving individuals with mental illness (“Overlooked in the Undercounted: The Role of Mental Illness in Fatal Law Enforcement Encounters,” Office of Research &amp; Public Affairs (2015)).</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field deployment should be considered successful by law enforcement agencies if compliance is achieved, and no additional higher-level use of force tool is required after the BolaWrap is displayed or used. Agencies have reported achieving compliance by utilizing the BolaWrap in the following ways:</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pointing the BolaWrap’s seven dot green line dot laser at the suspect in conjunction with verbal commands;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sound emitted by the BolaWrap upon deployment and causing a distraction;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feeling of being wrapped and/or the restraint of the Kevlar cord around the suspect’s legs, arms, or torso;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other less-lethal tools.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encourage all law enforcement agencies to fill out a Use of Device Report when the BolaWrap is used during an encounter in the field, agencies do not always report all field deployments. Some agencies consider the deployment of the BolaWrap to be a non-use of force or a de minimis use of force that does not require any reporting. While some deployments have been captured on bodycam and shared with the public, others were reported by the agency or the media but were not captured on bodycam. Some agencies capture deployments on body worn cameras but do not allow the sharing of the video or allow them to be shared for learning purposes but not publicized for other marketing purposes. Some local jurisdictions have department policies, collective bargaining agreements, and city, county or state laws regarding the distribution of body worn camera video.</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more agencies incorporate the BolaWrap onto their duty belts and carry it every day on shift we expect to see an increase in the rate of field deployments, which we believe will contribute to even further adoption of the device by law enforcement agencies worldwide. In 2022, following the release of our strategic roadmap in mid-2022 Q3, we focused our customer service team on modifying their approach to become a customer success operation. As part of this strategic change, our team focuses on reaching out to drive agency wide adoption. We made this pivot in part because many agencies in the first few years of BolaWrap only deployed a small number of trial units without the immediate follow-up to grow their deployment to agency-wide. We have trained our sales team to focus on agency-wide deployment to drive the highest level of immediate success with the device and to integrate it into department-wide use of force polices.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BolaWrap 150</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Q1 2022, we delivered the latest generation of our BolaWrap device, the BolaWrap 150. Production of the previous model, the BolaWrap 100, ceased in 2021. We intend to continue to supply cartridges for the BolaWrap 100 to our customers for the foreseeable future. Unlike the BolaWrap 100, the BolaWrap 150 utilizes cassettes that are unique to the device and cannot be interchanged between models. We have positioned the BolaWrap 150 as our primary product and plan to support it for 5 to 10 years from the product launch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support the increased production volume for the BolaWrap 150, we implemented a more automated supply chain in the production, quality control, and testing lines in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BolaWrap 150 offers important benefits,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electronic deployment;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size and less weight;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status indicator for ease of operation;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laser battery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target illumination to improve accuracy;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Hardened plastic for increased durability;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water resistance for harsh environments.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BolaWrap 150 employs two micro-gas generators to individually expel each entangling projectile. Micro-gas generators are micro explosive parts used in a variety of industrial products, including automobile airbags.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included below in this Annual Report for additional information regarding risks and uncertainties associated with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Wrap Reality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we partnered with an independent technology company to create a virtual reality system with training scenarios. We acquired NSENA Inc. in December 2020, a provider of law enforcement training employing immersive computer graphics virtual reality with proprietary software-enabled content. We branded the system as Wrap Reality Virtual Training and kept building and improving that platform and today it offers 38 built out scenarios targeting law enforcement. Countless additional scenarios can be made by using the Wrap Reality adapt functionality to pick and choose key components to build a scenario. It takes advantage of advanced virtual reality hardware and allows up to two participants to enter the simulated training environment simultaneously.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we announced the development of an expanded Wrap Reality Virtual Training platform through a collaboration with Amazon Web Services (AWS). This new platform combines our law enforcement simulator with secure cloud services to track training progress and provide the ability to replay recorded training sessions. We continue to upgrade scenarios and develop de-escalation techniques into new scenarios and seek to enhance the Wrap Reality experience through continued software and platform innovation.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optimistic about the potential for future growth of WRAP Reality by public safety agencies, given our early adoption and deployment of robust virtual reality training technology. By leveraging our existing platform and our investment in cloud software, we now will have the opportunity to develop and offer critical training scenarios at very competitive price points.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ability to offer both on-premises and full cloud capabilities with multiple hardware options. This expansion enables us to deliver the platform to a broad range of customers, including law enforcement agencies, public and private security, corrections and the general public for firearms, concealed weapon, and safety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123190</wp:posOffset>
            </wp:positionV>
            <wp:extent cx="5349240" cy="3308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5349240" cy="3034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Wrap Intrensic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2023, Wrap entered into the Intrensic Purchase Agreement (as defined herein) for the acquisition of Intrensic, an innovator of DEMS and body-worn cameras. The integration of Intrensic’s offerings into the Company’s product suite allows the Company to expand its relationship with existing customers, increase its addressable market, and further innovate its technology offering. The acquisition helps the Company broaden its addressable market by appealing to a wider range of law enforcement and public safety agencies that are looking for integrated solutions combining non-lethal devices and digital evidence management. By offering a more comprehensive set of tools and technologies, the Company strengthened its position in the public safety technology market by differentiating itself from competitors that only offer single solutions.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Wrap Intrensic offers a robust digital evidence management platform that enables law enforcement agencies to securely store, manage, and share digital evidence, including body-worn camera footage, dashboard camera videos, and other digital files. The platform is equipped with features such as secure cloud storage, easy file retrieval, evidence tagging, chain of custody documentation, and sharing capabilities to streamline workflows and ensure data integrity. Wrap Intrensic also provides body-worn camera solutions designed to capture high-quality video evidence in various law enforcement scenarios. These cameras feature HD recording, night vision, and secure data upload capabilities and seamlessly integrate with the digital evidence management platform for efficient video uploading and management.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completing the acquisition in August 2023, Wrap has launched a host of new features and functionality to the Intrensic platform including WrapAI, a suite of artificial intelligence-powered functionality for Wrap Intrensic BWC and DEMS. This suite includes AI video redaction, AI video transcription, and AI assisted contextual content search, keeping Wrap Intrensic on the cutting edge of innovation in the DEMS and BWC marketplace.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offering comprehensive solutions for video evidence management, Wrap Intrensic enhances accountability and transparency within law enforcement agencies. The technology facilitates improved documentation of interactions and incidents, which is critical in investigations and when building public trust. The solutions are used in various settings, including routine patrols, traffic stops, and large-scale public events. Wrap Intrensic’s platform simplifies digital evidence management, reducing the administrative burden on law enforcement personnel. Secure cloud storage and rigorous chain-of-custody protocols protect digital evidence against unauthorized access and tampering. The integration of non-lethal tools like BolaWrap with digital evidence solutions contributes to safer interactions between law enforcement officers and the community, strengthening Wrap Technologies’ position in the public safety technology market by offering an end-to-end solution that combines innovative de-escalation devices with state-of-the-art evidence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optimistic on the outlook of Wrap Intrensic as a competitive and innovative solution set in the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Training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marketing and training organizations work together closely to drive revenue growth by enhancing market awareness of our solutions, generating leads, building a strong sales pipeline, and cultivating customer and distributor relationships. Our training not only supports our sales, but it also provides revenue due to the extreme value our customers place on our training services. We started charging for our training services in the third quarter of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target market is law enforcement agencies in the US and globally. The purchasing decision for our BolaWrap products and accessories is typically made by a group including agency heads, procurement, training staff, and use of force experts, and may involve political decision-makers such as city council members. The decision-making process may take several weeks to over a year due to budget constraints and other considerations.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product demonstrations as a primary sales tool and follow up with sales activities. Our goal is to convert demonstration and training deliveries into sales and long-term expansion. We provide fee-based training services to agencies, as we believe that departments with knowledgeable instructors are more likely to purchase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we adopted a channel distribution approach, in tandem with our internal sales team, where we supply our products to independent regional police equipment distributors, who in turn sell to local law enforcement agencies. Our current focus is on cultivating partnerships with major agencies and providing active assistance to our distributors through our dedicated sales, business development, and support teams. We sell through distributors in most cases and go direct to our end customers where the right distributor skill set, and capability is not available.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distribution agreements with a network of distributors representing 50 states and one dealer representing Puerto Rico. These agreements provide certain territorial rights to distributors and allow us to sell direct to certain agencies under certain terms.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distribution agreements with 23 international distributors covering 63 countries. These agreements generally require minimum sales and follow-up performance and allow us to sell direct to customers if performance is not being met. We focus significant sales and business development efforts to support our international distributors.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in training our sales, distribution, demonstration, training, and customer success teams, as well as our distributors, to build awareness and drive sales of our BolaWrap and our Wrap Reality virtual reality training product. Additionally, we are actively seeking partnerships with other organizations to further enhance our sales, marketing, and technology efforts. We engage with other industry experts to ensure our virtual reality scenarios align with industry standards of engagement.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Prospective customers become aware of Wrap solutions through a variety of marketing channels such as social media, paid advertising, media coverage, press releases, web searches, sales calls, and public relations. We also distribute body and dash camera videos of successful BolaWrap use in policing encounters to generate leads. Once a lead is generated, it is qualified by our inside sales team, and a sales representative or distributor communicates with the prospective customer to discuss their needs and the solutions we offer.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track our marketing and sales activities to provide immediate insight into activities, leads, quotes, and pipeline opportunities. Our marketing staff engages with law enforcement agencies, personnel, and risk management organizations to educate them on the benefits of BolaWrap remote restraint, as well as Wrap Reality and we participate in various domestic and international trade shows and conferences to promote our brands. We intend to increase the use of our trademarks throughout our product distribution chain to enhance brand awareness and believe our strong reputation as a pioneer in remote restraint, with excellent training and product support, gives us a competitive edge.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Demonstration, Training and Customer Success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sales and marketing activities, the Company has a department dedicated to conducting demonstrations and training. The Company offers in-person, webinar, and online demonstrations, as well as paid use of force and de-escalation training, to law enforcement agencies. The training can take place before or after the initial or subsequent purchase or deployment of the Company’s products. The Company believes that providing training and demonstrations to law enforcement officers and trainers increases their support for purchasing and deploying the products within their departments.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agencies will adapt their use of force policy to incorporate remote restraint and the BolaWrap into a key new area of their policy for non-invasive tools that often did not previously exist. BolaWrap is typically not a categorical use of force, or if classified as force, and is typically at the lowest level on a department policy, below all other less lethal weapons like pepper spray, pepperball, batons, bean bags, Tasers® and conducted energy weapons.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provide comprehensive training and sales support, we initiated the Wrap “Train the Trainer” program in October 2018. The program is structured such that our Master BolaWrap Instructors educate BolaWrap Instructors at local agencies, who then train front-line officers in compliance with the agency’s policies.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BolaWrap Instructors are typically sworn law enforcement officers, who are commonly department trainers, defensive tactic instructors, or SWAT officers. They undergo a five-hour BolaWrap Instructor certification course, which includes passing a written exam and demonstrating proficiency in deploying and using the BolaWrap. We provide support to the instructors to share lessons learned and best practices for teaching line officers in the use of BolaWrap. Instructor certification is valid for two years and requires renewal afterward. BolaWrap training curriculum is submitted by departments to their Post Officers Standards and Training (POST) for credit for in-service training hours. Most departments who leverage the BolaWrap across all field officers incorporate BolaWrap training into most other training materials and in service training throughout the year. An example would be officers doing an in-service training on Driving under the Influence (DUI) arrests using the BolaWrap during the arrest portion of training on individuals under the influence of alcohol or drugs. If departments are conducting in-service training on responding to those in a mental health crisis, they also need to train and have ongoing practice on deploying BolaWrap on those in crisis and practice taking these individuals safely into protective custody. Another in service training example would be when departments practice warrant service, and during the arrest and apprehension efforts, they leverage BolaWrap after verbal commands breakdown but before they are justified in using pain compliance tools such as pepper spray, pepperball, batons, Tasers or conducted electrical weapons.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schedule and organize training events, registration, and training records, we utilize a cloud-based software system called the Wrap Learning Management System. This system is also home to a Resource Library which we highly encourage distributors and purchasers to use to educate themselves on the use of BolaWrap.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modern world of policing, we understand that it is crucial to provide equipment and services that are well-supported, and that officers receive proper training and procedures to perform their duties effectively and safely. As a result, we have developed a professional team dedicated to training and sales support, as well as the necessary systems to provide this support. This approach not only gives us a competitive edge but also creates a significant barrier to new competition. We are confident that our training and support teams are equipped to assist agencies of all sizes.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world of law enforcement, defense, public safety, and security, our product and training solutions are gaining recognition and worldwide awareness. We have a strong global brand and product foundation that we are continuously expanding to reach new markets and customers, thereby contributing to significant business growth. We are confident that we can capitalize on the growing demand for non-lethal policing in the world, particularly as non-compliant individuals continue to pose a threat. Our training programs and virtual reality platform are also well positioned to grow rapidly in global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commercialization strategy concentrates on the immediately addressable domestic market, comprising more than 18,000 federal, state, and local law enforcement agencies, with approximately 900,000 full-time sworn officers in just the US alone. We also aim to target the 100 largest police forces internationally, which have over 12 million police officers. Our objective is to unlock the full potential of our technology solutions suite, which targets law enforcement and security personnel on a global scale.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maintain financial prudence and deliver value to our stockholders. Our focus will remain on expanding our revenues through pursuing business opportunities both domestically and internationally. In addition to enhancing our current product portfolio, we aim to develop new and improved products, which can be utilized by security personnel and related professionals. We also seek to pursue strategic business initiatives and collaborations, including potential acquisitions, to complement our existing offerings and sales network.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maintaining scalable assembly capabilities is crucial to the performance of our products and the growth of our business. Our assembly processes involve unique systems and materials, and we contract with third-party suppliers to produce various parts, components, and subassemblies. We established initial startup production in Las Vegas in 2018, and in October 2019, we completed a move to and began production at our current facility in Arizona. In this facility, we perform manufacturing, final assembly, testing, and shipping of our products. We have refined our internal processes to improve how we design, test, and qualify products, and we continue to implement rigorous manufacturing and quality processes to track production and field issues. We periodically implement design and component changes to reduce our product costs and improve product reliability and manufacturability. We aim to continually improve our operations to meet the growing demand for our products and better serve our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established strong relationships with our key suppliers, and their timely and reliable delivery is crucial to our ability to meet customer demand. However, we are subject to challenges in our global supply chain, such as component shortages, increased lead times, cost fluctuations, and logistics constraints, which can affect our production schedules and have a negative impact on our financial performance. In late 2022, we started to ensure we have more final product inventory on hand to meet new business needs. To support our continued growth and operational needs, we relocated our manufacturing facility to Virginia, where a larger space will allow us to further enhance our processes and scalability. While we anticipate supply chain challenges to improve in the remainder of 2025, we recognize that future supplier shortages and logistics issues could have a material adverse effect on our operations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backlog of approximately $64 thousand that was delivered in the first quarter of 2025. The amount of backlog at any point in time is dependent upon order timing, scheduled delivery dates to our customers and product lead times. Most orders are shipped shortly after order and backlog is typically associated with larger police agency orders. Because of our history of shipping shortly after order, we do not currently believe backlog at any period end is predictive of future order volume or revenues beyond the reported amount. Distributor and customer orders for future deliveries are generally subject to modification, rescheduling or in some instances, cancellation in the normal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come with a warranty that guarantees their quality and performance for up to one year from the date of purchase. This warranty is generally limited and may include certain shipping costs for the customer. We also offer the option for our customers to purchase additional one-year warranty increments for their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positions the BolaWrap product as a new non-invasive remote restraint solution for law enforcement rather than a replacement for other devices currently in use. When looking at the use of force continuum, we place our solution in a category completely separate from common less lethal solutions that use pain compliance and can cause serious injuries or even death in some circumstances. We believe every law enforcement officer in the world who carries handcuffs should carry a BolaWrap at the same time as BolaWrap is leveraged just prior to handcuffs.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we do compete with other use of force products for budget allocations. The BolaWrap product may also be perceived as an alternative to other solutions despite our valuable and separate positioning. Because we believe the BolaWrap may be used more often than certain other tools given, we expect to stand in a category of our own. Many agencies with the BolaWrap do not consider it a use-of-force tool, which uniquely distinguishes it from every other tool on an officer’s belt. The most common interactions officers have with the public revolve around de-escalating situations. In such scenarios, the BolaWrap stands out as one of the safest de-escalation tool available. Given these factors, we believe the BolaWrap may be used more often than certain other tools, positioning us to be widely recognized as standing in a category of our own.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Indirectly, other use of force devices such as tasers (CEWs), pepper spray, pepperball, batons, and impact weapons may try to compete with the BolaWrap product. However, many law enforcement personnel consider these to be distinct tools, each best-suited to a particular set of higher use of force circumstances. Purchasing one tool does not preclude the purchase of others, but budgetary considerations and space limitations on officer’s belts may limit the number of devices purchased and carried. The BolaWrap’s unique remote restraint use, effectiveness, and low possibility of injury positions it as an effective competitor against all other alternatives. We believe that in time the non-invasive BolaWrap will be prioritized over these other less lethal devices for its ease of use, safety, and high probability of use throughout a given year to officers in the field.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virtual reality training space, there are numerous competitors offering simulators for law enforcement, including established video-based 2D simulators. Furthermore, other virtual reality providers and developers focused on other applications may choose to compete in the law enforcement training market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that some of our competitors have substantially greater resources to devote to compete in the law enforcement market and may introduce products with features and performance competitive to our product. However, we believe that our unique positioning, strong product and technology foundation, and dedicated professional training and sales support team provide a competitive advantage.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believe that the depth and capability of our 3D Virtual Reality (VR) Wrap Reality Capability will prove to be impressive. We have 38 fully formed law enforcement scenarios and 25 corrections and societal reentry scenarios in 3D in addition to the customizability of Wrap Reality Adapt which we believe provides more robust 3D options than our competitors. The largest capitalized competitor in this space currently offers only three 3D scenarios and is selling subscriptions of more than six million dollars a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global company, we are subject to a wide range of domestic, federal, state, and local laws and regulations, as well as international laws and regulations regarding shipments, customs, import, export, safe working conditions, manufacturing practices, environmental protection, and hazardous substances disposal. Compliance with these laws and regulations may entail significant costs, and failure to comply may result in penalties or other enforcement 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BolaWrap products are classified as firearms and AOWs by the ATF, and we hold the necessary licenses to manufacture and deal in such firearms. We believe these devices have been classified as AOW due to the lack of updates to outdated statutes and firearms regulations. We are actively working to improve the legislation and to allow our products to be directly transferred to private security forces and private individuals due to its safe effective capabilities standing alone in the non-invasive non-lethal category.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state and international regulations, which may vary. We comply with shipping regulations for dangerous goods, and our products comply with standard safety requirements in the US and international markets. We follow data protection laws and have a privacy policy in place. We work with distributors and advisors familiar with applicable import regulations in our international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 and Proprietary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policy of protecting our intellectual property assets, which include issued domestic and international patents, pending patents, trademarks, copyrights, trade secrets, and contractual obligations. We enter into confidentiality and nondisclosure agreements with employees, consultants, and third parties to whom we disclose proprietary information. These agreements prohibit disclosure of confidential information both during and after the duration of the working relationship. However, we recognize that such agreements may not always prevent disclosure or provide adequate remedies for any breach. We rely on copyrights, trade secrets, and other proprietary rights to protect the content of our training services, including the Wrap Reality VR training software and content.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strong product offerings that are continually upgraded and enhanced, combined with factors such as innovation, technological expertise, and experienced personnel, will keep us competitive. Therefore, we seek patent and other intellectual property protection on important technological improvements that we make. Before filing for patents, we disclose key features to patent counsel and maintain these features as trade secrets prior to product introduction. However, patent applications may not result in issued patents covering all important claims, and there is a risk that they could be denied in their entirety.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currently have 31 issued US patents related to the BolaWrap technology and five additional US patents pending. In September 2018, we commenced filing our foreign patent applications selectively targeting the members of the European Patent Office (39 countries) and 17 other countries, of which 53 patents have been issued to date. To date we have a total of 84 issued domestic and international patents for our small global company. During 2024 we filed four patent applications, two of which were US filings. We feel the investment in patent protection in the US and abroad strengthens our intellectual property and creates value in Wrap Technologies. The failure to obtain patent protection or the loss of patent protection on our existing and future technologies or the circumvention of our patents by competitors could have a material adverse effect on our ability to compete successfully.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granted trade name protection for “BolaWrap” and “Wrap” in multiple countries and expect to employ a combination of registered and common law trade names, trademarks and service marks in our business. We rely on a variety of intellectual property protections for our products and technologies, including contractual obligations, and we intend to pursue a policy of vigorously enforcing such rights.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 enforcement product and services industries are characterized by frequent litigation regarding patent and other intellectual property rights. Others, including academic institutions and competitors, hold numerous patents in less 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initiatives are led by our internal personnel and make use of specialized consultants when necessary. These initiatives include basic research, mechanical and electrical engineering design and testing. Future development projects will focus on new versions of the BolaWrap technology, virtual reality and new public safety technologies that focus on safe and effective policing, especially in our strategic space that does not use pain compliance.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fiscal years ended December 31, 2024, and 2023, we spent approximately $2.3 million and $3.3 million, respectively, on company-sponsored research and development. This equates to 52% of revenue in 2024 and 53% of revenue in 2023. Future levels of research and development expenditure will vary depending on the timing of further new product development and the availability of funds to carry on new and additional research and development on currently owned technologies or in other areas. During 2025, in addition to continued development and enhancement of our remote restraint products, we expect to incur additional costs improving our training systems including enhancing our Wrap Reality on premise and cloud platforms and related content. As mentioned earlier we believe we are ahead of many in the law enforcement 3D virtual reality training space and have built up significant capability to compete globally in the law enforcement and corrections VR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Royalties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obligated to pay royalties pursuant to an exclusive Amended and Restated Intellectual Property License Agreement (the “License Agreement”), dated as of September 30, 2016, with Syzygy Licensing, LLC (“Syzygy”), a private technology invention, consulting and licensing company owned and controlled by Elwood G. Norris, a founder and former officer and current stockholder of the Company, and James A. Barnes, a former officer and stockholder of the Company. Syzygy has no ongoing operations, and does not engage in any manufacturing, production or other related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License Agreement provides for the payment of royalties of 4% of revenue from products employing the licensed device technology up to the earlier to occur of (i) the payment by the Company of an aggregate of $1.0 million in royalties, or (ii) September 30, 2026. All development and patent costs have been paid by us and patent applications and the technology related to the BolaWrap 100 and the BolaWrap 150 have been completely and solely assigned to the Company, subject to this royalty obligation. As of December 31, 2024, we have incurred the maximum $1.0 million in royalties with $81 thousand included in accounts payable at year-end.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Local and international law enforcement has seasonality with respect to when they purchase and expend funds. Many local law enforcement agencies in the US are on a July 1 to June 30 calendar year resulting in increased spending in the third and fourth quarter of the fiscal year. The US federal government is on an October 1 to September 30 budget year, resulting in use or lose spending that often occurs in in the third quarter of the fiscal year. Some domestic and international budgets are on a calendar fiscal year resulting in the fourth quarter typically being the largest buying quarter of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Customer Concentration and Geographic Areas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regarding customer concentration and geographic areas in which we operate is contained in Note 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employ 19 full-time employees in the U.S. In addition, we engage consultants from time to time to provide additional sales, marketing, training and research and development services, and anticipate engaging consultants going forward to supplement our full- and part-time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commitment to operational excellence and maintaining a favorable employer reputation, we strive to create a work environment that attracts, develops, and retains the best talents in the industry. Our employees are offered an engaging work experience that contributes to their professional growth and career advancement. We acknowledge that the success of our business is dependent on the collective talents and dedication of our employees, and we are committed to investing in their professional growth and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u w:val="single" w:color="auto"/>
          <w:color w:val="auto"/>
        </w:rPr>
        <w:t>www.wrap.com</w:t>
      </w:r>
      <w:r>
        <w:rPr>
          <w:rFonts w:ascii="Times New Roman" w:cs="Times New Roman" w:eastAsia="Times New Roman" w:hAnsi="Times New Roman"/>
          <w:sz w:val="18"/>
          <w:szCs w:val="18"/>
          <w:color w:val="auto"/>
        </w:rPr>
        <w:t xml:space="preserve">. Information contained on our website is not part of this Annual Report. Our SEC filings (including any amendments) are also made available free of charge on </w:t>
      </w:r>
      <w:r>
        <w:rPr>
          <w:rFonts w:ascii="Times New Roman" w:cs="Times New Roman" w:eastAsia="Times New Roman" w:hAnsi="Times New Roman"/>
          <w:sz w:val="18"/>
          <w:szCs w:val="18"/>
          <w:u w:val="single" w:color="auto"/>
          <w:color w:val="auto"/>
        </w:rPr>
        <w:t>www.wrap.com</w:t>
      </w:r>
      <w:r>
        <w:rPr>
          <w:rFonts w:ascii="Times New Roman" w:cs="Times New Roman" w:eastAsia="Times New Roman" w:hAnsi="Times New Roman"/>
          <w:sz w:val="18"/>
          <w:szCs w:val="18"/>
          <w:color w:val="auto"/>
        </w:rPr>
        <w:t>,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expect additional losses and may not achieve or sustain profitability.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history of operating losses and expect to incur additional losses until we achieve sufficient revenue and resulting margins to offset our operating costs. Our net loss for the years ended December 31, 2024, and 2023 was $5.9 million and $30.2 million, respectively. Our decrease in net losses in 2024 was primarily attributable to non-cash other income of approximately $9.6 million related to the change in value of our warrant liability from December 31, 2023 to December 31, 2024, as compared to a non-cash charge of approximately $12.0 million in 2023 related to the change in value as of December 31, 2023 of the same warrant liability initially recorded as part of the Series A Preferred Stock (as defined herein) issuance in July 2023. Additionally, as a result of the Company’s cost containment efforts in 2024, our operating expenses were reduced by $3.6 million in 2024 as compared to 2023. Our ability to achieve future profitability is dependent on a variety of factors, many of which are outside of our control. Failure to achieve profitability or sustain profitability, if achieved, may require us to raise additional capital, which could have a material negative impact on the market value of our Common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have adequate financial resources to fund our operations and capital needs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 sales and services to meet planned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spending levels impacting sales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support business growth;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spending;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accounts receivable;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and services in planned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failure to timely file certain reports required to be filed by Section 13 or 15(d) of the Exchange Act during the preceding 12 months, we are currently ineligible to file a registration statement on Form S-3, which may impair our ability to raise capital on terms favorable to us, in a timely manner or at all.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have a material adverse effect on our results of operations, liquidity, and financial position.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be dependent on sales of our BolaWrap product line for the foreseeable future, and if this product is not widely accepted, our growth prospects will be diminished.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depend on sales of the BolaWrap product line and related cassettes for the foreseeable future. A lack of demand for this product, or its failure to achieve broader market acceptance, would significantly harm our growth prospects, operating results and financial condition. To execute our business plan successfully, we will need to execute on the following objectives, either on our own or with strategic collaborators:</w:t>
      </w:r>
    </w:p>
    <w:p>
      <w:pPr>
        <w:spacing w:after="0" w:line="176" w:lineRule="exact"/>
        <w:rPr>
          <w:sz w:val="20"/>
          <w:szCs w:val="20"/>
          <w:color w:val="auto"/>
        </w:rPr>
      </w:pPr>
    </w:p>
    <w:p>
      <w:pPr>
        <w:jc w:val="center"/>
        <w:ind w:left="5480" w:right="960" w:hanging="5148"/>
        <w:spacing w:after="0" w:line="532" w:lineRule="auto"/>
        <w:tabs>
          <w:tab w:leader="none" w:pos="6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commercialization of the BolaWrap product, and develop additional future products and accessories for commercialization;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required regulatory approvals for our products in global market locations;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as required, enforce our intellectual property portfolio for the BolaWrap product and other future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sales, distribution and marketing capabilities, and/or enter into strategic partnering arrangements to access such capabilities;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market acceptance for the BolaWrap product line and/or other future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commercializing our virtual reality training platform and may be unsuccessful in growing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invest substantial funds in further developing and commercializing our Wrap Reality product line which is highly competitive. The commercial launch of the Wrap Reality Virtual Training product is in the early stages in a new marketplace for 3D Virtual Reality training that competes with a legacy 2D virtual training environment. We expect 2D virtual training companies to either try to buy out companies like ours or choose to have to build 3D Virtual reality to compete with us. As one of the only companies with both on premise 3D Virtual Reality and full cloud 3D Virtual Reality we plan to compete on both fronts; however, our ability to commercialize this 3D Virtual Reality product line may be influenced by many factors, including:</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products and new content;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set up and service new VR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market acceptance;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companies with greater financial, technical, sales, marketing and other resources, and, if we are unable to compete effectively with these competitors, our business could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competition from other established companies. A number of our competitors have longer operating histories, larger customer bases, significantly greater financial, technological, sales, marketing and other resources than we do. As a result, our competitors may be able to respond more quickly than we can to new or changing opportunities, technologies, standards or client requirements, more quickly develop new products or devote greater resources to the promotion and sale of their products and services than we can. Likewise, their greater capabilities in these areas may enable them to better withstand periodic downturns in the global public safety industry and compete more effectively on the basis of price and production. In addition, new companies may enter the markets in which we compete, further increasing competition in the global public safety solutions industry.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ability to compete successfully depends on a number of factors, including the type and quality of our products and the strength of our brand names, as well as many factors beyond our control. We may not be able to compete successfully against current or future competitors, and increased competition may result in price reductions, reduced profit margins, loss of market share and an inability to generate cash flows that are sufficient to maintain or expand the development and marketing of new products, any of which would adversely impact our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materially dependent on the acceptance of our product by the law enforcement market. If law enforcement agencies do not purchase our product or we do not meet their expectations, our revenue will be adversely affected and we may not be able to expand into other markets, or otherwise continue as a going concern.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number of law enforcement agencies may not purchase our remote restraint product. In addition, if our product is not widely accepted by the law enforcement market or we do not meet their expectations, we may not be able to expand sales of our product into other markets. Law enforcement agencies may be influenced by claims or perceptions that our product is not effective or may be used in an abusive manner. Our reputation could be damaged if we do not meet customer expectations for performance, value and quality. Sales of our product to agencies may be delayed or limited by such claims or perceptions or to any negative publicity or damage to our reputation. We now receive earned media that is often positive and helps our sales and growth and having negative earned media will create the opposite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may be positively or negatively impacted by continued social unrest, protests against racial inequality, and movements like “Defund the Police.”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may be positively or negatively impacted by continued social unrest, protests against racial inequality, and movements like “Defund the Police.” Such unrest may be further fueled by misleading information or negative publicity about our solutions. We believe our solutions are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revenues, earnings, and cash flows from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and unpredictable warranty costs as our products are produced, sold, and used.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warrant our products to be free from defects in materials and workmanship for a period of up to one year from the date of purchase. Additional one-year warranties can be purchased by the customer. We may incur substantial and unpredictable warranty costs from post-production product or component failures. Future warranty costs could further adversely affect our financial position, results of operations and business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charges for excess or obsolete inventory and incur production costs for improvements or model changes.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could be harmed by factors including natural disasters, fluctuations in currency exchange rates, and changes in regulations that govern international transactions.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products worldwide and have exported to multiple countries. We expect exports to continue to be a significant part of our future business. The risks inherent in international trade may reduce our international sales or impede growth and harm our business and the businesses of our customers and our suppliers. These risks include, among other things:</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local distributors, agents and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shipping times and accounts receivable payment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control and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US laws, ATF regulations, US Department of Commerce regulations and the Foreign Corrupt Practices Act, by us or key subcontractors or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foreign laws and regulations, including unexpected changes in taxation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safeguarding intellectual property abroad than in the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geographically diverse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risks may preclude or curtail international sales or increase the relative price of our products compared to those manufactured in other countries, reducing the demand for our products. Failure to comply with US and international governmental laws and regulations applicable to international business, such as the Foreign Corrupt Practices Act or US export control regulations, could have an adverse impact on our business with the US and international governments.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weakness and uncertainty, geopolitical conflict, war, and civil unrest, could adversely affect our revenues, gross margins and expenses.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may be impacted by global economic conditions, which have been volatile in recent years. Geopolitical conflict and related international economic sanctions and their impact may exacerbate this volatility. Specifically, our revenues and gross margins depend significantly on global economic conditions and the demand by foreign governments and agencies for the BolaWrap and Wrap Reality in many of our target markets. Economic weakness and uncertainty in these markets have resulted, and may result in the future, in decreased revenue attributable to these markets, gross margin, earnings or growth rates, and difficulty managing inventory levels. Sustained uncertainty about global economic conditions and geopolitical events may adversely affect demand for the BolaWrap and could cause demand to differ materially from our expectations as foreign governments and agencies curtail or delay spending. Economic weakness and uncertainty also make it more difficult for us to make accurate forecasts of revenues, gross margins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could adversely affect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future pandemics, epidemics or infectious disease outbreaks. The extent to which future pandemics will in the future impact our financial conditions and results of operations, or those of our third-party suppliers, will depend on future developments, which are highly uncertain and cannot be predicted with confidence at this time, including the continued duration of the outbreak in the markets we target.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our employees are located in the US. In addition to our employees, we rely on (i) distributors, agents, and third-party logistics providers in connection with product sales and distribution and (ii) raw material and component suppliers in the US, Canada, Europe and Asia. If we, or any of these third-party partners encounter any disruptions to our or their respective operations or facilities, or if we or any of these third-party partners were to shut down for any reason, including by pandemic, fire, natural disaster, such as a hurricane, tornado or severe storm, power outage, systems failure, labor dispute, or other unforeseen disruption, then we or they may be prevented or delayed from effectively operating our or their business, respectively. Any losses or damages we incur could have a material adverse effect on our financial results and our ability to conduct business as expected.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a significant portion of our revenue in the short-term will be generated from international sales, which may adversely affect our ability to timely collect accounts receivable.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generated approximately 2% of our revenue from international sales. Due principally to the longer sales cycle, procurement delays and regulatory issues associated with domestic sales versus international sales, we currently anticipate that a significant portion of our sales in the year ending December 31, 2025, will be generated from international orders. In the event we are unable to timely collect account receivables associated with international sales, or timing of such international sales is delayed, our financial condition could be adversely and materially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projected growth, our growth prospects may be limited, and our future profitability may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continue to expand our sales and marketing and our manufacturing capability. Rapid expansion may strain our staffing, financial and other resources. If we are unable to manage our growth, our business, operating results, and financial condition could be adversely affected. Our systems, procedures, controls, and management resources may not be adequate to support our future growing operations, and we have started to upgrade them and will continue to do so in 2025. We are working to continually improve our operational, financial, and other internal systems to manage our growth effectively, and any failure to do so may lead to inefficiencies and redundancies, and result in reduced growth prospects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personal injury and other liability claims that harm our reputation and adversely affect our sales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is intended to be used in confrontations to de-escalate the situation and reduce the chance for injury to officers and the subjects that they interact with. There is always a chance that use could result in injury to those involved. Our product may cause or be associated with such injuries. A person injured in a confrontation or otherwise in connection with the use of our product may bring legal action against us to recover damages based on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nature of our business may result in undesirable press coverage or other negative publicity.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solutions are used to assist law enforcement and first responders in volatile encounters. Even when our device works as intended, incidents can lead to injury, loss of life and other negative outcomes, and such events are likely to receive negative publicity even if not directly caused by BolaWrap. If our product fails to help de-escalate an encounter, related adverse outcomes may receive negative media attention. At times, body or dash camera images or other images of use of our product may become a matter of public record due to legal or other obligations (for example, because of public-records requests or subpoenas to provide information or to testify in court), and we may receive negative media attention as a result.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criticism and unflattering media coverage regarding the effectiveness of our remote restraint solutions and the cost of our solutions to our customers, or the appropriateness of use on persons in crisis or the mentally ill. Such negative publicity could have an adverse impact on new sales, which would adversely impact our financial results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dependent on our ability to expand sales, and our inability to grow our sales force or maintain and grow distributors would negatively affect our sales.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distribution strategy is to pursue sales through multiple channels with an emphasis on direct sales, as well as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provide high quality big free products and solutions, meet the requirements of any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for a large portion of our sales also makes it more difficult to predict our revenue, cash flow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expend significant resources to generate sales due to our lengthy sales cycle, and such efforts may not result in the level of sales or revenue we expect.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law enforcement agencies consider a wide range of issues before committing to purchase a product, including product benefits, training time and costs, the cost to use our product in addition to, or in place of, other less lethal products, time in market,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intended end-users are subject to budgetary and political constraints that may delay or prevent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intended end-user customers are government agencies at all levels. These agencies often do not set their own budgets and therefore have little control over the amount of money they can spend. In addition, these agencies experience political pressure that may dictate the way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third-party suppliers for key components of our products makes us vulnerable to price increases, inflation, recession, and supply shortages that could delay shipment of our products and reduce our sales or margins.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certain domestic and foreign suppliers for the delivery of components used in the assembly of our product. During the year ended December 31, 2024, approximately 70% of our supply chain was from domestic US suppliers. Our reliance on third-party suppliers creates risks related to our potential inability to obtain an adequate supply of components or sub-assemblies and reduced control over pricing and timing of delivery of components and subassemblies. Specifically, we depend on suppliers of sub-assemblies, electronic components, injection molded plastic parts, and other miscellaneous custom parts for our product, some from sole source suppliers. We are still subject to the risk of shortages and long lead times in the supply of these components and the risk that our suppliers discontinue or modify components used in our products. In addition, the lead times associated with certain components are lengthy and preclude rapid changes in quantities or changes for bugs or enhancements. Delays in our suppliers’ abilities, especially any sole suppliers, to provide us with necessary materials and components may delay production or may require us to seek alternative supply sources. Any delay in receiving supplies could impair our ability to deliver products to our customers and, accordingly, could have a material adverse effect on our business, results of operations and financial condition.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recently experienced, and in the future are likely to experience, disruption of the supply of some of our parts, components, and assemblies that we obtain from suppliers. Additionally, we do not have any long-term supply agreements with any suppliers. We actively monitor and attempt to mitigate supply chain risk, but there can be no assurance that our mitigation plans will be effective to prevent disruptions that may arise from shortages of materials that we use in the production of our products. Any interruption of supply for any material components of our products could significantly delay production and shipment of our products and have a material adverse effect on our revenue, profitability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economic conditions may negatively impact our business, financial condition and share price.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Concerns over inflation, geopolitical issues, the U.S. financial markets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and future service providers, manufacturers, suppliers, hospitals and other medical facilities, our third-party payors, and other partners could be negatively affected by difficult economic times, which could adversely affect our ability to attain our operating goals on schedule and on budget or meet our business and financial objectives.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acquisitions in the future, and we may not be able to realize revenue enhancements or other synergies from such acquisitions.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2022, we acquired the rights to certain software assets and services to drive the rapid enhancement of our Wrap Reality Cloud platform, in August 2023 we acquired Intrensic which included a Body-Worn Camera and Digital Evidence Management solution and in February 2025, we acquired W1 Global, LLC (“W1 Global”), a professional services and consulting firm led by an executive team of former high-ranking law enforcement and U.S. Intelligence Community professionals. However, our ability to successfully implement our business plan and achieve targeted financial results and other benefits including, among other things, greater market presence and development, and enhancements to our product portfolio and customer base, is dependent on our ability to successfully identify, consummate and integrate acquisitions we may acquire in the future. We may not realize the intended benefits of the acquisition of other businesses in the future as rapidly as, or to the extent, anticipated by our management. There can be no assurance that we will be able to successfully integrate any other acquired businesses, products or technologies without substantial expense, delay or other operational or financial problems. Acquisitions involve several risks, some or all of which could have a material adverse effect on our acquired businesses, products or technologies. Furthermore, there can be no assurance that any acquired business, product, or technology will be profitable or achieve anticipated revenues and income. Our failure to manage our acquisition and integration strategy successfully could have a material adverse effect on our business, results of operations and financial condition. The process of integrating an acquired business involves risks, including but not limited to:</w:t>
      </w:r>
    </w:p>
    <w:p>
      <w:pPr>
        <w:spacing w:after="0" w:line="190"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on management related to changes in the size and possible locations of our businesses and employees;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management of daily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different corporate cultures, employees and business practices;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the loyalty and business of the employees or customers of acquired businesses;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employees that may be vital to the integration of acquired businesses or to the future prospects of the combined businesses;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unanticipated expense related to the integration of departments, information technology systems, including accounting systems, technologies, books and records, and procedures, and maintaining uniform standards, such as internal accounting controls, procedures, and policies;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 associated with any undisclosed or potential liabilities;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more cash or other financial resources on integration and implementation activities than we expect.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Failure to successfully integrate any acquired business in the future may result in reduced levels of revenue, earnings, or operating efficiency than might have been achieved if we had not acquired such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acquisition of any future businesses could result in additional debt and related interest expense, contingent liabilities, and amortization expense related to intangible assets, as well as the issuance of our Common Stock, which could have a material adverse effect on our financial condition, operating results, and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our products may adversely affect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BolaWrap device is classified as a firearm and the BolaWrap 150 is also classified as an “Any other Weapon” (“AOW”). Both firearms and explosive devices are regulated by the US Bureau of Alcohol, Tobacco, Firearms and Explosives (“ATF”) involving substantial regulatory compliance. ATF regulations are enforced by surveillance and inspection of federal firearms licensees (“FFLs”). If ATF finds a violation, it can institute a wide range of enforcement actions, ranging from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firearms laws impose strict controls over the possession and transfers of firearms, which may impact our ability to transfer devices to customers. Because ATF has classified our devices as AOWs, we must register our devices with the ATF at the time of manufacture. Before we may transfer our registered devices to any customer, including a government agency, we must obtain approval from the ATF. The ATF processing time for transfer applications varies significantly, depending on the prospective transferee. Applications to transfer AOWs to U.S., state or local government entities are usually processed in 1-3 weeks, while transfers to private, non-licensed individuals require a longer processing time because of the required background investigation of the transferee. These types of transfers may take 6-8 months or longer.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firearms laws prohibit interstate transfers of firearms to non-licensed persons or entities. Consequently, we are prohibited from transferring our devices directly to a non-government, non-licensed individual or entity in a different state. To accomplish such a transfer, we must first obtain ATF approval to transfer the device to another FFL dealer in the end-user’s state. After that transfer is completed, the FFL dealer must obtain ATF approval to transfer the device to the non-government, non-licensed individual. The ATF may deny any transfer application if such transfer would violate state law or when the transferee is prohibited from possessing a firearm.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device may face state restrictions, especially regarding sales to private security agencies. Our product sales may be significantly affected by international, federal, state and local regulations. Failure to comply with regulations could also result in the imposition of fines, penalties and other actions that could adversely impact our financial position, cash flows and operating results.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is also controlled by the US Department of Commerce (“DOC”) for exports directly from the US. Consequently, we need to obtain export licenses from the DOC for the export of our products from the US. Compliance with or future changes in US export regulations could significantly and adversely affect any future international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shipment of some of our components and our products involve conformity to regulations governing the transport of “dangerous goods.” Failure to comply with shipping regulations could result in the imposition of fines, penalties and other actions that could adversely impact our financial position, cash flows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foreign jurisdictions may restrict the importation or sale of our products, limiting our international sales opportunities.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including the BolaWrap 100 and BolaWrap 150, are protected by limited patent and other intellectual property protection. If we are unable to protect our intellectual property, we may lose a competitive advantage or incur substantial litigation costs to protect our rights.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upon our proprietary technology. We currently have 31 issued US patents related to the BolaWrap technology and five additional US patents pending. We have filed foreign patent applications in the European Union (up to 39 countries) and 17 other countries and reserved our rights to file additional foreign patents. Our protective measures taken thus far, including our issued patents, pending patents, issued and pending trademarks and trade secret laws, may prove inadequate to protect our proprietary rights. To date we have a total of 84 issued domestic and international patents. During 2024, we filed four patent applications, two of which were US filings. We feel the significant investment in patent protection in the US and abroad creates a significant amount of IP and value in Wrap Technologies. However,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may be seriously damaged if our products are found to infringe on the intellectual property rights of others.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if we are unable to license the allegedly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8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or using products or services that incorporate the challenged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 which license may not be available on reasonable terms, if at all;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products or services that incorporate the disputed technology.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forced to take any of the foregoing actions, we could face substantial costs and shipment delays and our business could be materially harmed. Although we carry general liability insurance, our insurance may not cover potential claims of this type or be adequate to indemnify us for all liability that may be imposed.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it is possible that others may seek indemnity from us if our products are found or alleged to infringe the intellectual property rights of others.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claim for indemnity could result in substantial expense to us that could harm our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law enforcement market could reduce our sales, make our products obsolete or inferior and prevent us from achieving profitability.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law enforcement market is highly competitive, and adoption of new policing tools and innovative training solutions may take time, Law enforcement adherence to currently used products may also slow adaptation to new policing tools. We face competition from numerous larger, better capitalized, more experienced and more widely known companies that make less-lethal weapons and other law enforcement products. One or more of our competitors may have developed or may succeed in developing technologies and products that are more effective than any of ours, rendering our technology and products obsolete or noncompetitive. Increased competition could result in reduced sales, greater pricing pressure, lower gross margins, and prevent us from achieving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 may reduce our competitiveness and sales in international markets.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change in currency values creates fluctuations in product pricing for future potential international customers. These changes in international end-user costs may result in lost orders and reduce the competitiveness of our products in certain international markets. These changes may also negatively affect the financial condition of some international customers and reduce or eliminate their future orders of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ability to attract and retain key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dependent on our ability to retain and motivate our high-quality personnel, especially managers, sales and skilled engineering and manufacturing personnel. Competition for such personnel is intense, and we may not be able to attract, assimilate or retain other highly qualified managerial, sales and technical personnel in the future. The inability to attract and retain the necessary managerial, sales and technical personnel could cause our business, operating results or financial condition to suffer.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failure in or breach of our or our operational or security systems or infrastructure, or those of third parties with which we do business, including as a result of cyberattacks, could disrupt our businesses, result in the disclosure or misuse of confidential or proprietary information, damage our reputation, increase our costs and cause losses.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security risks have significantly increased in recent years in part because of the proliferation of new technologies, the use of the Internet and telecommunications technologies to conduct operations, and the increased sophistication and activities of organized crime, hackers, terrorists and other external parties, including foreign state actors. Our operations and certain of our products rely on the secure processing, transmission and storage of confidential, proprietary and other information in our computer systems and networks. We rely on our digital technologies, computer and email systems, software, and networks to conduct our operations. Our technologies, systems, networks are likely to be the target of, cyberattacks, computer viruses, malicious code, phishing attacks or information security breaches that could result in the unauthorized release, gathering, monitoring, misuse, loss or destruction of our or our customers’ confidential, proprietary and other information, or otherwise disrupt our or our customers’ or other third parties’ business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suffer material losses relating to cyberattacks or other information security breaches. Our risk and exposure to these matters remain heightened because of, among other things, the evolving nature of these threats, the continued uncertain global economic environment, threats of cyberterrorism, and system and customer account conversions. As a result, cybersecurity and the continued development and enhancement of our controls, processes and practices designed to protect our systems, computers, software, data and networks from attack, damage or unauthorized access remain a priority for us. As cyber threats continue to evolve, we may be required to expend significant additional financial, technical and operational resources to continue to modify or enhance our protective measures or to investigate and remediate any information security vulnerabilities.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also face the risk of operational failure, termination or capacity constraints of any of the third parties with which we do business or that facilitate our and our subsidiaries’ business activities. Any such failure, termination or constraint could adversely affect our and our subsidiaries’ ability to provide our services and products, service the customers, manage the exposure to risk or expand our businesses and could have an adverse impact on our liquidity,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Disruptions or failures in the physical infrastructure or operating systems that support our business, or cyberattacks could result in the loss of business opportunities, significant disruptions to our operations and business, misappropriation of our confidential information and/or that of our customers, or damage to our computers or systems and those of our customers and/or counterparties, and could result in violations of applicable privacy laws and other laws, litigation exposure, regulatory fines, penalties or intervention, loss of confidence in our security measures, reputational damage, reimbursement or other compensatory costs, and additional compliance costs.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for artificial intelligence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incorporate AI solutions into our Body Worn Camera and Digital Evidence Management solutions, services, and features, and these applications are important in our operations.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existing legal regimes (e.g., relating to data privacy) regulate certain aspects of AI technologies, and new laws regulating AI technologies recently entered into force in the United States and Europe. In the United States, former Biden administration issued a broad Executive Order on the Safe, Secure and Trustworthy Development and Use of Artificial Intelligence (the “2023 AI Order”), which sets out principles intended to guide AI design and deployment for the public and private sectors and signals the increase in governmental involvement and regulation over AI technologies. This executive order was revoked by President Trump on January 23, 2025. Subsequently, on January 23, 2025, the President issued Executive Order ion Removing Barriers to American Leadership in Artificial Intelligence, which directed relevant agencies to develop an action plan to assure global dominance by the United States in artificial intelligence, and to examine any actions taken in connection with the 2023 AI Order, which are incongruent with Trump’s order.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agencies such as the Department of Commerce and the FTC have issued proposed rules governing the use and development of AI technologies. Legislation related to AI technologies has also been introduced at the federal level and is advancing at the state level. Such additional regulations may impact our ability to develop, use, and commercialize AI technologies offered by our service providers and within our products and services in the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21, 2024, the European Union legislators approved the EU Artificial Intelligence Act (the “EU AI Act”), which establishes a comprehensive, risk-based governance framework for artificial intelligence in the EU market. The EU AI Act entered into force on August 2, 2024, and the majority of the substantive requirements will apply from August 2, 2026. The EU AI Act, and developing interpretation and application of the GDPR in respect of automated decision making, together with developing guidance and/or decisions in this area, may affect our use of AI technologies and our ability to provide, improve or commercialize our business,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are currently under development and there is uncertainty and ongoing litigation in different jurisdictions as to the degree and extent of protection warranted for AI and relevant system input and outputs. If we fail to obtain protection for our intellectual property rights within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Financial Statements and Operating Results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expect that the BolaWrap product will be the primary source of our revenue in 2025. We expect our revenue to vary significantly due to several factors. Many of these factors are beyond our control. Any one or more of these factors, including those listed below, could cause us to fail to achieve our revenue expectations. These factors include, among others:</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ship and supply product to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changes in demand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of significant customers, distributors, or strategic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volume and timing of customer orders;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pricing, and timeliness of delivery of components in our supply chain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availability of manufacturing capacity or manufacturing yields and related manufacturing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technological advances, product announcements or introductions by us and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warranty costs associated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cycles and order delays by customers or production delays by us or our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the marketability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challenges of obtaining supplies and components and shipping products resulting from the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that could affect the timing of customer orders and capital spending and result in order cancellations or rescheduling;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conditions in this country and in various other parts of the world that could affect spending for the products that we intend to offer;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purchasing timeframes and procurement delays impact sales.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expenses may vary from period to period, which could affect quarterly results and our stock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incur additional expenses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our research and development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of maintaining or protecting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efforts to promote our products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personnel and consultant hiring;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inventory cost variations.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operating expenses are relatively fixed in the short term. We may be unable to rapidly adjust spending to compensate for any unexpected sales shortfalls, which could harm our quarterly operating results and our stock price. We do not have the ability to predict future operating results with any 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Series A Preferred Stock</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Certificate of Designations for the Series A Convertible Preferred Stock provides for dividends to be issued in the form of shares of Common Stock at a conversion price that varies with the trading price of our Common Stock, and it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ratchet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anti-dilution provisions applicable to the dividend conversion price and the conversion price for voluntary conversions of Series A Convertible Preferred Stock into Common Stock. These features may result in a greater number of shares of Common Stock being issued upon conversions than if the conversions were effected at the conversion price in effect at the time of this offering. Sales of these shares will dilute the interests of other security holders and may depress the price of our Common Stock and make it difficult for us to raise additional capital.</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Certificate of Designations (the “Certificate of Designations”) for our Series A Convertible Preferred Stock (“Series A Preferred Stock”) provides for the payment of dividends to the holder of our Series A Preferred Stock in cash or shares of Common Stock, or a combination thereof, at the Company’s option. If the Company elects to pay any dividends in shares of Common Stock, the Conversion Price (as defined herein) used to calculate the number of shares issuable will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subject to a floor price. The Certificate of Designations also contains “full ratchet” anti-dilution provisions applicable to the conversion prices used in voluntary conversions of Series A Preferred Stock by the holders thereof and by the Company in paying any dividends in shares of Common Stock, which provisions require the lowering of the applicable conversion price, as then in effect, to the purchase price of equity or equity-linked securities issued in subsequent offerings. If in the future, while any of our Series A Preferred Stock is outstanding, we issue securities at an effective Common Stock purchase price that is less than the applicable conversion price of our Series A Preferred Stock, as then in effect, we will be required, subject to certain limitations and adjustments as provided in the Certificate of Designations for the Preferred Stock, to further reduce the relevant conversion price, which will result in a greater number of shares of Common Stock being issuable upon conversion of the Preferred Stock or upon the payment of dividends to the holders of the Preferred Stock in shares of Common Stock, which in turn will have a greater dilutive effect on our stockholders. The potential for such additional issuances may depress the price of our Common Stock regardless of our business performance. We may find it more difficult to raise additional equity capital while any of our Preferred Stock is outstanding.</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it is possible that we will not have a sufficient number of available shares to satisfy the conversion of the Preferred Stock or the payment of dividends to the holders of the Preferred Stock in shares of Common Stock if we enter into a future transaction that reduces the applicable conversion price. If we do not have a sufficient number of available shares for any Preferred Stock conversions, we will be required to increase our authorized shares, which may not be possible and will be time consuming and expensive.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A Preferred Stock provides for the payment of dividends in cash or in shares of our Common Stock, or a combination thereof, and we may not be permitted to pay such dividends in cash, which will require us to have shares of Common Stock available to pay the dividends.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share of the Series A Preferred Stock is entitled to receive cumulative dividends at the rate per share of 8% per annum of the stated value per share. The dividends are payable in cash, out of any funds legally available for such purpose, or shares of Common Stock, or a combination thereof, at the Company’s option. The conversion price used to calculate the number of shares of Common Stock issuable in connection with a given dividend payment is subject to reduction if in the future we issue securities for less than the conversion price of our Series A Preferred Stock, as then in effect. This may have the effect of increasing the number of shares we would be obligated to issue in order to make a dividend payment in shares of Series A Common Stock. We will not be permitted to pay the dividend in cash unless we are legally permitted to do so under Delaware law. As such, we may rely on having available shares of Common Stock to pay such dividends, which will result in dilution to our stockholders. If we do not have such available shares, we may not be able to satisfy our dividend obligations.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capital by offering shares of our common stock because we do not currently have enough authorized shares available for such a transaction.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as amended (the “Charter”) we currently have only 48,762 authorized and unissued shares of common stock that would be available for offering in a capital-raising transaction. This number of shares would not be sufficient for raising a significant amount of capital by means of an offering of shares. In order to increase the number of authorized shares of common stock, our Charter would need to be amended, which may only be done by the vote of our stockholders. Calling a meeting of our stockholders involves a significant amount of time and expense and, in any event, should such a meeting be called for the purpose of increasing the number of authorized shares of common stock, there can be no assurance that our stockholders would vote in favor of such a proposal. The fact that we do not currently have enough authorized shares available for a capital-raising transaction may make us dependent on alternative means of raising capital in order to continue our operations, and there can be no assurance that such alternative means may be available to us on acceptable terms or at all.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is volatile and may continue to be volatile or may decline regardless of our operating performance, resulting in substantial losses for investors.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to date and in the future may fluctuate significantly in response to numerous factors, many of which are beyond our control, including the factors listed below and other factors described in this “Risk Factors” section:</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changes by any securities analysts who follow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federal funding to support local law enforcement efforts, or local budgets;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budget changes or changeover in government leadership;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of significant technical innovations,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security product companies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 or acquisition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 and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founders, executive officers, directors and significant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US and abroad;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 Stock prices of nanocap securities and small cap securities have fluctuated even more than medium and large cap companies in recent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in the future may be, subject to securities litigation, which has and may be expensive and has and could divert management attention.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 price is volatile, and in the past companies that have experienced volatility in the market price of their stock have been subject to securities class action litigation.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Lawsuits of this nature divert financial and management resources that would otherwise be used to benefit our operations and defending such lawsuits may result in substantial costs. 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be the target of securities-related litigation in the future. Such litigation may divert our management’s attention and resources, result in substantial costs, and have an adverse effect on our business, results of operations and financial condition. We maintain director and officer insurance that we regard as reasonably adequate to protect us from potential claims; however, we cannot assure you that it will. Further, if we are subject to future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and directors are among our largest stockholders and may have certain personal interests that may affect the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and certain directors owned more than 10% of our Common Stock as of December 31, 2024. As a result, our management and certain directors, acting individually or as a group, has the potential ability to exert influence on the outcome of issues requiring approval by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may adversely affect the market price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the Nasdaq Stock Market.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Nasdaq’s continued listing standards for our Common Stock require, among other things, that we maintain a closing bid price for our Common Stock of at least $1.00, we maintain (A) stockholders’ equity of $2.5 million; (B) market value of listed securities of $35 million; or (C) net income from continuing operations of $500,000 in the most recently completed fiscal year or in two of the last three most recently completed fiscal years, and timely file all required reports with the SEC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no assurance that we will maintain compliance with such minimum listing requirements. If our Common Stock were delisted from Nasdaq, trading of our Common Stock would most likely take place on an over-the-counter market established for unlisted securities, such as the OTCQB or the Pink Market maintained by OTC Markets Group Inc.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In addition, as a delisted security, our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employees and to raise capital.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in the future. The issuance of additional shares of Common Stock may reduce the value of your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shares of Common Stock issuable upon the exercise of any future options or warrants and vesting of restricted stock units may lower the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outstanding options and unvested stock units of 4.9 million shares of our Common Stock. The issuance of shares of Common Stock issuable upon the exercise of options or issuance from restricted stock units or the exercise of warrants that may be outstanding in the future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in the future, and the terms of the preferred stock may reduce the value of your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authorized to issue up to 5.0 million shares of preferred stock in one or more series, in which 10,000 shares have been designated as Series A Preferred Stock. Our Board of Directors may determine the terms of future preferred stock offerings without further action by our stockholders. If we issue additional shares of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substantial costs as a result of being a public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levels of legal, accounting, insurance, exchange listing fees and other expenses that we did not incur as a private company. We are subject to the reporting requirements of the Exchange Act, the Sarbanes-Oxley Act, the Dodd-Frank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increased competition due to this insight, including by key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payment of dividends will be at the discretion of our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 In addition, so long as any shares of Series A Preferred Stock are outstanding, as they are at this time, we are not able to declare or pay any cash dividend or distribution on any of our capital stock (other than as required by the Certificate of Designations) without the prior written consent of the Required Holders (as defined in the Certificate of Designations).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acts of fraud.</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disclosure controls and procedures are designed to reasonably assure that information required to be disclosed in reports filed or submitted under the Securities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effective system of internal control over financial reporting could harm stockholder and business confidence in our financial reporting, our ability to obtain financing and other aspects of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Maintaining an effective system of internal control over financial reporting is necessary for us to provide reliable financial reports. Section 404 of the Sarbanes-Oxley Act of 2002 (“Sarbanes-Oxley Act”) and the related rules and regulations promulgated by the SEC require us to include in our Annual Report on Form 10-K a report by management regarding the effectiveness of our internal control over financial reporting. The report includes, among other things, an assessment of the effectiveness of our internal control over financial reporting as of the end of the respective fiscal year, including a statement as to whether or not our internal control over financial reporting is effective. This assessment must include disclosure of any material weaknesses in our internal control over financial reporting identified by management. While our management has concluded that our internal control over financial reporting was effective as of December 31, 2024, it is possible that material weaknesses will be identified in the future. In addition, components of our internal control over financial reporting may require improvement from time to time. If management is unable to assert that our internal control over financial reporting is effective in any future period, investors may lose confidence in the accuracy and completeness of our financial reports, which could have an adverse effect on the Company’s stock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comprehensive process for identifying, assessing, and managing material risks from cybersecurity threats (as such term is defined in Item 106(a) of Regulation S-K) as part of our broader risk management system and processes. The cybersecurity risk management system involves risk assessments, implementation of security measures, and ongoing monitoring of systems and networks, including networks on which we rely. We actively monitor the current threat landscape in an effort to identify material risks arising from new and evolving cybersecurity threats. We obtain input, as appropriate, for our cybersecurity risk management program on the security industry and threat trends from consultants, cybersecurity assessors, auditors and other third parties to gather certain insights designed to identify and assess material cybersecurity threat risks, their severity and potential mitigations. We depend on and engage various third parties, including suppliers, vendors, and service providers. Our risk management, legal, information technology, and compliance personnel identify and oversee risks from cybersecurity threats associated with our use of such entities. Any incident assessed as potentially being or potentially becoming material is immediately escalated for further assessment, and then reported to Mr. Srinivasan, our designated member of our Board of Directors.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Srinivasan has oversight responsibility for risks and incidents relating to cybersecurity threats, including compliance with disclosure requirements, cooperation with law enforcement, and related effects on financial and other risks, and report any findings and recommendations, as appropriate, to the full Board of Directors for consideration. Senior management regularly discusses cyber risks and trends and, should they arise, any material incidents with the designated member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but we cannot provide assurance that they will not be materially affected in the future by such risks or any future material incidents. Further, a cyber incident impacting our systems or a third-party’s systems could subject us to business, regulatory, litigation and reputational risk, which could have a negative effect on our business, results of operations and financial condition. For more information on our cybersecurity related risks, see Item 1A Risk Factors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we commenced a lease in an office building located at 3480 Main Highway, Coconut Grove, Florida, which currently serves as our Company’s headquarters. The lease of 4,487 square feet for an initial term of 89 months, including five months of rent abatement in the first two years of the lease. The aggregate monthly payments will restart in 2024 for $39,635 per month, increasing 3% each year through the lease term, plus other certain costs and charges as specified in the lease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assembly, and warehouse facilities are located at 1817 West 4th Street, Tempe, Arizona. The lease of 11,256 square feet commenced in June 2019 and was for an initial lease term through July 2022. In January 2022 we renewed this lease for three years with aggregate monthly payments of $9,905 commencing August 2022, increasing 4% annually through the term ending July 31, 2025. In 2025, our assembly, and warehouse facilities will be moved to our new facility in Norton, VA (see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October 2017, we commenced reimbursing former officer, stockholder and consultant, Mr. Elwood Norris, $1,500 per month on a month-to-month basis for laboratory facility costs. The Company terminated this agreement in February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2025, we signed a lease that will commence in October 2025, or upon the completion of the premises, whichever happens later, for a manufacturing facility located at Pad 1A of the technology park at the intersection of US 23 and US 58 Alternate in Norton, Virginia. The lease of the 20,000 square foot facility has an initial term of five years with the option to renew for an additional two-years, subject to adjustments based on the Consumer Price Index. Monthly lease payments will be $10,000, calculated at $6 per gross square foot per year. Following two years of occupancy from the start of the lease, we may terminate the lease without penalty by providing sixty-days written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On December 31, 2024, we had no provision for liability under existing litigation.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“WRAP”.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there were 50,494,701 shares of Common Stock outstanding and approximately 39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The decision to pay dividends is at the discretion of our board of directors and depends upon our financial condition, results of operations, capital requirements, and other factors that our board of directors deems relevant. In addition, so long as any shares of Series A Preferred Stock are outstanding, as they are at this time, we are not able to declare or pay any cash dividend or distribution on any of our capital stock (other than as required by the Certificate of Designations) without the prior written consent of the Required Holders (as defined in the Certificate of Designations).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unregistered securities were issued during the fiscal year ended December 31, 2024, that were not previously reported in a Quarterly Report on Form 10-Q or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discussion and analysis set forth below should be read in conjunction with the information presented in other sections of this Annual Report,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following discussion may contain forward-looking statements that reflect our plans, estimates and beliefs.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for modern society. We began sales of our first public safety product, the BolaWrap 100 remote restraint device, in late 2018. In late 2020 we added a new solution to our public safety technologies, which is our virtual reality (“VR”) training platform, Wrap Reality. Wrap Reality is now sold to law enforcement agencies for simulation training as well as corrections departments for the societal reentry scenarios. In the first quarter of 2022 we delivered a new generation product, the BolaWrap 150. The BolaWrap 150 is electronically deployed and is more robust, smaller, lighter and simpler to deploy than the BolaWrap 100 that has been phased out.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a hand-held remote restraint device that discharges a seven and half-foot Kevlar tether to entangle an individual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10-25 feet. BolaWrap assists law enforcement to safely and effectively control encounters early without resorting to painful force options.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a law enforcement 3D training system employing immersive computer graphics VR with proprietary software-enabled content. It allows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two participants to enter a simulated training environment simultaneously, and customized weapons controllers enable trainees to engage in strategic decision making along the force continuum. Wrap Reality has 43 scenarios for law enforcement and corrections and 15 scenarios for societal reentry. Wrap Reality is one of the most robust 3D Virtual Reality solutions on the market for law enforcement and societal reentry today.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Wrap Intrensic </w:t>
      </w:r>
      <w:r>
        <w:rPr>
          <w:rFonts w:ascii="Times New Roman" w:cs="Times New Roman" w:eastAsia="Times New Roman" w:hAnsi="Times New Roman"/>
          <w:sz w:val="18"/>
          <w:szCs w:val="18"/>
          <w:color w:val="auto"/>
        </w:rPr>
        <w:t>– a Body-Worn Camera (“</w:t>
      </w:r>
      <w:r>
        <w:rPr>
          <w:rFonts w:ascii="Times New Roman" w:cs="Times New Roman" w:eastAsia="Times New Roman" w:hAnsi="Times New Roman"/>
          <w:sz w:val="18"/>
          <w:szCs w:val="18"/>
          <w:i w:val="1"/>
          <w:iCs w:val="1"/>
          <w:color w:val="auto"/>
        </w:rPr>
        <w:t>BWC</w:t>
      </w:r>
      <w:r>
        <w:rPr>
          <w:rFonts w:ascii="Times New Roman" w:cs="Times New Roman" w:eastAsia="Times New Roman" w:hAnsi="Times New Roman"/>
          <w:sz w:val="18"/>
          <w:szCs w:val="18"/>
          <w:color w:val="auto"/>
        </w:rPr>
        <w:t>”) and Digital Evidence Management (“</w:t>
      </w:r>
      <w:r>
        <w:rPr>
          <w:rFonts w:ascii="Times New Roman" w:cs="Times New Roman" w:eastAsia="Times New Roman" w:hAnsi="Times New Roman"/>
          <w:sz w:val="18"/>
          <w:szCs w:val="18"/>
          <w:i w:val="1"/>
          <w:iCs w:val="1"/>
          <w:color w:val="auto"/>
        </w:rPr>
        <w:t>DEM</w:t>
      </w:r>
      <w:r>
        <w:rPr>
          <w:rFonts w:ascii="Times New Roman" w:cs="Times New Roman" w:eastAsia="Times New Roman" w:hAnsi="Times New Roman"/>
          <w:sz w:val="18"/>
          <w:szCs w:val="18"/>
          <w:color w:val="auto"/>
        </w:rPr>
        <w:t>”) solutions provider. BWC and DEM play crucial role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capturing, storing, and 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Cloud provides an unlimited video storage platform that includes video and other evidence uploading, search, retrieval, redaction, and evidence sharing while reducing the need for resources required to manage this evidence.</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addition to the US law enforcement market, we have shipped our restraint products to 62 countries. We have established an active distributor network representing 50 states and one dealer representing the US territory of Puerto Rico. We have distribution agreements with international distributors covering 75 countries. We focus significant sales, training and business development efforts to support our distribution network in addition to our internal sales team.</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December 31, 2024, the Company accomplished the following:</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measures to improve operational efficiency and streamline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full deployment of BolaWrap by a prominent Midwest police department’s Crisis Intervention Team (CIT) and a pilot program at a major West Coast agency;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Jared Novick as President and Chief Operating Officer, effective March 10 2025, to drive operational efficiency and expand its public safety solutions.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W1 Global, LLC Acquisition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18, 2025, the Company and W1 Global, LLC, a Delaware limited liability company (“W1 Global”), entered into an Asset Purchase Agreement, dated as of February 18, 2025 (the “W1 Purchase Agreement”), pursuant which, subject to the terms and conditions set forth therein, the Company agreed to acquire substantially all the assets of W1, including, among others, all of W1’s right, title and interest in and to W1’s properties, business, and assets of W1 used in, held for use in or relating to the business of advisory and investigative professional services, as more specifically set forth in the W1 Purchase Agreement (collectively, the “Acquired Assets”), which excludes the Excluded Assets (as defined in the W1 Purchase Agreement), and assume certain Assumed Liabilities (as defined in the W1 Purchase Agreement), upon the terms and subject to the conditions set forth in the W1 Purchase Agreement (the “Acquisition”), for a nominal purchase price equal to $100.00. This acquisition is expected to advance the Company’s capabilities and integrate into Company’s Managed Safety and Response (MSR) Connected Ecosystem, expanding its reach and service offerings.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Private Placement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24, 2025, the Company entered into a securities purchase agreement (the “PIPE Purchase Agreement”) with certain accredited investors (collectively, the “PIPE Purchasers”) for the issuance and sale in a private placement (the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estimated gross proceeds to the Company were $5.8 million, before estimated offering expenses payable by the Company. The closing of the Private Placement occurred on February 28, 2025 and March 7,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Challenges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Company’s products and solutions are gaining global recognition and awareness through various channels such as social media, trade shows, and media exposure, among others. In part, this recognition and awareness can be attributed to positive feedback from law enforcement agencies and the successful deployment of our products. As a result, we believe our brand is becoming increasingly recognized on a global scale as a leader in remote restraint and non-lethal solutions.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focused on marketing and public relations efforts. We believe there are market opportunities for our remote restraint and virtual reality solutions in the law enforcement and security sectors worldwide. These opportunities are driven by the increasing demand for less-lethal policing.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law enforcement sector, our BolaWrap product has been successfully deployed in the field, as reported by many agencies. BolaWrap is now in use by over 900 US law enforcement agencies and in 62 countries. Due to its safe remote restraint capabilities, some agencies do not deem its usage a categorical reportable use of force and rather place it underneath early use of force such as handcuffs. In our strategic roadmap, we clarified that law enforcement agencies deploy BolaWrap when verbal commands breakdown but long before there is justifiable escalation to pepper spray, pepper ball, batons, bean bags, tasers or Conducted Electrical Weapons (CEW’s) or firearms.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agencies voluntarily report usage to Wrap but many do not. In the usage reports we have been provided, officers have reported successful outcomes in 84%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26% percent of the reported persons who are wrapped with the BolaWrap are thought to be under the influence of alcohol or drugs.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reasons why we may not receive reports on all the use of the BolaWrap, including, when uses of BolaWrap are considered evidence in ongoing criminal cases, are controlled by local policy or regulation, or require officer and union permission to be shared with us. However, some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and believe that our portfolio of safe, remote restraint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such as after verbal commands break down and before the law enforcement officer is ready to escalate to less lethal pain compliance tools. We believe that law enforcement trainers and officers who have been trained to use our products, or have witnessed demonstrations, are more inclined to support the acquisition and deployment of our products by their respective departments to drive successful outcomes. As of December 31, 2024, over 1,540 agencies have received BolaWrap training with over 5,450 training officers at those agencies certified as BolaWrap instructors and qualified to train the rest of their departments, representing a 1% increase in agencies and a 1% increase in trained officers as compared to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for the year ended December 31, 2024 totaled $18.0 million representing a 17 % reduction as compared to 2023 expenses totaling $21.6 million. Our new management team has prioritized reducing operating expenses, and in the second quarter of 2024, conducted a thorough top to bottom assessment of all aspects of the business. We expect to realize the full year benefits in 2025 of the cost reduction actions taken throughout 2024 as we expect to continue to reduce our cost profile. This assessment culminated in the creation of a strategic roadmap aimed at achieving sustainable growth and delivering long-term value to our stockholders. Our strategic roadmap centers on expanding our sales by building repeatable domestic BolaWrap sales, increasing international sales of the new BolaWrap 150, and expanding the deployment of BolaWrap to full patrol-wide utilization via a customer success function. Additionally, we have established a dedicated inside sales leader to increase our velocity on new leads. To catalyze sales growth, we are expanding our distributor and partner relationships while simultaneously diversifying and innovating our product offerings. As part of our strategic roadmap, we have made the decision to improve the pricing on BolaWrap 150 devices and cassettes, given the product’s success as a significant upgrade for law enforcement. We believe these increased margins could drive us to breakeven and profitability more quickly. We also began charging for our respected training services.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synergy in BolaWrap to de-escalate and reduce uses of force and the immersive 3D Virtual Reality training for law enforcement and corrections create a unique and well positioned law enforcement technology company that is prepared for modern policing and driving safe outcomes. With our key focus on where BolaWrap and Wrap Reality fit into the Force Factor diagram below in Figure X, agencies are likely to see significant increased usage where BolaWrap has shown to be a tool that could appropriately de-escalate dangerous situations and save the lives and careers of officers and the individuals they interact with in such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128270</wp:posOffset>
            </wp:positionV>
            <wp:extent cx="5349240" cy="3034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that implementing these strategic changes may lead to substantial sales growth and put us on a path towards sustainable profitability. Although geopolitical tensions and macroeconomic challenges have affected our quarterly results in the past and may in the future, we believe our company is uniquely positioned to provide lifesaving technologies and training that enable law enforcement officers worldwide to conduct safe and effective encounters while reducing the use of force. With an increasing addressable market, the Company offers what we believe is a unique value proposition. Our improved pricing strategy, coupled with reduced operating expenses and our growing sales outlook, is expected to help reduce losses and improve cash flow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continued to invest in our VR system while working to continue to develop real-world scenarios into our robust Wrap Reality platform. We plan to increase marketing activities for our VR solution to both law enforcement and corrections throughout 2023 and expect to launch the cloud-based version in mid-2023.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backlog of approximately $64 thousand was delivered in the first quarter of 2025. Additionally, we had deferred revenue of approximately $505 thousand expected to be recognized generally over the next four years. Our deferred revenue is generally from Wrap Reality subscription and other revenue. Distributor and customer orders for future deliveries are generally subject to modification, rescheduling or in some instances, cancellation, in the normal course of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generated significant losses from operations and anticipate that we will continue to generate significant losses from operations for the foreseeable future. We believe that we have adequate financial resources to sustain our operations for the twelve months. For the year ended December 31, 2024, our net loss from operations decreased by approximately $3.2 million compared to the year ended December 31, 2023. Net cash used in operations during the year ended December 31, 2024, was approximately $8.6 million less than cash used in operations during the year ended December 31, 2023. This decrease in cash used in operations reflects a lower net operating loss in 2024 along with a decrease in accounts receivable during the period compared to the year ended December 31, 2023.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innovate new applications for our public safety technology, open new geographies, develop new products and technologies to meet diverse customer requirements and identify and develop new markets for our products.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customers were generally satisfied with the BolaWrap 100, many distributors were concerned with the Company’s ability to continue to expand with the BolaWrap 100. This device was completely discontinued in 2022 and product delays kept the BolaWrap 150 from being fully delivered to customers until late early 2022. This gap in having a product to sell as well as the unhappiness in phasing out the first-generation product while it was still having success in the field, created significant work throughout 2022 to get the BolaWrap 150 approved by departments as well as by import and federal authorities for international countries. We also had a much slower than expected trade in the timeframe of BolaWrap 100 to BolaWrap 150 due to the customer affinity for our first to market device.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realized a rebound in sales of the BolaWrap 150 in the second half of 2022, following the full-scale production and sales of the BolaWrap 150. New device supply chain and product issues improved, but did not completely abate until the first half of 2023, at which point, management was able to fully resume international travel and demonstrate the new and enhanced capabilities of the BolaWrap 150.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Supply chain disruptions also affected our operations and could negatively impact our ability to source materials, manufacture and distribute products in the future. Moreover, financial markets continue to experience significant volatility, which could potentially affect our ability to enter into or modify favorable terms and conditions regarding equity and debt financing activities. Nevertheless, we had $3.6 million in cash and cash equivalents and short-term investments as of December 31, 2024, which together with our February 2025 $5.8 million equity infusion, believe provides sufficient capital to fund our operations in the short-term and absorb the potential near-term impacts of economic uncertainty. However, we may require additional working capital and liquidity constraints and access to capital markets could still negatively affect our liquidity and require changes to our plan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sell our products to customers including law enforcement agencies, domestic distributors and international distributors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such transactions is recognized in the periods that products are shipped (free on board (“</w:t>
      </w:r>
      <w:r>
        <w:rPr>
          <w:rFonts w:ascii="Times New Roman" w:cs="Times New Roman" w:eastAsia="Times New Roman" w:hAnsi="Times New Roman"/>
          <w:sz w:val="18"/>
          <w:szCs w:val="18"/>
          <w:i w:val="1"/>
          <w:iCs w:val="1"/>
          <w:color w:val="auto"/>
        </w:rPr>
        <w:t>FOB</w:t>
      </w:r>
      <w:r>
        <w:rPr>
          <w:rFonts w:ascii="Times New Roman" w:cs="Times New Roman" w:eastAsia="Times New Roman" w:hAnsi="Times New Roman"/>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We follow the fair value recognition provisions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we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Our products are sold to customers in many different markets and geographic locations. We estimate our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Valuation of Inventory</w:t>
      </w:r>
      <w:r>
        <w:rPr>
          <w:rFonts w:ascii="Times New Roman" w:cs="Times New Roman" w:eastAsia="Times New Roman" w:hAnsi="Times New Roman"/>
          <w:sz w:val="18"/>
          <w:szCs w:val="18"/>
          <w:color w:val="auto"/>
        </w:rPr>
        <w:t>. Our inventory is comprised of raw materials, assemblies and finished products. We must periodically make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Intangible assets consisted of (a) capitalized legal fees and filing expense related to obtaining patents and trademarks,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Accrued Expense. </w:t>
      </w:r>
      <w:r>
        <w:rPr>
          <w:rFonts w:ascii="Times New Roman" w:cs="Times New Roman" w:eastAsia="Times New Roman" w:hAnsi="Times New Roman"/>
          <w:sz w:val="18"/>
          <w:szCs w:val="18"/>
          <w:color w:val="auto"/>
        </w:rPr>
        <w:t>We establish a warranty reserve based on anticipated warranty claims at the time product revenue is recognized. This reserve requires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pronouncements issued for future implementation are discussed in Note 1 to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segment. The Company’s chief operating decision maker is Scot Cohen, the Company’s Executive Chairman and Chief Executive Officer, who manages operations for purposes of allocating resources. Refer to Note 18, Major Customers and Related Information, in our financial statements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expenses include (i) selling, general and administrative expense, (ii) research and development expense, (iii) and in the most recent fiscal quarter,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operating costs will remain at comparable current levels in the near term. We may also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and narrative sets forth for the periods indicated certain items of our statement of operations, expressed in thousands of dollars. The financial information and the discussion below should be read in conjunction with the financial statements and notes contained in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Pr>
          <w:p>
            <w:pPr>
              <w:spacing w:after="0"/>
              <w:rPr>
                <w:sz w:val="20"/>
                <w:szCs w:val="20"/>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3,590</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5,337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(1,747)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796</w:t>
            </w:r>
          </w:p>
        </w:tc>
        <w:tc>
          <w:tcPr>
            <w:tcW w:w="3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3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3,227</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(1,185)</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09"/>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15,688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18,361</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(2,673)</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3,267</w:t>
            </w:r>
          </w:p>
        </w:tc>
        <w:tc>
          <w:tcPr>
            <w:tcW w:w="3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(923)</w:t>
            </w: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reported revenue of approximately $4.5 million for the year ended December 31, 2024, as compared to revenue of approximately $6.1 million for the year ended December 31, 2023, an approximate 27% decrease. International revenues decreased from approximately $2.3 million for the year ended December 31, 2023, to approximately $84 thousand for the year ended December 31, 2024. The decrease in international revenue was driven by the prior year having certain large orders and continued stronger demand for our products in the EMEA region during 2023. We incurred discounts of approximately $55 thousand during the year ended December 31, 2024, compared to approximately $169 thousand during the year ended December 31, 2023, primarily as a result of promotional programs designed to encourage domestic customers to upgrade to the BolaWrap 150. We expect a decline to even lower discounts throughout 2025 as we have phased out our promotional upgrade offers.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revenue generally consists of larger orders with the end user being large, centralized government agencies. These orders continue to be lumpy and difficult to predict as to both timing and amount. We anticipate a revenue increase in 2025 compared to 2024 for two key reasons: (i) from an international perspective, there is growing demand for less-lethal alternatives like BolaWrap, especially in regions where lethal force is often prohibited, and (ii) from a domestic perspective, despite a saturated market for less-lethal use-of-force solutions, BolaWrap stands out as what we believe to be the only pain-free compliance tool.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product promotional costs of approximately $92 thousand for the year ended December 31, 2024,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2023. A total of approximately $249 thousand of such product promotional costs were incurred during the year ended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deferred revenue of $505 thousand consisted of $76 thousand related to BolaWrap extended warranties and services, $352 thousand related to Intrensic extended warranties and services, $73 thousand related to VR and $4 thousand related to training.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backlog of approximately $64 thousand, which was delivered in the first quarter of 2025. Distributor and customer orders for future deliveries are generally subject to modification, rescheduling or in some instance’s cancellation in the normal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for the year ended December 31, 2024, was approximately $2.5 million, or a gross margin of 55%. Our gross profit for year ended December 31, 2023, was approximately $2.9 million, or a gross margin of 47%. For the year ended December 31, 2024, gross profit represented a 15% decrease compared to December 31, 2023, as a result of lower sales offset by continued cost containment efforts on production reflected in the higher gross margin percentage in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the BolaWrap devices. As we scale cassette production, we will look to reduce our costs and drive higher cassette margins. Cassettes were a total of 12.1% of our overall revenue in the year ended December 31, 2024, and may grow as a recurring revenue base as more BolaWrap devices are used in the field and as the use of BolaWrap increases due to the need of officers to de-escalate to prevent injuries and the use of higher levels of force.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by approximately $2.7 million during the year ended December 31, 2024, compared to the year ended December 31, 2023, primarily as a result of the Company’s cost containment initiatives enacted in the first half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and promotion costs were approximately $0.7 million during the year December 31, 2024, or a decrease of approximately $0.5 million as compared to approximately $1.2 million during the year December 31, 2023. The decrease in advertising costs was related to reductions in consultants and other cost containment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costs allocated to SG&amp;A was $2.3 million for the year ended December 31, 2024, an increase of approximately $0.7 million, compared to approximately $1.7 million for the year ended December 31, 2023. The increase resulted primarily due to the full-year impact of stock-based grants in late 2023 along with the increased value of non-cash awards granted in 2024 reflecting changes in the Company’s stock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burden costs were $3.8 million for the year ended December 31, 2024, an approximately $2.2 million or 37% decrease compared to approximately $6.0 million for year ended December 31, 2023. During 2023, we recorded approximately $1.0 million of severance cost related to management restructuring efforts that were included in salaries and burden. During the year ended December 31, 2024, compared to December 31, 2023, we decreased professional and consulting fees by approximately $0.9 million. We expect expenditures for SG&amp;A expense for the existing business lines in 2025 to be slightly lower than 2024, as a result of restructuring actions taken in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determined that the assessment of the Intrensic Membership Interests (as defined herein) fair value indicated that its carrying value exceeded its fair value by $1.6 million and therefore the Company recorded a $1.6 million impairment charge related to the goodwill initially recorded from the acquisition. In December 2023, it was determined that the intangible related to development of proprietary software by Lumeto, Inc. would not have future economic value and was written down; the Company recognized an impairment loss of $700 thousand as a result.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approximately $2.3 million for the year ended December 31, 2024, a decrease of approximately $0.9 million, compared to $3.2 million for year ended December 31, 2023. In 2024, we incurred a $152 thousand period over period decrease in share-based compensation expense allocated to research and development expense as a result of personnel changes made from the Company’s cost containment initiatives. Outside consulting costs decreased by $133 thousand and prototype related costs decreased by $199 thousand for the year ended December 31, 2024, primarily due to reduced costs related to the Company’s cost containment initiatives.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during the year December 31, 2024, was approximately $15.6 million, a decrease of approximately $3.2 million compared to approximately $18.7 million during the year December 31, 2023, primarily reflecting a decrease of $3.6 million in operating expenses resulting from the Company’s cost containment initiatives during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from future equity or debt financings.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since our inception. As of December 31, 2024, we had cash and cash equivalents of approximately $3.6 million, negative working capital of approximately $2.7 million primarily reflecting the approximate $10.1 million value of the Series A Warrants (as defined herein) recorded in connection with the issuance of the Series A Preferred Stock in July 2023, and had sustained cumulative losses attributable to stockholders of approximately $105.1 million. Our working capital net of the Warrants-short term at December 31, 2024 was approximately $7.4 million, a decrease of approximately $10.0 million compared to December 31, 2023, as a result of the operating losses offset by a decrease in the warrant liability included in short term liabilities totaling $9.6 million in 2024. As a result, we had approximately $3.6 million in cash and cash equivalents as of December 31, 2024. Additionally, in February 2025, the Company issued common stock in a private placement of an aggregate of 3,216,666 Common Shares and accompanying PIPE Warrants to purchase up to 3,216,666 shares of Common Stock, with an exercise price of $1.80 per share. The purchase price for one Common Share and accompanying PIPE Warrant was $1.80. The estimated gross proceeds to the Company were approximately $5.8 million. Management therefore believes the Company has sufficient capital to fund its operations for the next twelve months. However, liquidity constraints and access to capital markets could still negatively affect our liquidity and require changes to our investment strategy.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outbreaks pandemics or contagious diseases or fear of such outbreaks;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staffing, development, production, marketing and other 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planned production and required customer and regulatory compliance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filing and prosecuting our patent applications and defending any future intellectual property-related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additional product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any future warranty claims or litigation against us associated with any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collect accounts receivable;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associated with any new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factors that could affect our ability to obtain cash from external sources including from exercise of outstanding warrants and options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capital markets; and</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trading volume of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2023, the Company entered into a Series Purchase Agreement (“Series A Purchase Agreement”) with certain accredited investors, including the Company’s Executive Chairman and Chief Executive Officer (collectively, the “Series A Investors”), pursuant to which it agreed to sell to the Series A Investors in a registered direct offering (the “Series A Offering”) (i) an aggregate of 10,000 shares of Series A Preferred Stock, initially convertible into up to 6,896,553 shares of the Company’s common stock, at an initial conversion price of $1.45 per share, and (ii) warrants (the “Series A Warrants”) to acquire up to an aggregate of 6,896,553 shares of Common Stock (the “Series A Warrant Shares”). The conversion price of the Series A Preferred Stock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The closing of the Series A Offering occurred on July 3, 2023. The aggregate gross proceeds from the Series A Offering were $10 million. The Company expects to use the net proceeds from the Series A Offering for general corporate purposes.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Katalyst Securities LLC (the “Placement Agent”) to act as exclusive placement agent in connection with the Series A Offering. Pursuant to an Engagement Letter with the Placement Agent, we paid to the Placement Agent or its designees (i) a cash fee equal to 8% of the gross proceeds of the Series A Offering and (ii) warrants to purchase an aggregate of 551,725 shares of Common Stock (equal to 8% of the shares of Common Stock underlying the Series A Preferred Stock sold in the Series A Offering) at an exercise price of $1.45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 2023, the Company filed the Certificate of Designations of the Series A Preferred Stock (the “Certificate of Designations”) with the Secretary of State of the State of Delaware, designating 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w:t>
      </w:r>
    </w:p>
    <w:p>
      <w:pPr>
        <w:spacing w:after="0" w:line="3" w:lineRule="exact"/>
        <w:rPr>
          <w:sz w:val="20"/>
          <w:szCs w:val="20"/>
          <w:color w:val="auto"/>
        </w:rPr>
      </w:pPr>
    </w:p>
    <w:p>
      <w:pPr>
        <w:jc w:val="both"/>
        <w:ind w:firstLine="8"/>
        <w:spacing w:after="0" w:line="250"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2024.The holders of the Series A Preferred Stock have no voting rights, other than with respect to certain matters affecting the rights of the Series A Preferred Stock.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w:t>
      </w:r>
    </w:p>
    <w:p>
      <w:pPr>
        <w:sectPr>
          <w:pgSz w:w="11900" w:h="16878" w:orient="portrait"/>
          <w:cols w:equalWidth="0" w:num="1">
            <w:col w:w="11240"/>
          </w:cols>
          <w:pgMar w:left="320" w:top="229" w:right="339" w:bottom="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20% per annum. The Certificate of Amendment became effective with the Secretary of State on December 6,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beginning 18 months from the date of the issuance, provided that provided that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w:t>
      </w:r>
    </w:p>
    <w:p>
      <w:pPr>
        <w:spacing w:after="0" w:line="3" w:lineRule="exact"/>
        <w:rPr>
          <w:sz w:val="20"/>
          <w:szCs w:val="20"/>
          <w:color w:val="auto"/>
        </w:rPr>
      </w:pPr>
    </w:p>
    <w:p>
      <w:pPr>
        <w:jc w:val="both"/>
        <w:ind w:firstLine="8"/>
        <w:spacing w:after="0" w:line="255" w:lineRule="auto"/>
        <w:tabs>
          <w:tab w:leader="none" w:pos="2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A Preferred Stock and we do not intend to list the Series A Preferred Stock on any national securities exchange or nationally recognized trading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Series A Warrants to purchase up to an aggregate of 6,896,553 shares of Common Stock. Each Series A Warrant has an exercise price of $1.45,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Stockholder Approval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issue Conversion Shares and Series A Warrant Shares using shares of Common Stock is subject to certain limitations set forth in the Certificate of Designations. Prior to receiving the Nasdaq Stockholder Approval, such limitations included a limit on the number of shares that may be issued until the time, if any, that the Company’s stockholders have approved the issuance of more than 19.99% of the Company’s outstanding shares of Common Stock in accordance with the rules of the Nasdaq Stock Market (the “Nasdaq Stockholder Approval”). Such Nasdaq Stockholder Approval was received at a special meeting of stockholders held on September 19,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year ended December 31, 2024, net cash used in operating activities was approximately $8.1 million. The net loss of approximately $5.9 million was increased by non-cash other income of approximately $9.6 million related to the change in fair value of warrant liabilities and was decreased by share-based compensation expense of approximately $2.4 million and an impairment charge related to goodwill of $1.6 million. Other major component changes impacting operating cash included a decrease of approximately $2.4million in accounts receivable and a decrease in customer deposits of $1.0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was approximately $16.7 million. The net loss of approximately $30.3 million was decreased by non-cash expense of approximately $16.8 million consisting primarily of change in fair value of warrant liabilities of approximately $12.0 million and share-based compensation expense of approximately $2.0 million. Other major component changes using operating cash included an increase of approximately $2.2 million in inventories and an increase in customer deposits of $1.0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totaled approximately $7.3 million. We used $156 thousand of cash for the purchase of property and equipment and invested approximately $13 thousand in patents and trademarks. During the year ended December 31, 2024, we had proceeds from maturities of short-term investments of approximately $7.5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used approximately $10.0 million of cash to purchase short-term investments, $554 thousand of cash for the purchase of Intrensic, $230 thousand of cash for the purchase of property and equipment and invested approximately $396 thousand in patents and trademarks. During the year ended December 31, 2023, we had proceeds from maturities of short-term investments of approximately $16.4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149"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received approximately $588 thousand in proceeds from the exercise of previously issued stock options and paid out approximately $120 thousand in Series A Preferred Stock dividends.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received approximately $10.0 million in gross proceeds from the issuance of securities, which is reflected in cash and cash equivalents, with an offset to accrued expense, reflected in the Company’s Condensed Consolidated Balance Sheet at December 31, 2023. During year ended December 31, 2023, we received approximately $208 thousand in proceeds from the exercise of previously issued stock options and paid out approximately $58 thousand in Series A Preferred Stock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that certain exclusive Amended and Restated Intellectual Property License Agreement, dated September 30, 2016, by and between the Company and Syzygy Licensing, LLC (“Syzyg</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we are obligated to pay to Syzygy a 4% royalty fee on future product sales up to an aggregate amount of $1.0 million in royalty payments, or until September 30, 2026, whichever occurs earlier. As of December 31, 2024 the Company has incurred the maximum amount of royalties under the terms of the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2022, the Company extended its facility lease in Tempe, AZ for three years through July 2025 and is committed to aggregate lease payments on the facility lease of $75 thousand in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2023, the Company entered into a lease agreement for the lease of office space in Coconut Grove, Florida, in a multi-year term concluding in 2031, which includes aggregate remaining lease payments totaling $3.3 million for 2025 through 2031.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was committed to approximately $0.6 million for future component deliveries and contract services that are generally subject to modification or rescheduling in the normal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2025, we signed a lease that will commence in October 2025, or upon the completion of the premises, whichever happens later, for a manufacturing facility located at Pad 1A of the technology park at the intersection of US 23 and US 58 Alternate in Norton, Virginia. The lease of the 20,000 square foot facility has an initial term of five years with the option to renew for an additional two years, subject to adjustments based on the Consumer Price Index. Monthly lease payments will be $10,000, calculated at $6 per gross square foot per year. Following two years of occupancy from the start of the lease, we may terminate the lease without penalty by providing sixty-days’ written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and 2024 we experienced increased costs in labor and materials due to inflation. We believe in 2025 that low unemployment and higher salaries will create higher payroll costs and increased operating expense in the business. We have seen increases in costs from multiple suppliers for materials as well as labor.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year ended December 31, 2024, or subsequently thereto, that we believe are of potential significance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required to be included in this Item 8 are set forth in a separate section of this report following Item 15 commencing on Page F-1.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disagreements or any reportable events requiring disclosure under Item 304(b)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Executive Chairman and Chief Executive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Executive Chairman and Chief Executive Officer, evaluated the effectiveness of our disclosure controls and procedures as of December 31, 2024, and, based on this evaluation, our Executive Chairman and Chief Executive Officer concluded that our disclosure controls and procedures were effective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Rule 13a-15(f) under the Exchange Act). Internal control over financial reporting refers to the process designed by, or under the supervision of, our Executive Chairman and Chief Executive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With our participation, an evaluation of the effectiveness of our internal control over financial reporting was conducted as of December 31, 2024, based on the framework and criteria established in Internal Control Integrated Framework (2013) issued by the Committee of Sponsoring Organizations of the Treadway Commission and SEC guidance on conducting such assessments. Based on this evaluation, our Executive Chairman and Chief Executive Officer concluded that our internal control over financial reporting was effective as of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independent registered public accounting firm regarding internal control over financial reporting. Management’s report was not subject to attestation by our registered public accounting firm pursuant to the Dodd-Frank Wall Street Reform and Consumer Protection Act, which permits us to provide only management’s report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year ended December 31, 2024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response to this Item 10 will be set forth in our definitive proxy statement on Schedule 14A for the 2025 annual meeting of stockholders, which shall be filed with the Securities and Exchange Commission no later than 120 days following the Company’s fiscal year end December 31, 2024 (the “Proxy Statement”).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insider trading policy that prohibits our directors, executive officers and all employees of the Company from the purchasing or selling our securities while being aware of material, non-public information about the Company as well as disclosing such information to others who may trade in securities of the Company. Our insider trading policy also prohibits our directors, executive officers, employees and their respective family members from engaging in hedging activities or other short-term or speculative transactions in the Company’s securities such as short sales, options trading, holding the Company’s securities in a margin account or pledging the Company’s securities as collateral for a loan, without the advance approval of our Chief Financial Officer. A copy of the insider trading policy is included to this Annual Report on Form 10-K. While the Company is not subject to the insider trading policy, the Company does not trade in its securities when it is in possession of material nonpublic information other than pursuant to previously adopted Rule 10b5-1 trading plans, if 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in response to this Item 11 will be set forth in our Proxy Statement and is incorporated herein by reference.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in response to this Item 12 will be set forth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in response to this Item 13 will be set forth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5480" w:right="1680" w:hanging="5465"/>
        <w:spacing w:after="0" w:line="532" w:lineRule="auto"/>
        <w:rPr>
          <w:sz w:val="20"/>
          <w:szCs w:val="20"/>
          <w:color w:val="auto"/>
        </w:rPr>
      </w:pPr>
      <w:r>
        <w:rPr>
          <w:rFonts w:ascii="Times New Roman" w:cs="Times New Roman" w:eastAsia="Times New Roman" w:hAnsi="Times New Roman"/>
          <w:sz w:val="18"/>
          <w:szCs w:val="18"/>
          <w:color w:val="auto"/>
        </w:rPr>
        <w:t>The information required in response to this Item 14 will be set forth in our Proxy Statement and is incorporated herein by reference.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60" w:type="dxa"/>
            <w:vAlign w:val="bottom"/>
          </w:tcPr>
          <w:p>
            <w:pPr>
              <w:spacing w:after="0"/>
              <w:rPr>
                <w:sz w:val="17"/>
                <w:szCs w:val="17"/>
                <w:color w:val="auto"/>
              </w:rPr>
            </w:pPr>
          </w:p>
        </w:tc>
      </w:tr>
      <w:tr>
        <w:trPr>
          <w:trHeight w:val="453"/>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860" w:type="dxa"/>
            <w:vAlign w:val="bottom"/>
          </w:tcPr>
          <w:p>
            <w:pPr>
              <w:spacing w:after="0"/>
              <w:rPr>
                <w:sz w:val="24"/>
                <w:szCs w:val="24"/>
                <w:color w:val="auto"/>
              </w:rPr>
            </w:pPr>
          </w:p>
        </w:tc>
      </w:tr>
      <w:tr>
        <w:trPr>
          <w:trHeight w:val="432"/>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860" w:type="dxa"/>
            <w:vAlign w:val="bottom"/>
          </w:tcPr>
          <w:p>
            <w:pPr>
              <w:spacing w:after="0"/>
              <w:rPr>
                <w:sz w:val="24"/>
                <w:szCs w:val="24"/>
                <w:color w:val="auto"/>
              </w:rPr>
            </w:pPr>
          </w:p>
        </w:tc>
      </w:tr>
      <w:tr>
        <w:trPr>
          <w:trHeight w:val="432"/>
        </w:trPr>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List of documents filed as a part of this report:</w:t>
            </w:r>
          </w:p>
        </w:tc>
        <w:tc>
          <w:tcPr>
            <w:tcW w:w="1860" w:type="dxa"/>
            <w:vAlign w:val="bottom"/>
          </w:tcPr>
          <w:p>
            <w:pPr>
              <w:spacing w:after="0"/>
              <w:rPr>
                <w:sz w:val="24"/>
                <w:szCs w:val="24"/>
                <w:color w:val="auto"/>
              </w:rPr>
            </w:pPr>
          </w:p>
        </w:tc>
      </w:tr>
      <w:tr>
        <w:trPr>
          <w:trHeight w:val="432"/>
        </w:trPr>
        <w:tc>
          <w:tcPr>
            <w:tcW w:w="938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(1) Index to Financial Statements</w:t>
            </w:r>
          </w:p>
        </w:tc>
        <w:tc>
          <w:tcPr>
            <w:tcW w:w="186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8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7000)</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66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rPr>
                <w:sz w:val="15"/>
                <w:szCs w:val="15"/>
                <w:color w:val="auto"/>
              </w:rPr>
            </w:pPr>
          </w:p>
        </w:tc>
        <w:tc>
          <w:tcPr>
            <w:tcW w:w="8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87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Years Ended December 31, 2024 and 2023</w:t>
            </w:r>
          </w:p>
        </w:tc>
        <w:tc>
          <w:tcPr>
            <w:tcW w:w="1860" w:type="dxa"/>
            <w:vAlign w:val="bottom"/>
          </w:tcPr>
          <w:p>
            <w:pPr>
              <w:ind w:left="14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6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8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660" w:type="dxa"/>
            <w:vAlign w:val="bottom"/>
            <w:tcBorders>
              <w:top w:val="single" w:sz="8" w:color="CCEEFF"/>
            </w:tcBorders>
          </w:tcPr>
          <w:p>
            <w:pPr>
              <w:spacing w:after="0"/>
              <w:rPr>
                <w:sz w:val="15"/>
                <w:szCs w:val="15"/>
                <w:color w:val="auto"/>
              </w:rPr>
            </w:pPr>
          </w:p>
        </w:tc>
        <w:tc>
          <w:tcPr>
            <w:tcW w:w="61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2024 and 2023</w:t>
            </w:r>
          </w:p>
        </w:tc>
        <w:tc>
          <w:tcPr>
            <w:tcW w:w="2540" w:type="dxa"/>
            <w:vAlign w:val="bottom"/>
            <w:tcBorders>
              <w:top w:val="single" w:sz="8" w:color="CCEEFF"/>
            </w:tcBorders>
            <w:gridSpan w:val="2"/>
          </w:tcPr>
          <w:p>
            <w:pPr>
              <w:spacing w:after="0"/>
              <w:rPr>
                <w:sz w:val="15"/>
                <w:szCs w:val="15"/>
                <w:color w:val="auto"/>
              </w:rPr>
            </w:pPr>
          </w:p>
        </w:tc>
        <w:tc>
          <w:tcPr>
            <w:tcW w:w="1860" w:type="dxa"/>
            <w:vAlign w:val="bottom"/>
            <w:tcBorders>
              <w:top w:val="single" w:sz="8" w:color="CCEEFF"/>
            </w:tcBorders>
          </w:tcPr>
          <w:p>
            <w:pPr>
              <w:ind w:left="14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6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8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 information is not applicable, is not material or because the information required is included in the financial statements or the notes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Exhibits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index to exhibits immediately following the financial statements are filed as part of, or hereby incorporated by reference into, this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Consolidated Financial Statement Schedules: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Schedules not filed are omitted because of the absence of the conditions under which they are required or because the required information is included in the consolidated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229" w:right="339" w:bottom="245" w:gutter="0" w:footer="0" w:header="0"/>
        </w:sect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172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19685</wp:posOffset>
            </wp:positionV>
            <wp:extent cx="64376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000" w:space="720"/>
            <w:col w:w="5520"/>
          </w:cols>
          <w:pgMar w:left="320" w:top="229" w:right="339" w:bottom="245" w:gutter="0" w:footer="0" w:header="0"/>
          <w:type w:val="continuous"/>
        </w:sectPr>
      </w:pPr>
    </w:p>
    <w:p>
      <w:pPr>
        <w:spacing w:after="0" w:line="20" w:lineRule="exact"/>
        <w:rPr>
          <w:sz w:val="20"/>
          <w:szCs w:val="20"/>
          <w:color w:val="auto"/>
        </w:rPr>
      </w:pPr>
    </w:p>
    <w:p>
      <w:pPr>
        <w:jc w:val="both"/>
        <w:ind w:left="1100" w:hanging="719"/>
        <w:spacing w:after="0" w:line="257"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66">
        <w:r>
          <w:rPr>
            <w:rFonts w:ascii="Times New Roman" w:cs="Times New Roman" w:eastAsia="Times New Roman" w:hAnsi="Times New Roman"/>
            <w:sz w:val="18"/>
            <w:szCs w:val="18"/>
            <w:u w:val="single" w:color="auto"/>
            <w:color w:val="0000EE"/>
          </w:rPr>
          <w:t>Stock Purchase Agreement, dated March 22, 2017, by and between Wrap Technologies, LLC, Petro River Oil Corp., and Megawest Energy</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Montana Corp (incorporated by reference to Exhibit 2.1 to the Company’s Registration Statement on Form S-1 filed with the Securities and</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Exchange Commission on April 17,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67">
        <w:r>
          <w:rPr>
            <w:rFonts w:ascii="Times New Roman" w:cs="Times New Roman" w:eastAsia="Times New Roman" w:hAnsi="Times New Roman"/>
            <w:sz w:val="18"/>
            <w:szCs w:val="18"/>
            <w:u w:val="single" w:color="auto"/>
            <w:color w:val="0000EE"/>
          </w:rPr>
          <w:t>Merger Agreement between Wrap Technologies, LLC and Megawest Energy Montana Corp., dated March 30, 2017 (incorporated by</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reference to Exhibit 2.2 to the Company’s Registration Statement on Form S-1 filed with the Securities and Exchange Commission on April</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17,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68">
        <w:r>
          <w:rPr>
            <w:rFonts w:ascii="Times New Roman" w:cs="Times New Roman" w:eastAsia="Times New Roman" w:hAnsi="Times New Roman"/>
            <w:sz w:val="18"/>
            <w:szCs w:val="18"/>
            <w:u w:val="single" w:color="auto"/>
            <w:color w:val="0000EE"/>
          </w:rPr>
          <w:t>Asset Purchase Agreement, dated as of February 18, 2025, by and between Wrap Technologies, Inc. and W1 Global, LLC Plan</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(incorporated by reference to Exhibit 2.1 to the Company’s Current Report on Form 8-K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on February 24,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69">
        <w:r>
          <w:rPr>
            <w:rFonts w:ascii="Times New Roman" w:cs="Times New Roman" w:eastAsia="Times New Roman" w:hAnsi="Times New Roman"/>
            <w:sz w:val="18"/>
            <w:szCs w:val="18"/>
            <w:u w:val="single" w:color="auto"/>
            <w:color w:val="0000EE"/>
          </w:rPr>
          <w:t>Amended and Restated Certificate of Incorporation of Wrap Technologies, Inc.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Registration Statement on Form S-1 filed with the Securities and Exchange Commission on April 17, 2017).</w:t>
        </w:r>
      </w:hyperlink>
    </w:p>
    <w:p>
      <w:pPr>
        <w:spacing w:after="0" w:line="1" w:lineRule="exact"/>
        <w:rPr>
          <w:sz w:val="20"/>
          <w:szCs w:val="20"/>
          <w:color w:val="auto"/>
        </w:rPr>
      </w:pPr>
    </w:p>
    <w:p>
      <w:pPr>
        <w:jc w:val="both"/>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70">
        <w:r>
          <w:rPr>
            <w:rFonts w:ascii="Times New Roman" w:cs="Times New Roman" w:eastAsia="Times New Roman" w:hAnsi="Times New Roman"/>
            <w:sz w:val="18"/>
            <w:szCs w:val="18"/>
            <w:u w:val="single" w:color="auto"/>
            <w:color w:val="0000EE"/>
          </w:rPr>
          <w:t>Amended and Restated Bylaws of Wrap Technologies, Inc. (incorporated by reference to Exhibit 3.1 to the Company’s Current Report on</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Form 8-K filed with the Securities and Exchange Commission on February 10, 2023).</w:t>
        </w:r>
      </w:hyperlink>
    </w:p>
    <w:p>
      <w:pPr>
        <w:spacing w:after="0" w:line="1" w:lineRule="exact"/>
        <w:rPr>
          <w:sz w:val="20"/>
          <w:szCs w:val="20"/>
          <w:color w:val="auto"/>
        </w:rPr>
      </w:pPr>
    </w:p>
    <w:p>
      <w:pPr>
        <w:jc w:val="both"/>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71">
        <w:r>
          <w:rPr>
            <w:rFonts w:ascii="Times New Roman" w:cs="Times New Roman" w:eastAsia="Times New Roman" w:hAnsi="Times New Roman"/>
            <w:sz w:val="18"/>
            <w:szCs w:val="18"/>
            <w:u w:val="single" w:color="auto"/>
            <w:color w:val="0000EE"/>
          </w:rPr>
          <w:t>Amendment No.1 to the Amended and Restated Bylaws of Wrap Technologies, Inc.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Company’s Current Report on Form 8-K filed with the Securities and Exchange Commission on December 13, 2023).</w:t>
        </w:r>
      </w:hyperlink>
    </w:p>
    <w:p>
      <w:pPr>
        <w:spacing w:after="0" w:line="1" w:lineRule="exact"/>
        <w:rPr>
          <w:sz w:val="20"/>
          <w:szCs w:val="20"/>
          <w:color w:val="auto"/>
        </w:rPr>
      </w:pPr>
    </w:p>
    <w:p>
      <w:pPr>
        <w:jc w:val="both"/>
        <w:ind w:left="1100" w:right="2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72">
        <w:r>
          <w:rPr>
            <w:rFonts w:ascii="Times New Roman" w:cs="Times New Roman" w:eastAsia="Times New Roman" w:hAnsi="Times New Roman"/>
            <w:sz w:val="18"/>
            <w:szCs w:val="18"/>
            <w:u w:val="single" w:color="auto"/>
            <w:color w:val="0000EE"/>
          </w:rPr>
          <w:t>Certificate of Designations of Series A Convertible Preferred Stock (incorporated by reference to Exhibit 3.1 to the Company’s Current</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Report on Form 8-K filed with the Securities and Exchange Commission on June 30, 2023).</w:t>
        </w:r>
      </w:hyperlink>
    </w:p>
    <w:p>
      <w:pPr>
        <w:spacing w:after="0" w:line="1" w:lineRule="exact"/>
        <w:rPr>
          <w:sz w:val="20"/>
          <w:szCs w:val="20"/>
          <w:color w:val="auto"/>
        </w:rPr>
      </w:pPr>
    </w:p>
    <w:p>
      <w:pPr>
        <w:ind w:left="1100" w:hanging="786"/>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3.4.1</w:t>
      </w:r>
      <w:r>
        <w:rPr>
          <w:sz w:val="20"/>
          <w:szCs w:val="20"/>
          <w:color w:val="auto"/>
        </w:rPr>
        <w:tab/>
      </w:r>
      <w:hyperlink r:id="rId73">
        <w:r>
          <w:rPr>
            <w:rFonts w:ascii="Times New Roman" w:cs="Times New Roman" w:eastAsia="Times New Roman" w:hAnsi="Times New Roman"/>
            <w:sz w:val="18"/>
            <w:szCs w:val="18"/>
            <w:u w:val="single" w:color="auto"/>
            <w:color w:val="0000EE"/>
          </w:rPr>
          <w:t>Certificate of Amendment of Certificate of Designations of Series A Convertible Preferred Stock. (incorporated by reference to Exhibit 3.1</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to the Company’s Current Report on Form 8-K filed with the Securities and Exchange Commission on August 23, 2024).</w:t>
        </w:r>
      </w:hyperlink>
    </w:p>
    <w:p>
      <w:pPr>
        <w:spacing w:after="0" w:line="1" w:lineRule="exact"/>
        <w:rPr>
          <w:sz w:val="20"/>
          <w:szCs w:val="20"/>
          <w:color w:val="auto"/>
        </w:rPr>
      </w:pPr>
    </w:p>
    <w:p>
      <w:pPr>
        <w:ind w:left="1100" w:hanging="786"/>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3.4.2</w:t>
      </w:r>
      <w:r>
        <w:rPr>
          <w:sz w:val="20"/>
          <w:szCs w:val="20"/>
          <w:color w:val="auto"/>
        </w:rPr>
        <w:tab/>
      </w:r>
      <w:hyperlink r:id="rId74">
        <w:r>
          <w:rPr>
            <w:rFonts w:ascii="Times New Roman" w:cs="Times New Roman" w:eastAsia="Times New Roman" w:hAnsi="Times New Roman"/>
            <w:sz w:val="18"/>
            <w:szCs w:val="18"/>
            <w:u w:val="single" w:color="auto"/>
            <w:color w:val="0000EE"/>
          </w:rPr>
          <w:t>Certificate of Amendment of Certificate of Designations of Series A Convertible Preferred Stock (incorporated by reference to Exhibit 3.2</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to the Company’s Quarterly Report on Form 10-Q filed with the Securities and Exchange Commission on October 15, 2024).</w:t>
        </w:r>
      </w:hyperlink>
    </w:p>
    <w:p>
      <w:pPr>
        <w:spacing w:after="0" w:line="1" w:lineRule="exact"/>
        <w:rPr>
          <w:sz w:val="20"/>
          <w:szCs w:val="20"/>
          <w:color w:val="auto"/>
        </w:rPr>
      </w:pPr>
    </w:p>
    <w:p>
      <w:pPr>
        <w:ind w:left="1100" w:hanging="786"/>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3.4.3</w:t>
      </w:r>
      <w:r>
        <w:rPr>
          <w:sz w:val="20"/>
          <w:szCs w:val="20"/>
          <w:color w:val="auto"/>
        </w:rPr>
        <w:tab/>
      </w:r>
      <w:hyperlink r:id="rId75">
        <w:r>
          <w:rPr>
            <w:rFonts w:ascii="Times New Roman" w:cs="Times New Roman" w:eastAsia="Times New Roman" w:hAnsi="Times New Roman"/>
            <w:sz w:val="18"/>
            <w:szCs w:val="18"/>
            <w:u w:val="single" w:color="auto"/>
            <w:color w:val="0000EE"/>
          </w:rPr>
          <w:t>Certificate of Amendment of Certificate of Designations of Series A Convertible Preferred Stock (incorporated by reference to Exhibit 3.1</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to the Company’s Current Report on Form 8-K filed with the Securities and Exchange Commission on December 2, 2024).</w:t>
        </w:r>
      </w:hyperlink>
    </w:p>
    <w:p>
      <w:pPr>
        <w:spacing w:after="0" w:line="1" w:lineRule="exact"/>
        <w:rPr>
          <w:sz w:val="20"/>
          <w:szCs w:val="20"/>
          <w:color w:val="auto"/>
        </w:rPr>
      </w:pPr>
    </w:p>
    <w:p>
      <w:pPr>
        <w:ind w:left="1100" w:hanging="786"/>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3.4.4</w:t>
      </w:r>
      <w:r>
        <w:rPr>
          <w:sz w:val="20"/>
          <w:szCs w:val="20"/>
          <w:color w:val="auto"/>
        </w:rPr>
        <w:tab/>
      </w:r>
      <w:hyperlink r:id="rId76">
        <w:r>
          <w:rPr>
            <w:rFonts w:ascii="Times New Roman" w:cs="Times New Roman" w:eastAsia="Times New Roman" w:hAnsi="Times New Roman"/>
            <w:sz w:val="18"/>
            <w:szCs w:val="18"/>
            <w:u w:val="single" w:color="auto"/>
            <w:color w:val="0000EE"/>
          </w:rPr>
          <w:t>Certificate of Amendment of Certificate of Designations of Series A Convertible Preferred Stock (incorporated by reference to Exhibit 3.1</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to the Company’s Current Report on Form 8-K filed with the Securities and Exchange Commission on December 9, 2024).</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77">
        <w:r>
          <w:rPr>
            <w:rFonts w:ascii="Times New Roman" w:cs="Times New Roman" w:eastAsia="Times New Roman" w:hAnsi="Times New Roman"/>
            <w:sz w:val="18"/>
            <w:szCs w:val="18"/>
            <w:u w:val="single" w:color="auto"/>
            <w:color w:val="0000EE"/>
          </w:rPr>
          <w:t>Form of Common Stock Certificate (incorporated by reference to Exhibit 4.1 to the Company’s Registration Statement on Form S-1/A filed</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with the Securities and Exchange Commission on May 30, 2017).</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78">
        <w:r>
          <w:rPr>
            <w:rFonts w:ascii="Times New Roman" w:cs="Times New Roman" w:eastAsia="Times New Roman" w:hAnsi="Times New Roman"/>
            <w:sz w:val="18"/>
            <w:szCs w:val="18"/>
            <w:u w:val="single" w:color="auto"/>
            <w:color w:val="0000EE"/>
          </w:rPr>
          <w:t>Form of Investor Warrant, dated October 30, 2018 (incorporated by reference to Exhibit 4.1 to the Company’s Current Report on Form 8-K</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filed with the Securities and Exchange Commission on November 5, 2018).</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79">
        <w:r>
          <w:rPr>
            <w:rFonts w:ascii="Times New Roman" w:cs="Times New Roman" w:eastAsia="Times New Roman" w:hAnsi="Times New Roman"/>
            <w:sz w:val="18"/>
            <w:szCs w:val="18"/>
            <w:u w:val="single" w:color="auto"/>
            <w:color w:val="0000EE"/>
          </w:rPr>
          <w:t>Form of Placement Agent Warrant, dated October 30, 2018 (incorporated by reference to Exhibit 4.2 to the Company’s Current Report on</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Form 8-K filed with the Securities and Exchange Commission on November 5, 2018).</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80">
        <w:r>
          <w:rPr>
            <w:rFonts w:ascii="Times New Roman" w:cs="Times New Roman" w:eastAsia="Times New Roman" w:hAnsi="Times New Roman"/>
            <w:sz w:val="18"/>
            <w:szCs w:val="18"/>
            <w:u w:val="single" w:color="auto"/>
            <w:color w:val="0000EE"/>
          </w:rPr>
          <w:t>Form of Investor Warrant, dated June 18, 2019 (incorporated by reference to Exhibit 4.1 to the Company’s Current Report on Form 8-K</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filed with the Securities and Exchange Commission on June 18, 2019).</w:t>
        </w:r>
      </w:hyperlink>
    </w:p>
    <w:p>
      <w:pPr>
        <w:spacing w:after="0" w:line="1" w:lineRule="exact"/>
        <w:rPr>
          <w:sz w:val="20"/>
          <w:szCs w:val="20"/>
          <w:color w:val="auto"/>
        </w:rPr>
      </w:pPr>
    </w:p>
    <w:p>
      <w:pPr>
        <w:ind w:left="3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81">
        <w:r>
          <w:rPr>
            <w:rFonts w:ascii="Times New Roman" w:cs="Times New Roman" w:eastAsia="Times New Roman" w:hAnsi="Times New Roman"/>
            <w:sz w:val="18"/>
            <w:szCs w:val="18"/>
            <w:u w:val="single" w:color="auto"/>
            <w:color w:val="0000EE"/>
          </w:rPr>
          <w:t>Form of Offering Agent Warrant, dated June 18, 2019 (incorporated by reference to Exhibit 4.2 to the Company’s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8-K filed with the Securities and Exchange Commission on June 18, 2019.</w:t>
        </w:r>
      </w:hyperlink>
    </w:p>
    <w:p>
      <w:pPr>
        <w:spacing w:after="0" w:line="9" w:lineRule="exact"/>
        <w:rPr>
          <w:sz w:val="20"/>
          <w:szCs w:val="20"/>
          <w:color w:val="auto"/>
        </w:rPr>
      </w:pPr>
    </w:p>
    <w:p>
      <w:pPr>
        <w:ind w:left="1100" w:right="2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82">
        <w:r>
          <w:rPr>
            <w:rFonts w:ascii="Times New Roman" w:cs="Times New Roman" w:eastAsia="Times New Roman" w:hAnsi="Times New Roman"/>
            <w:sz w:val="18"/>
            <w:szCs w:val="18"/>
            <w:u w:val="single" w:color="auto"/>
            <w:color w:val="0000EE"/>
          </w:rPr>
          <w:t>Form of Warrant Agreement (incorporated by reference to Exhibit 4.1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Securities and Exchange Commission on June 2, 2020).</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83">
        <w:r>
          <w:rPr>
            <w:rFonts w:ascii="Times New Roman" w:cs="Times New Roman" w:eastAsia="Times New Roman" w:hAnsi="Times New Roman"/>
            <w:sz w:val="18"/>
            <w:szCs w:val="18"/>
            <w:u w:val="single" w:color="auto"/>
            <w:color w:val="0000EE"/>
          </w:rPr>
          <w:t>Form of Placement Agent Warrant (incorporated by reference to Exhibit 4.1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Securities and Exchange Commission on June 30, 2023).</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84">
        <w:r>
          <w:rPr>
            <w:rFonts w:ascii="Times New Roman" w:cs="Times New Roman" w:eastAsia="Times New Roman" w:hAnsi="Times New Roman"/>
            <w:sz w:val="18"/>
            <w:szCs w:val="18"/>
            <w:u w:val="single" w:color="auto"/>
            <w:color w:val="0000EE"/>
          </w:rPr>
          <w:t>Description of Securities (incorporated by reference to Exhibit 4.8 to the Company’s Annual Report on Form 10-K filed with the Securities</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and Exchange Commission on August 28, 2024).</w:t>
        </w:r>
      </w:hyperlink>
    </w:p>
    <w:p>
      <w:pPr>
        <w:spacing w:after="0" w:line="1" w:lineRule="exact"/>
        <w:rPr>
          <w:sz w:val="20"/>
          <w:szCs w:val="20"/>
          <w:color w:val="auto"/>
        </w:rPr>
      </w:pPr>
    </w:p>
    <w:p>
      <w:pPr>
        <w:ind w:left="1100" w:hanging="71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85">
        <w:r>
          <w:rPr>
            <w:rFonts w:ascii="Times New Roman" w:cs="Times New Roman" w:eastAsia="Times New Roman" w:hAnsi="Times New Roman"/>
            <w:sz w:val="18"/>
            <w:szCs w:val="18"/>
            <w:u w:val="single" w:color="auto"/>
            <w:color w:val="0000EE"/>
          </w:rPr>
          <w:t>Form of Warrant (incorporated by reference to Exhibit 4.1 to the Company’s Current Report on Form 8-K filed with the Securities and</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Exchange Commission on February 28, 2025)</w:t>
        </w:r>
      </w:hyperlink>
    </w:p>
    <w:p>
      <w:pPr>
        <w:spacing w:after="0" w:line="1" w:lineRule="exact"/>
        <w:rPr>
          <w:sz w:val="20"/>
          <w:szCs w:val="20"/>
          <w:color w:val="auto"/>
        </w:rPr>
      </w:pPr>
    </w:p>
    <w:p>
      <w:pPr>
        <w:jc w:val="both"/>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86">
        <w:r>
          <w:rPr>
            <w:rFonts w:ascii="Times New Roman" w:cs="Times New Roman" w:eastAsia="Times New Roman" w:hAnsi="Times New Roman"/>
            <w:sz w:val="18"/>
            <w:szCs w:val="18"/>
            <w:u w:val="single" w:color="auto"/>
            <w:color w:val="0000EE"/>
          </w:rPr>
          <w:t>Amended and Restated Intellectual Property License Agreement, dated September 30, 2016, by and between Wrap Technologies, LLC and</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Syzygy Licensing LLC (incorporated by reference to Exhibit 10.1 to the Company’s Registration Statement on Form S-1 filed with the</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Securities and Exchange Commission on April 17,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15"/>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87">
        <w:r>
          <w:rPr>
            <w:rFonts w:ascii="Times New Roman" w:cs="Times New Roman" w:eastAsia="Times New Roman" w:hAnsi="Times New Roman"/>
            <w:sz w:val="18"/>
            <w:szCs w:val="18"/>
            <w:u w:val="single" w:color="auto"/>
            <w:color w:val="0000EE"/>
          </w:rPr>
          <w:t>Wrap Technologies, Inc. 2017 Equity Compensation Plan (incorporated by reference to Exhibit 10.2 to the Company’s Registration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Statement on Form S-1 filed with the Securities and Exchange Commission on April 17, 2017).</w:t>
        </w:r>
      </w:hyperlink>
    </w:p>
    <w:p>
      <w:pPr>
        <w:spacing w:after="0" w:line="1" w:lineRule="exact"/>
        <w:rPr>
          <w:sz w:val="20"/>
          <w:szCs w:val="20"/>
          <w:color w:val="auto"/>
        </w:rPr>
      </w:pPr>
    </w:p>
    <w:p>
      <w:pPr>
        <w:ind w:left="1100" w:hanging="882"/>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88">
        <w:r>
          <w:rPr>
            <w:rFonts w:ascii="Times New Roman" w:cs="Times New Roman" w:eastAsia="Times New Roman" w:hAnsi="Times New Roman"/>
            <w:sz w:val="18"/>
            <w:szCs w:val="18"/>
            <w:u w:val="single" w:color="auto"/>
            <w:color w:val="0000EE"/>
          </w:rPr>
          <w:t>Amendment No. 1 to the Wrap Technologies, Inc. 2017 Equity Compensation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Company’s Registration Statement on Form S-8 filed with the Securities and Exchange Commission on June 24, 2019).</w:t>
        </w:r>
      </w:hyperlink>
    </w:p>
    <w:p>
      <w:pPr>
        <w:spacing w:after="0" w:line="1" w:lineRule="exact"/>
        <w:rPr>
          <w:sz w:val="20"/>
          <w:szCs w:val="20"/>
          <w:color w:val="auto"/>
        </w:rPr>
      </w:pPr>
    </w:p>
    <w:p>
      <w:pPr>
        <w:ind w:left="1100" w:hanging="882"/>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89">
        <w:r>
          <w:rPr>
            <w:rFonts w:ascii="Times New Roman" w:cs="Times New Roman" w:eastAsia="Times New Roman" w:hAnsi="Times New Roman"/>
            <w:sz w:val="18"/>
            <w:szCs w:val="18"/>
            <w:u w:val="single" w:color="auto"/>
            <w:color w:val="0000EE"/>
          </w:rPr>
          <w:t>Amendment No. 2 to the Wrap Technologies, Inc. 2017 Equity Compensation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Company’s Registration Statement on Form S-8 filed with the Securities and Exchange Commission on June 17, 2020).</w:t>
        </w:r>
      </w:hyperlink>
    </w:p>
    <w:p>
      <w:pPr>
        <w:spacing w:after="0" w:line="1" w:lineRule="exact"/>
        <w:rPr>
          <w:sz w:val="20"/>
          <w:szCs w:val="20"/>
          <w:color w:val="auto"/>
        </w:rPr>
      </w:pPr>
    </w:p>
    <w:p>
      <w:pPr>
        <w:ind w:left="1100" w:hanging="882"/>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90">
        <w:r>
          <w:rPr>
            <w:rFonts w:ascii="Times New Roman" w:cs="Times New Roman" w:eastAsia="Times New Roman" w:hAnsi="Times New Roman"/>
            <w:sz w:val="18"/>
            <w:szCs w:val="18"/>
            <w:u w:val="single" w:color="auto"/>
            <w:color w:val="0000EE"/>
          </w:rPr>
          <w:t>Amendment No. 3 to the Wrap Technologies, Inc. 2017 Equity Compensation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Registration Statement on Form S-8 filed with the Securities and Exchange Commission on November 5, 2021).</w:t>
        </w:r>
      </w:hyperlink>
    </w:p>
    <w:p>
      <w:pPr>
        <w:spacing w:after="0" w:line="1" w:lineRule="exact"/>
        <w:rPr>
          <w:sz w:val="20"/>
          <w:szCs w:val="20"/>
          <w:color w:val="auto"/>
        </w:rPr>
      </w:pPr>
    </w:p>
    <w:p>
      <w:pPr>
        <w:ind w:left="1100" w:right="20" w:hanging="882"/>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91">
        <w:r>
          <w:rPr>
            <w:rFonts w:ascii="Times New Roman" w:cs="Times New Roman" w:eastAsia="Times New Roman" w:hAnsi="Times New Roman"/>
            <w:sz w:val="18"/>
            <w:szCs w:val="18"/>
            <w:u w:val="single" w:color="auto"/>
            <w:color w:val="0000EE"/>
          </w:rPr>
          <w:t>Fifth Amendment to the Wrap Technologies, Inc. 2017 Equity Compensation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Company’s Current Report on Form 8-K filed with the Securities and Exchange Commission on December 26, 2024).</w:t>
        </w:r>
      </w:hyperlink>
    </w:p>
    <w:p>
      <w:pPr>
        <w:spacing w:after="0" w:line="1" w:lineRule="exact"/>
        <w:rPr>
          <w:sz w:val="20"/>
          <w:szCs w:val="20"/>
          <w:color w:val="auto"/>
        </w:rPr>
      </w:pPr>
    </w:p>
    <w:p>
      <w:pPr>
        <w:jc w:val="both"/>
        <w:ind w:left="1100" w:hanging="815"/>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92">
        <w:r>
          <w:rPr>
            <w:rFonts w:ascii="Times New Roman" w:cs="Times New Roman" w:eastAsia="Times New Roman" w:hAnsi="Times New Roman"/>
            <w:sz w:val="18"/>
            <w:szCs w:val="18"/>
            <w:u w:val="single" w:color="auto"/>
            <w:color w:val="0000EE"/>
          </w:rPr>
          <w:t>Form of At-Will Employment, Confidential Information, Non-Compete/ Non-Solicitation, Invention Assignment, and Arbitration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Agreement between the Key Employees and the Company dated December 14, 2020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Current Report on Form 8-K filed with the Securities and Exchange Commission on September 14,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93">
        <w:r>
          <w:rPr>
            <w:rFonts w:ascii="Times New Roman" w:cs="Times New Roman" w:eastAsia="Times New Roman" w:hAnsi="Times New Roman"/>
            <w:sz w:val="18"/>
            <w:szCs w:val="18"/>
            <w:u w:val="single" w:color="auto"/>
            <w:color w:val="0000EE"/>
          </w:rPr>
          <w:t>Cooperation Agreement by and between the Company and Elwood G. Norris and certain of his affiliates dated March 4, 2021 (incorporated</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by reference to Exhibit 10.1 to the Company’s Current Report on Form 8-K filed with the Securities and Exchange Commission on March 9,</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4">
        <w:r>
          <w:rPr>
            <w:rFonts w:ascii="Times New Roman" w:cs="Times New Roman" w:eastAsia="Times New Roman" w:hAnsi="Times New Roman"/>
            <w:sz w:val="18"/>
            <w:szCs w:val="18"/>
            <w:u w:val="single" w:color="auto"/>
            <w:color w:val="0000EE"/>
          </w:rPr>
          <w:t>Consulting Agreement between the Company and LWV Consulting, LLC, dated January 24, 2022 (incorporated by reference to Exhibit 10.2</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to the Company’s Current Report on Form 8-K filed with the Securities and Exchange Commission filed on January 26, 2022).</w:t>
        </w:r>
      </w:hyperlink>
    </w:p>
    <w:p>
      <w:pPr>
        <w:spacing w:after="0" w:line="1" w:lineRule="exact"/>
        <w:rPr>
          <w:sz w:val="20"/>
          <w:szCs w:val="20"/>
          <w:color w:val="auto"/>
        </w:rPr>
      </w:pPr>
    </w:p>
    <w:p>
      <w:pPr>
        <w:jc w:val="both"/>
        <w:ind w:left="1100" w:hanging="764"/>
        <w:spacing w:after="0" w:line="26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5">
        <w:r>
          <w:rPr>
            <w:rFonts w:ascii="Times New Roman" w:cs="Times New Roman" w:eastAsia="Times New Roman" w:hAnsi="Times New Roman"/>
            <w:sz w:val="18"/>
            <w:szCs w:val="18"/>
            <w:u w:val="single" w:color="auto"/>
            <w:color w:val="0000EE"/>
          </w:rPr>
          <w:t>Consulting Agreement between the Company and LRHIRSH, LLC, dated January 24, 2022 (incorporated by reference to Exhibit 10.3 to the</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Company’s Current Report on Form 8-K filed with the Securities and Exchange Commission on January 26, 2022).</w:t>
        </w:r>
      </w:hyperlink>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245" w:gutter="0" w:footer="0" w:header="0"/>
          <w:type w:val="continuous"/>
        </w:sectPr>
      </w:pPr>
    </w:p>
    <w:bookmarkStart w:id="51" w:name="page52"/>
    <w:bookmarkEnd w:id="51"/>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905" w:orient="portrait"/>
          <w:cols w:equalWidth="0" w:num="1">
            <w:col w:w="11240"/>
          </w:cols>
          <w:pgMar w:left="320" w:top="229" w:right="339" w:bottom="0" w:gutter="0" w:footer="0" w:header="0"/>
        </w:sect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172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19685</wp:posOffset>
            </wp:positionV>
            <wp:extent cx="6437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22" w:lineRule="exact"/>
        <w:rPr>
          <w:sz w:val="20"/>
          <w:szCs w:val="20"/>
          <w:color w:val="auto"/>
        </w:rPr>
      </w:pPr>
    </w:p>
    <w:p>
      <w:pPr>
        <w:sectPr>
          <w:pgSz w:w="11900" w:h="16905" w:orient="portrait"/>
          <w:cols w:equalWidth="0" w:num="2">
            <w:col w:w="5000" w:space="720"/>
            <w:col w:w="5520"/>
          </w:cols>
          <w:pgMar w:left="320" w:top="229" w:right="339" w:bottom="0" w:gutter="0" w:footer="0" w:header="0"/>
          <w:type w:val="continuous"/>
        </w:sectPr>
      </w:pPr>
    </w:p>
    <w:p>
      <w:pPr>
        <w:spacing w:after="0" w:line="20" w:lineRule="exact"/>
        <w:rPr>
          <w:sz w:val="20"/>
          <w:szCs w:val="20"/>
          <w:color w:val="auto"/>
        </w:rPr>
      </w:pPr>
    </w:p>
    <w:p>
      <w:pPr>
        <w:ind w:left="1100" w:right="20" w:hanging="815"/>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99">
        <w:r>
          <w:rPr>
            <w:rFonts w:ascii="Times New Roman" w:cs="Times New Roman" w:eastAsia="Times New Roman" w:hAnsi="Times New Roman"/>
            <w:sz w:val="18"/>
            <w:szCs w:val="18"/>
            <w:u w:val="single" w:color="auto"/>
            <w:color w:val="0000EE"/>
          </w:rPr>
          <w:t>Employment Agreement between Wrap Technologies, Inc. and TJ Kennedy, dated April 13, 2022 (incorporated by reference to Exhibit 10.1</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to the Company’s Current Report on Form 8-K filed with the Securities and Exchange Commission on April 19, 2022).</w:t>
        </w:r>
      </w:hyperlink>
    </w:p>
    <w:p>
      <w:pPr>
        <w:ind w:left="2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00">
        <w:r>
          <w:rPr>
            <w:rFonts w:ascii="Times New Roman" w:cs="Times New Roman" w:eastAsia="Times New Roman" w:hAnsi="Times New Roman"/>
            <w:sz w:val="18"/>
            <w:szCs w:val="18"/>
            <w:u w:val="single" w:color="auto"/>
            <w:color w:val="0000EE"/>
          </w:rPr>
          <w:t>Employment Agreement between Wrap Technologies, Inc. and Kevin Mullins, dated April 13, 2022. (incorporated by reference to Exhibit</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10.2 to the Company’s Current Report on Form 8-K filed with the Securities and Exchange Commission on April 19, 2022).</w:t>
        </w:r>
      </w:hyperlink>
    </w:p>
    <w:p>
      <w:pPr>
        <w:spacing w:after="0" w:line="9" w:lineRule="exact"/>
        <w:rPr>
          <w:sz w:val="20"/>
          <w:szCs w:val="20"/>
          <w:color w:val="auto"/>
        </w:rPr>
      </w:pPr>
    </w:p>
    <w:p>
      <w:pPr>
        <w:jc w:val="both"/>
        <w:ind w:left="1100" w:hanging="882"/>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10.8.1+</w:t>
      </w:r>
      <w:r>
        <w:rPr>
          <w:sz w:val="20"/>
          <w:szCs w:val="20"/>
          <w:color w:val="auto"/>
        </w:rPr>
        <w:tab/>
      </w:r>
      <w:hyperlink r:id="rId101">
        <w:r>
          <w:rPr>
            <w:rFonts w:ascii="Times New Roman" w:cs="Times New Roman" w:eastAsia="Times New Roman" w:hAnsi="Times New Roman"/>
            <w:sz w:val="18"/>
            <w:szCs w:val="18"/>
            <w:u w:val="single" w:color="auto"/>
            <w:color w:val="0000EE"/>
          </w:rPr>
          <w:t>First Amendment to Employment Agreement, by and between Kevin Mullins and Wrap Technologies, Inc. dated January 14, 2024</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(incorporated by reference to Exhibit 10.2 to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Commission on January 19,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15"/>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02">
        <w:r>
          <w:rPr>
            <w:rFonts w:ascii="Times New Roman" w:cs="Times New Roman" w:eastAsia="Times New Roman" w:hAnsi="Times New Roman"/>
            <w:sz w:val="18"/>
            <w:szCs w:val="18"/>
            <w:u w:val="single" w:color="auto"/>
            <w:color w:val="0000EE"/>
          </w:rPr>
          <w:t>Letter Agreement by and between Wrap Technologies, Inc. and Chris DeAlmeida, executed July 20, 2022 (incorporated by reference to</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Exhibit 10.1 to the Company’s Current Report on Form 8-K filed with the Securities and Exchange Commission on July 25, 2022).</w:t>
        </w:r>
      </w:hyperlink>
    </w:p>
    <w:p>
      <w:pPr>
        <w:spacing w:after="0" w:line="1" w:lineRule="exact"/>
        <w:rPr>
          <w:sz w:val="20"/>
          <w:szCs w:val="20"/>
          <w:color w:val="auto"/>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03">
        <w:r>
          <w:rPr>
            <w:rFonts w:ascii="Times New Roman" w:cs="Times New Roman" w:eastAsia="Times New Roman" w:hAnsi="Times New Roman"/>
            <w:sz w:val="18"/>
            <w:szCs w:val="18"/>
            <w:u w:val="single" w:color="auto"/>
            <w:color w:val="0000EE"/>
          </w:rPr>
          <w:t>Professional Services and Technology Acquisition Agreement, dated November 22, 2022, by and between Wrap Technologies, Inc.,</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Lumeto, Inc. and Spatial Industries Group, Inc (incorporated by reference to Exhibit 10.1 to the Company’s Current Report on Form 8-K</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filed with the Securities and Exchange Commission on November 29,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6"/>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04">
        <w:r>
          <w:rPr>
            <w:rFonts w:ascii="Times New Roman" w:cs="Times New Roman" w:eastAsia="Times New Roman" w:hAnsi="Times New Roman"/>
            <w:sz w:val="18"/>
            <w:szCs w:val="18"/>
            <w:u w:val="single" w:color="auto"/>
            <w:color w:val="0000EE"/>
          </w:rPr>
          <w:t>Separation Agreement between the Company and Mr. Kennedy (incorporated by reference to Exhibit 10.1 to the Company’s Current Report</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on Form 8-K filed with the Securities and Exchange Commission on April 19, 2023).</w:t>
        </w:r>
      </w:hyperlink>
    </w:p>
    <w:p>
      <w:pPr>
        <w:spacing w:after="0" w:line="1" w:lineRule="exact"/>
        <w:rPr>
          <w:sz w:val="20"/>
          <w:szCs w:val="20"/>
          <w:color w:val="auto"/>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05">
        <w:r>
          <w:rPr>
            <w:rFonts w:ascii="Times New Roman" w:cs="Times New Roman" w:eastAsia="Times New Roman" w:hAnsi="Times New Roman"/>
            <w:sz w:val="18"/>
            <w:szCs w:val="18"/>
            <w:u w:val="single" w:color="auto"/>
            <w:color w:val="0000EE"/>
          </w:rPr>
          <w:t>Severance Agreement and Release of Claims, dated May 8, 2023, by and between Wrap Technologies, Inc. and Glenn Hickman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(incorporated by reference to Exhibit 10.1 to the Company’s Quarterly Report on Form 10-Q filed with the Securities and Exchange</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Commission on May 10,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06">
        <w:r>
          <w:rPr>
            <w:rFonts w:ascii="Times New Roman" w:cs="Times New Roman" w:eastAsia="Times New Roman" w:hAnsi="Times New Roman"/>
            <w:sz w:val="18"/>
            <w:szCs w:val="18"/>
            <w:u w:val="single" w:color="auto"/>
            <w:color w:val="0000EE"/>
          </w:rPr>
          <w:t>Form of Securities Purchase Agreement (incorporated by reference to Exhibit 10.1 to the Company’s Current Report on Form 8-K filed with</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the Securities and Exchange Commission on June 30, 2023).</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7">
        <w:r>
          <w:rPr>
            <w:rFonts w:ascii="Times New Roman" w:cs="Times New Roman" w:eastAsia="Times New Roman" w:hAnsi="Times New Roman"/>
            <w:sz w:val="18"/>
            <w:szCs w:val="18"/>
            <w:u w:val="single" w:color="auto"/>
            <w:color w:val="0000EE"/>
          </w:rPr>
          <w:t>Engagement Letter, dated June 29, 2023 by and between Wrap Technologies, Inc. and Katalyst Securities LLC (incorporated by reference to</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Exhibit 10.2 to the Company’s Current Report on Form 8-K filed with the Securities and Exchange Commission on June 30, 2023).</w:t>
        </w:r>
      </w:hyperlink>
    </w:p>
    <w:p>
      <w:pPr>
        <w:spacing w:after="0" w:line="1" w:lineRule="exact"/>
        <w:rPr>
          <w:sz w:val="20"/>
          <w:szCs w:val="20"/>
          <w:color w:val="auto"/>
        </w:rPr>
      </w:pPr>
    </w:p>
    <w:p>
      <w:pPr>
        <w:jc w:val="both"/>
        <w:ind w:left="110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08">
        <w:r>
          <w:rPr>
            <w:rFonts w:ascii="Times New Roman" w:cs="Times New Roman" w:eastAsia="Times New Roman" w:hAnsi="Times New Roman"/>
            <w:sz w:val="18"/>
            <w:szCs w:val="18"/>
            <w:u w:val="single" w:color="auto"/>
            <w:color w:val="0000EE"/>
          </w:rPr>
          <w:t>Membership Interest Purchase Agreement, dated August 9, 2023, by and among Wrap Technologies, Inc., Buford Ortale, and the sellers</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signatory thereto (incorporated by reference to Exhibit 10.1 to the Company’s Current Report on Form 8-K filed with the Securities and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Exchange Commission on August 21, 2023).</w:t>
        </w:r>
      </w:hyperlink>
    </w:p>
    <w:p>
      <w:pPr>
        <w:spacing w:after="0" w:line="1" w:lineRule="exact"/>
        <w:rPr>
          <w:rFonts w:ascii="Times New Roman" w:cs="Times New Roman" w:eastAsia="Times New Roman" w:hAnsi="Times New Roman"/>
          <w:sz w:val="18"/>
          <w:szCs w:val="18"/>
          <w:u w:val="single" w:color="auto"/>
          <w:color w:val="0000EE"/>
        </w:rPr>
      </w:pPr>
    </w:p>
    <w:p>
      <w:pPr>
        <w:ind w:left="1100" w:hanging="86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09">
        <w:r>
          <w:rPr>
            <w:rFonts w:ascii="Times New Roman" w:cs="Times New Roman" w:eastAsia="Times New Roman" w:hAnsi="Times New Roman"/>
            <w:sz w:val="18"/>
            <w:szCs w:val="18"/>
            <w:u w:val="single" w:color="auto"/>
            <w:color w:val="0000EE"/>
          </w:rPr>
          <w:t>Employment Agreement by and between Scot Cohen and Wrap Technologies, Inc. dated October 12, 2023 (incorporated by reference to</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Exhibit 10.1 to the Company’s Current Report on Form 8-K filed with the Securities and Exchange Commission on October 16, 2023).</w:t>
        </w:r>
      </w:hyperlink>
    </w:p>
    <w:p>
      <w:pPr>
        <w:spacing w:after="0" w:line="1" w:lineRule="exact"/>
        <w:rPr>
          <w:sz w:val="20"/>
          <w:szCs w:val="20"/>
          <w:color w:val="auto"/>
        </w:rPr>
      </w:pPr>
    </w:p>
    <w:p>
      <w:pPr>
        <w:jc w:val="both"/>
        <w:ind w:left="1100" w:hanging="927"/>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10.16.1+</w:t>
      </w:r>
      <w:r>
        <w:rPr>
          <w:sz w:val="20"/>
          <w:szCs w:val="20"/>
          <w:color w:val="auto"/>
        </w:rPr>
        <w:tab/>
      </w:r>
      <w:hyperlink r:id="rId110">
        <w:r>
          <w:rPr>
            <w:rFonts w:ascii="Times New Roman" w:cs="Times New Roman" w:eastAsia="Times New Roman" w:hAnsi="Times New Roman"/>
            <w:sz w:val="18"/>
            <w:szCs w:val="18"/>
            <w:u w:val="single" w:color="auto"/>
            <w:color w:val="0000EE"/>
          </w:rPr>
          <w:t>First Amendment to Employment Agreement, by and between Scot Cohen and Wrap Technologies, Inc. dated January 14, 2024</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(incorporated by reference to Exhibit 10.1 to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Commission on January 19, 2024).</w:t>
        </w:r>
      </w:hyperlink>
    </w:p>
    <w:p>
      <w:pPr>
        <w:spacing w:after="0" w:line="1" w:lineRule="exact"/>
        <w:rPr>
          <w:rFonts w:ascii="Times New Roman" w:cs="Times New Roman" w:eastAsia="Times New Roman" w:hAnsi="Times New Roman"/>
          <w:sz w:val="18"/>
          <w:szCs w:val="18"/>
          <w:u w:val="single" w:color="auto"/>
          <w:color w:val="0000EE"/>
        </w:rPr>
      </w:pPr>
    </w:p>
    <w:p>
      <w:pPr>
        <w:ind w:left="1100" w:hanging="86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11">
        <w:r>
          <w:rPr>
            <w:rFonts w:ascii="Times New Roman" w:cs="Times New Roman" w:eastAsia="Times New Roman" w:hAnsi="Times New Roman"/>
            <w:sz w:val="18"/>
            <w:szCs w:val="18"/>
            <w:u w:val="single" w:color="auto"/>
            <w:color w:val="0000EE"/>
          </w:rPr>
          <w:t>Employment Agreement, by and between the Company and Jared Novick, effective as of December 26, 2023 (incorporated by reference to</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Exhibit 10.1 to the Company’s Current Report on Form 8-K filed with the Securities and Exchange Commission on December 26, 2023).</w:t>
        </w:r>
      </w:hyperlink>
    </w:p>
    <w:p>
      <w:pPr>
        <w:spacing w:after="0" w:line="1" w:lineRule="exact"/>
        <w:rPr>
          <w:sz w:val="20"/>
          <w:szCs w:val="20"/>
          <w:color w:val="auto"/>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2">
        <w:r>
          <w:rPr>
            <w:rFonts w:ascii="Times New Roman" w:cs="Times New Roman" w:eastAsia="Times New Roman" w:hAnsi="Times New Roman"/>
            <w:sz w:val="18"/>
            <w:szCs w:val="18"/>
            <w:u w:val="single" w:color="auto"/>
            <w:color w:val="0000EE"/>
          </w:rPr>
          <w:t>Separation Agreement and Mutual Release of Claims, dated January 5, 2024, by and between Wrap Technologies, Inc. and Chris</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DeAlmeida (incorporated by reference to Exhibit 10.1 to the Company’s Current Report on Form 8-K filed with the Securities and</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Exchange Commission on January 5,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13">
        <w:r>
          <w:rPr>
            <w:rFonts w:ascii="Times New Roman" w:cs="Times New Roman" w:eastAsia="Times New Roman" w:hAnsi="Times New Roman"/>
            <w:sz w:val="18"/>
            <w:szCs w:val="18"/>
            <w:u w:val="single" w:color="auto"/>
            <w:color w:val="0000EE"/>
          </w:rPr>
          <w:t>Form of Amendment, dated August 19, 2024, by and between Wrap Technologies, Inc. and the investors party thereto (incorporated by</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reference to Exhibit 10.1 to the Company’s Current Report on Form 8-K filed with the Securities and Exchange Commission on August 23,</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14">
        <w:r>
          <w:rPr>
            <w:rFonts w:ascii="Times New Roman" w:cs="Times New Roman" w:eastAsia="Times New Roman" w:hAnsi="Times New Roman"/>
            <w:sz w:val="18"/>
            <w:szCs w:val="18"/>
            <w:u w:val="single" w:color="auto"/>
            <w:color w:val="0000EE"/>
          </w:rPr>
          <w:t>Form of Amendment, dated October 14, 2024, by and between Wrap Technologies, Inc. and the investors party thereto (incorporated by</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reference to Exhibit 10.3 to the Company’s Quarterly Report on Form 10-Q filed with the Securities and Exchange Commission on October</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15,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15">
        <w:r>
          <w:rPr>
            <w:rFonts w:ascii="Times New Roman" w:cs="Times New Roman" w:eastAsia="Times New Roman" w:hAnsi="Times New Roman"/>
            <w:sz w:val="18"/>
            <w:szCs w:val="18"/>
            <w:u w:val="single" w:color="auto"/>
            <w:color w:val="0000EE"/>
          </w:rPr>
          <w:t>Form of Amendment and Agreement, dated November 25, 2024, by and between Wrap Technologies, Inc. and the investors party thereto</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(incorporated by reference to Exhibit 10.1 to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Commission on December 2,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76">
        <w:r>
          <w:rPr>
            <w:rFonts w:ascii="Times New Roman" w:cs="Times New Roman" w:eastAsia="Times New Roman" w:hAnsi="Times New Roman"/>
            <w:sz w:val="18"/>
            <w:szCs w:val="18"/>
            <w:u w:val="single" w:color="auto"/>
            <w:color w:val="0000EE"/>
          </w:rPr>
          <w:t>Form of Amendment and Agreement, dated November 25, 2024, by and between Wrap Technologies, Inc. and the investors party thereto</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(incorporated by reference to Exhibit 10.1 to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Commission on December 9,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6">
        <w:r>
          <w:rPr>
            <w:rFonts w:ascii="Times New Roman" w:cs="Times New Roman" w:eastAsia="Times New Roman" w:hAnsi="Times New Roman"/>
            <w:sz w:val="18"/>
            <w:szCs w:val="18"/>
            <w:u w:val="single" w:color="auto"/>
            <w:color w:val="0000EE"/>
          </w:rPr>
          <w:t>Securities Purchase Agreement, dated February 24, 2025, by and among the Company and the investors signatory thereto (incorporated by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reference to Exhibit 10.1 to the Company’s Current Report on Form 8-K filed with the Securities and Exchange Commission on February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28,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7">
        <w:r>
          <w:rPr>
            <w:rFonts w:ascii="Times New Roman" w:cs="Times New Roman" w:eastAsia="Times New Roman" w:hAnsi="Times New Roman"/>
            <w:sz w:val="18"/>
            <w:szCs w:val="18"/>
            <w:u w:val="single" w:color="auto"/>
            <w:color w:val="0000EE"/>
          </w:rPr>
          <w:t>Registration Rights Agreement, dated February 24, 2025, by and among the Company and the investors signatory thereto (incorporated by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reference to Exhibit 10.2 to the Company’s Current Report on Form 8-K filed with the Securities and Exchange Commission on February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28, 2025).</w:t>
        </w:r>
      </w:hyperlink>
    </w:p>
    <w:p>
      <w:pPr>
        <w:spacing w:after="0" w:line="1" w:lineRule="exact"/>
        <w:rPr>
          <w:rFonts w:ascii="Times New Roman" w:cs="Times New Roman" w:eastAsia="Times New Roman" w:hAnsi="Times New Roman"/>
          <w:sz w:val="18"/>
          <w:szCs w:val="18"/>
          <w:u w:val="single" w:color="auto"/>
          <w:color w:val="0000EE"/>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14.1</w:t>
      </w:r>
      <w:r>
        <w:rPr>
          <w:sz w:val="20"/>
          <w:szCs w:val="20"/>
          <w:color w:val="auto"/>
        </w:rPr>
        <w:tab/>
      </w:r>
      <w:hyperlink r:id="rId118">
        <w:r>
          <w:rPr>
            <w:rFonts w:ascii="Times New Roman" w:cs="Times New Roman" w:eastAsia="Times New Roman" w:hAnsi="Times New Roman"/>
            <w:sz w:val="18"/>
            <w:szCs w:val="18"/>
            <w:u w:val="single" w:color="auto"/>
            <w:color w:val="0000EE"/>
          </w:rPr>
          <w:t>Code of Ethics of the Registrant Applicable to Directors, Officers and Employees (incorporated by reference to Exhibit 14.1 to the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Company’s Annual Report on Form 10-K filed with the Securities and Exchange Commission on March 4, 2021).</w:t>
        </w:r>
      </w:hyperlink>
    </w:p>
    <w:p>
      <w:pPr>
        <w:spacing w:after="0" w:line="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EE"/>
        </w:rPr>
        <w:t>Wrap Technologies, Inc. Insider Trading Policy.</w:t>
      </w:r>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19">
        <w:r>
          <w:rPr>
            <w:rFonts w:ascii="Times New Roman" w:cs="Times New Roman" w:eastAsia="Times New Roman" w:hAnsi="Times New Roman"/>
            <w:sz w:val="18"/>
            <w:szCs w:val="18"/>
            <w:u w:val="single" w:color="auto"/>
            <w:color w:val="0000EE"/>
          </w:rPr>
          <w:t>Subsidiaries of Wrap Technologies, Inc (incorporated by reference to Exhibit 21.1 to the Company’s Annual Report on Form 10-K filed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with the Securities and Exchange Commission on March 4, 2021).</w:t>
        </w:r>
      </w:hyperlink>
    </w:p>
    <w:p>
      <w:pPr>
        <w:spacing w:after="0" w:line="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Independent Registered Public Accounting Firm - HTL International, LLC.</w:t>
      </w:r>
    </w:p>
    <w:p>
      <w:pPr>
        <w:spacing w:after="0" w:line="9"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pursuant to Rule 13a-14(a) under the Securities Exchange Act of 1934</w:t>
      </w:r>
    </w:p>
    <w:p>
      <w:pPr>
        <w:spacing w:after="0" w:line="9" w:lineRule="exact"/>
        <w:rPr>
          <w:sz w:val="20"/>
          <w:szCs w:val="20"/>
          <w:color w:val="auto"/>
        </w:rPr>
      </w:pPr>
    </w:p>
    <w:p>
      <w:pPr>
        <w:ind w:left="200"/>
        <w:spacing w:after="0"/>
        <w:tabs>
          <w:tab w:leader="none" w:pos="10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Section 1350 Certification - Principal Executive Officer and Principal Financial Officer.</w:t>
      </w:r>
    </w:p>
    <w:p>
      <w:pPr>
        <w:spacing w:after="0" w:line="9" w:lineRule="exact"/>
        <w:rPr>
          <w:sz w:val="20"/>
          <w:szCs w:val="20"/>
          <w:color w:val="auto"/>
        </w:rPr>
      </w:pPr>
    </w:p>
    <w:p>
      <w:pPr>
        <w:ind w:left="1100" w:right="20" w:hanging="764"/>
        <w:spacing w:after="0" w:line="26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20">
        <w:r>
          <w:rPr>
            <w:rFonts w:ascii="Times New Roman" w:cs="Times New Roman" w:eastAsia="Times New Roman" w:hAnsi="Times New Roman"/>
            <w:sz w:val="18"/>
            <w:szCs w:val="18"/>
            <w:u w:val="single" w:color="auto"/>
            <w:color w:val="0000EE"/>
          </w:rPr>
          <w:t>Wrap Technologies, Inc. Compensation Recovery Policy (incorporated by reference to Exhibit 97.1 to the Company’s Annual Report 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Form 10-K filed with the Securities and Exchange Commission on August 28, 2024).</w:t>
        </w:r>
      </w:hyperlink>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Extensible Business Reporting Language (XBRL) Exhibits*</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16"/>
        </w:trPr>
        <w:tc>
          <w:tcPr>
            <w:tcW w:w="800" w:type="dxa"/>
            <w:vAlign w:val="bottom"/>
          </w:tcPr>
          <w:p>
            <w:pPr>
              <w:spacing w:after="0"/>
              <w:rPr>
                <w:sz w:val="18"/>
                <w:szCs w:val="18"/>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ectPr>
          <w:pgSz w:w="11900" w:h="16905" w:orient="portrait"/>
          <w:cols w:equalWidth="0" w:num="1">
            <w:col w:w="11240"/>
          </w:cols>
          <w:pgMar w:left="320" w:top="229" w:right="339" w:bottom="0" w:gutter="0" w:footer="0" w:header="0"/>
          <w:type w:val="continuous"/>
        </w:sectPr>
      </w:pPr>
    </w:p>
    <w:bookmarkStart w:id="52" w:name="page53"/>
    <w:bookmarkEnd w:id="52"/>
    <w:p>
      <w:pPr>
        <w:ind w:left="180"/>
        <w:spacing w:after="0"/>
        <w:tabs>
          <w:tab w:leader="none" w:pos="108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27" w:lineRule="exact"/>
        <w:rPr>
          <w:sz w:val="20"/>
          <w:szCs w:val="20"/>
          <w:color w:val="auto"/>
        </w:rPr>
      </w:pPr>
    </w:p>
    <w:p>
      <w:pPr>
        <w:ind w:left="1100" w:hanging="741"/>
        <w:spacing w:after="0"/>
        <w:tabs>
          <w:tab w:leader="none" w:pos="11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 in Exhibit 101)</w:t>
      </w:r>
    </w:p>
    <w:p>
      <w:pPr>
        <w:spacing w:after="0" w:line="206"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concurrently herewith.</w:t>
      </w:r>
    </w:p>
    <w:p>
      <w:pPr>
        <w:spacing w:after="0" w:line="9" w:lineRule="exact"/>
        <w:rPr>
          <w:sz w:val="20"/>
          <w:szCs w:val="20"/>
          <w:color w:val="auto"/>
        </w:rPr>
      </w:pPr>
    </w:p>
    <w:p>
      <w:pPr>
        <w:ind w:firstLine="8"/>
        <w:spacing w:after="0" w:line="250" w:lineRule="auto"/>
        <w:tabs>
          <w:tab w:leader="none" w:pos="2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as the Company has determined (i) the omitted information is not material and (ii) the omitted information would likely cause harm to the Company if publicly disclosed.</w:t>
      </w: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80" w:type="dxa"/>
            <w:vAlign w:val="bottom"/>
            <w:gridSpan w:val="5"/>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WRAP TECHNOLOGIES, INC.</w:t>
            </w:r>
          </w:p>
        </w:tc>
        <w:tc>
          <w:tcPr>
            <w:tcW w:w="6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40" w:type="dxa"/>
            <w:vAlign w:val="bottom"/>
            <w:gridSpan w:val="6"/>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40" w:type="dxa"/>
            <w:vAlign w:val="bottom"/>
          </w:tcPr>
          <w:p>
            <w:pPr>
              <w:spacing w:after="0"/>
              <w:rPr>
                <w:sz w:val="24"/>
                <w:szCs w:val="24"/>
                <w:color w:val="auto"/>
              </w:rPr>
            </w:pPr>
          </w:p>
        </w:tc>
      </w:tr>
      <w:tr>
        <w:trPr>
          <w:trHeight w:val="439"/>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7000)</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Years Ended December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2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459"/>
        </w:trPr>
        <w:tc>
          <w:tcPr>
            <w:tcW w:w="128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940" w:type="dxa"/>
            <w:vAlign w:val="bottom"/>
            <w:tcBorders>
              <w:top w:val="single" w:sz="8" w:color="CCEEFF"/>
              <w:bottom w:val="single" w:sz="8" w:color="auto"/>
            </w:tcBorders>
            <w:gridSpan w:val="4"/>
          </w:tcPr>
          <w:p>
            <w:pPr>
              <w:jc w:val="center"/>
              <w:ind w:right="4020"/>
              <w:spacing w:after="0"/>
              <w:rPr>
                <w:sz w:val="20"/>
                <w:szCs w:val="20"/>
                <w:color w:val="auto"/>
              </w:rPr>
            </w:pPr>
            <w:r>
              <w:rPr>
                <w:rFonts w:ascii="Times New Roman" w:cs="Times New Roman" w:eastAsia="Times New Roman" w:hAnsi="Times New Roman"/>
                <w:sz w:val="18"/>
                <w:szCs w:val="18"/>
                <w:color w:val="auto"/>
                <w:w w:val="95"/>
              </w:rPr>
              <w:t>F-1</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Wrap Technologies Inc. (the “Company”) as of December 31, 2024 and 2023, and the related consolidated statements of operations and comprehensive loss, stockholders’ equity, and cash flows for each of the two years in the period ended December 31, 2024, including the related notes (collectively referred to as the “consolidated financial statements”). In our opinion, the consolidated financial statements present fairly, in all material respects, the consolidated financial position of the Company as of December 31, 2024 and 2023, and the consolidated results of its operations and its consolidated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55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558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94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and contract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tcPr>
          <w:p>
            <w:pPr>
              <w:spacing w:after="0"/>
              <w:rPr>
                <w:sz w:val="18"/>
                <w:szCs w:val="18"/>
                <w:color w:val="auto"/>
              </w:rPr>
            </w:pPr>
          </w:p>
        </w:tc>
      </w:tr>
      <w:tr>
        <w:trPr>
          <w:trHeight w:val="229"/>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9"/>
                <w:szCs w:val="19"/>
                <w:color w:val="auto"/>
              </w:rPr>
            </w:pPr>
          </w:p>
        </w:tc>
      </w:tr>
      <w:tr>
        <w:trPr>
          <w:trHeight w:val="210"/>
        </w:trPr>
        <w:tc>
          <w:tcPr>
            <w:tcW w:w="68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lease right-of-use assets,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2,256</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Pr>
          <w:p>
            <w:pPr>
              <w:spacing w:after="0"/>
              <w:rPr>
                <w:sz w:val="18"/>
                <w:szCs w:val="18"/>
                <w:color w:val="auto"/>
              </w:rPr>
            </w:pPr>
          </w:p>
        </w:tc>
      </w:tr>
      <w:tr>
        <w:trPr>
          <w:trHeight w:val="23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r>
      <w:tr>
        <w:trPr>
          <w:trHeight w:val="263"/>
        </w:trPr>
        <w:tc>
          <w:tcPr>
            <w:tcW w:w="68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 - short term</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8"/>
                <w:szCs w:val="18"/>
                <w:color w:val="auto"/>
              </w:rPr>
            </w:pPr>
          </w:p>
        </w:tc>
      </w:tr>
      <w:tr>
        <w:trPr>
          <w:trHeight w:val="230"/>
        </w:trPr>
        <w:tc>
          <w:tcPr>
            <w:tcW w:w="6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10,131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19,703</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 - long term</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r>
      <w:tr>
        <w:trPr>
          <w:trHeight w:val="230"/>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19"/>
                <w:szCs w:val="19"/>
                <w:color w:val="auto"/>
              </w:rPr>
            </w:pPr>
          </w:p>
        </w:tc>
      </w:tr>
      <w:tr>
        <w:trPr>
          <w:trHeight w:val="209"/>
        </w:trPr>
        <w:tc>
          <w:tcPr>
            <w:tcW w:w="686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- 5,000,000 authorized; par value $0.0001 per share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68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- 150,000,000 authorized; par value $0.0001 per share; 47,101,631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43,855,503 shares issued and outstanding at December 31, 2024 and 2023,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198"/>
        </w:trPr>
        <w:tc>
          <w:tcPr>
            <w:tcW w:w="6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preferred stock - 10,000 authorized, par value $0.0001 per share;8,207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9,898 issued and outstanding at December 31, 2024 and 2023, respectively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101,147</w:t>
            </w:r>
          </w:p>
        </w:tc>
        <w:tc>
          <w:tcPr>
            <w:tcW w:w="8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(97,988)</w:t>
            </w:r>
          </w:p>
        </w:tc>
      </w:tr>
      <w:tr>
        <w:trPr>
          <w:trHeight w:val="229"/>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86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3,590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15,688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18,361</w:t>
            </w:r>
          </w:p>
        </w:tc>
        <w:tc>
          <w:tcPr>
            <w:tcW w:w="0" w:type="dxa"/>
            <w:vAlign w:val="bottom"/>
          </w:tcPr>
          <w:p>
            <w:pPr>
              <w:spacing w:after="0"/>
              <w:rPr>
                <w:sz w:val="1"/>
                <w:szCs w:val="1"/>
                <w:color w:val="auto"/>
              </w:rPr>
            </w:pP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warranty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convertible preferred stock dividends</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basic and diluted common share</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151"/>
        </w:trPr>
        <w:tc>
          <w:tcPr>
            <w:tcW w:w="67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common shares used to compute net loss per basic and diluted common</w:t>
            </w:r>
          </w:p>
        </w:tc>
        <w:tc>
          <w:tcPr>
            <w:tcW w:w="2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45,621,214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42,324,190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(7,093)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(30,612)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26"/>
        </w:trPr>
        <w:tc>
          <w:tcPr>
            <w:tcW w:w="278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r>
      <w:tr>
        <w:trPr>
          <w:trHeight w:val="214"/>
        </w:trPr>
        <w:tc>
          <w:tcPr>
            <w:tcW w:w="27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8"/>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41,175,993</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(67,376</w:t>
            </w:r>
          </w:p>
        </w:tc>
        <w:tc>
          <w:tcPr>
            <w:tcW w:w="30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87"/>
              </w:rPr>
              <w:t>94</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27,055</w:t>
            </w:r>
          </w:p>
        </w:tc>
        <w:tc>
          <w:tcPr>
            <w:tcW w:w="100" w:type="dxa"/>
            <w:vAlign w:val="bottom"/>
            <w:tcBorders>
              <w:top w:val="single" w:sz="8" w:color="CCEEFF"/>
            </w:tcBorders>
            <w:shd w:val="clear" w:color="auto" w:fill="CCEEFF"/>
          </w:tcPr>
          <w:p>
            <w:pPr>
              <w:spacing w:after="0"/>
              <w:rPr>
                <w:sz w:val="17"/>
                <w:szCs w:val="17"/>
                <w:color w:val="auto"/>
              </w:rPr>
            </w:pPr>
          </w:p>
        </w:tc>
      </w:tr>
      <w:tr>
        <w:trPr>
          <w:trHeight w:val="169"/>
        </w:trPr>
        <w:tc>
          <w:tcPr>
            <w:tcW w:w="27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Common shares issued upon exercise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of stock options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123,056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208</w:t>
            </w:r>
          </w:p>
        </w:tc>
      </w:tr>
      <w:tr>
        <w:trPr>
          <w:trHeight w:val="20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2,400</w:t>
            </w:r>
          </w:p>
        </w:tc>
      </w:tr>
      <w:tr>
        <w:trPr>
          <w:trHeight w:val="189"/>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convertible preferred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173,654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(392)</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w:t>
            </w:r>
          </w:p>
        </w:tc>
      </w:tr>
      <w:tr>
        <w:trPr>
          <w:trHeight w:val="19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 issued, net</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offering costs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10,000</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2,036</w:t>
            </w:r>
          </w:p>
        </w:tc>
      </w:tr>
      <w:tr>
        <w:trPr>
          <w:trHeight w:val="189"/>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upon</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convertible preferred stock exercising</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conversion rights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76,440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upon vesting of</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1,056,360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1,250,000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1,938</w:t>
            </w:r>
          </w:p>
        </w:tc>
      </w:tr>
      <w:tr>
        <w:trPr>
          <w:trHeight w:val="205"/>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 US Treasury bills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7"/>
                <w:szCs w:val="17"/>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(30,220)</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(30,220)</w:t>
            </w:r>
          </w:p>
        </w:tc>
      </w:tr>
      <w:tr>
        <w:trPr>
          <w:trHeight w:val="199"/>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43,855,503</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101,147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(97,988</w:t>
            </w:r>
          </w:p>
        </w:tc>
        <w:tc>
          <w:tcPr>
            <w:tcW w:w="30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2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upon exercise</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stock options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232,081</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588</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2,433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2,433</w:t>
            </w:r>
          </w:p>
        </w:tc>
      </w:t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convertible preferred</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1,125,300</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(1,218)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2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issued upon</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 exercising</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rights</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1,391,183</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(1,691)</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issued upon vesting of</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497,564</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2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(5,875)</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(5,875)</w:t>
            </w:r>
          </w:p>
        </w:tc>
      </w:tr>
      <w:tr>
        <w:trPr>
          <w:trHeight w:val="209"/>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47,101,631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(105,081</w:t>
            </w:r>
          </w:p>
        </w:tc>
        <w:tc>
          <w:tcPr>
            <w:tcW w:w="30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0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(5,875)</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(30,220)</w:t>
            </w: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 and intangibles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1,985</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provision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(9,572)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11,986</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 off of accounts receivable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obsolescence reserve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settlement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0"/>
        </w:trPr>
        <w:tc>
          <w:tcPr>
            <w:tcW w:w="67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12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16,355</w:t>
            </w: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patents and trademarks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for acquisition of Intrensic</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6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5,178</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 and convertible preferred stock</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settled in cash</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67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5,330</w:t>
            </w:r>
          </w:p>
        </w:tc>
      </w:tr>
      <w:tr>
        <w:trPr>
          <w:trHeight w:val="263"/>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Borders>
              <w:bottom w:val="single" w:sz="8" w:color="CCEEFF"/>
            </w:tcBorders>
          </w:tcPr>
          <w:p>
            <w:pPr>
              <w:spacing w:after="0"/>
              <w:rPr>
                <w:sz w:val="22"/>
                <w:szCs w:val="22"/>
                <w:color w:val="auto"/>
              </w:rPr>
            </w:pPr>
          </w:p>
        </w:tc>
      </w:tr>
      <w:tr>
        <w:trPr>
          <w:trHeight w:val="196"/>
        </w:trPr>
        <w:tc>
          <w:tcPr>
            <w:tcW w:w="6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unrealized gain on short-term investments</w:t>
            </w:r>
          </w:p>
        </w:tc>
        <w:tc>
          <w:tcPr>
            <w:tcW w:w="15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and liability recorded during period</w:t>
            </w:r>
          </w:p>
        </w:tc>
        <w:tc>
          <w:tcPr>
            <w:tcW w:w="15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15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 from acquisition</w:t>
            </w:r>
          </w:p>
        </w:tc>
        <w:tc>
          <w:tcPr>
            <w:tcW w:w="15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2,491</w:t>
            </w: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on convertible preferred stock</w:t>
            </w:r>
          </w:p>
        </w:tc>
        <w:tc>
          <w:tcPr>
            <w:tcW w:w="15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(1,098)</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settled with common stock</w:t>
            </w:r>
          </w:p>
        </w:tc>
        <w:tc>
          <w:tcPr>
            <w:tcW w:w="15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1,158</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and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and Business Description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Wrap Technologies, Inc., a Delaware corporation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a publicly traded company with its common stock, par value $0.0001 per share (“Common Stock”), listed on the Nasdaq Capital Market (“Nasdaq”)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wholly owned subsidiaries, Wrap Reality, Inc., an Arizona corporation, formed in December 2020 that sells a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training system primarily targeting law enforcement agencies and Intrensic, LLC, which the Company acquired in August 2023, which specializes in Body Worn Camera and Digital Evidence Management solutions. The consolidated financial statements include the accounts of these subsidiaries after elimination of intercompany transactions and accounts.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 in conformity with accounting principles generally accepted in the United States of America (“US GAAP”). The preparation of financial statements in conformity with accounting principles generally accepted in the United States of America requires management to make estimates and assumptions (e.g., share-based compensation valuation, allowance for doubtful accounts, valuation of inventory and intangible assets, warranty reserve, accrued costs, valuation allowance related to deferred tax assets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Risk</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 Financial instruments that potentially subject the Company to concentration of credit risk consisted primarily of cash, cash equivalents,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and are managed within established guidelines to mitigate risks. To date, the Company has not experienced any losses on its cash and cash equivalents.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Concentrations of Accounts Receivable and Revenue </w:t>
      </w:r>
      <w:r>
        <w:rPr>
          <w:rFonts w:ascii="Times New Roman" w:cs="Times New Roman" w:eastAsia="Times New Roman" w:hAnsi="Times New Roman"/>
          <w:sz w:val="18"/>
          <w:szCs w:val="18"/>
          <w:color w:val="auto"/>
        </w:rPr>
        <w:t>– The Company has a limited number of domestic and international customers.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concentrations in both accounts receivable and revenue due to the timing of sales and collections of related payments (see Note 18).</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Suppliers </w:t>
      </w:r>
      <w:r>
        <w:rPr>
          <w:rFonts w:ascii="Times New Roman" w:cs="Times New Roman" w:eastAsia="Times New Roman" w:hAnsi="Times New Roman"/>
          <w:sz w:val="18"/>
          <w:szCs w:val="18"/>
          <w:color w:val="auto"/>
        </w:rPr>
        <w:t>– The Company assembles its BolaWrap products in-house using components and subassemblies from a limited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and contract suppliers. In particular, a single supplier is currently the sole manufacturer of the BolaWrap battery assembly, and another single supplier is the sole manufacturer of the propulsion component for BolaWrap cassettes. Other parts are solely sourced from other suppliers. If supplier shortages or logistic delays occur, or quality problems arise, production schedules could be significantly delayed or costs significantly increased, which could in turn have a material adverse effect on the Company’s financial condition, results of operation and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and US (“US”) Treasury bills and are stated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consist of certificates of deposits and US Treasury bills with original maturities beyond three months at the date of purchase and one year or less from the balance sheet date. As of December 31, 2023, all of the Company’s short-term investments were classified as available-for-sale and are carried at estimated fair value with any unrealized gains and losses, unrelated to credit loss factors, included in other comprehensive income in our consolidated statements of stockholders’ equity. As of December 31, 2024, the Company had no short-term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the fair value recognition provisions issued by the FASB in ASC Topic 718, Stock Compensation (“ASC 718”) and has adopted Accounting Standards Update (“ASU”) 2018-07 for share-based transactions with non-employees. Share-based compensation expense recognized during 2024 and 2023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and approved by the Company’s Board of Directors.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The Company determines the amount of share-based compensation expense based on awards that the Company ultimately expects to vest and account for forfeitures as they occur. The fair value of share-based compensation is amortized to compensation expense over the vesting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loss per share (EPS) is computed by dividing net loss, less any dividends, accretion or decretion, redemption or induced conversion, if any, on the Company’s Series A Convertible Preferred Stock (“Series A Preferred Stock”), by the weighted average number of shares outstanding during the reported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computing diluted EPS, we adjust the numerator used in the basic EPS computation, subject to anti-dilution requirements, to add back the dividends (declared or cumulative undeclared) applicable to the Series A Preferred Stock. Such add-back would also include any adjustments to equity in the period to accrete the Series A Preferred Stock to its redemption price, or recorded upon a redemption or induced conversion, if any. The Company adjusts the denominator used in the basic EPS computation, subject to anti-dilution requirements, to include the dilution from potential shares resulting from the issuance of the Series A Preferred Stock, restricted stock units, and stock options. Stock options and restricted stock units exercisable or issuable for a total of 4,932,386and 5,468,223 shares of Common Stock were outstanding at December 31, 2024 and 2023, respectively. These securities are not included in the computation of diluted net loss per common share for the periods presented as their inclusion would be antidilutive due to losses incurred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requires that financial assets measured at amortized cost be presented at the net amount expected to be collected. The expected credit losses are developed using an estimated loss rate method that considers historical collection experience, current conditions, and reasonable and supportable forecasts that affect the collectability of the reported amount. The estimated loss rates are applied to accounts receivables with similar risk characteristics such as the length of time the balance has been outstanding and the location of the customer. In certain instances, the Company may identify individual accounts receivable assets that do not share risk characteristics with other accounts receivables, in which case the Company records its expected credit losses on an individual asset basis. If an accounts receivable asset is evaluated on an individual basis, the Company excludes those assets from the portfolios of accounts receivables evaluated on a collective basis.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an allowance for credit losses related to accounts receivable of $230 and $386, respectively. If a major customer’s creditworthiness deteriorates, or actual defaults exceed our historical experience, such estimates could change and impact our future reported financial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evaluates the need for reserves for excess and obsolete inventories determined primarily based upon estimates of future demand for the Company’s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had $480 and $465, respectively, in reserves for obsolescence.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Equipment and Depreciation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Depreciation on property and equipment is computed over the estimated useful lives of three years using the straight-line method. On any retirement or disposition of property and equipment, the related cost and accumulated depreciation or amortization is removed, and a gain or loss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its business combinations under the provisions of Accounting Standards Codification (“ASC”) Topic 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Definite-lived Intangible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6 years for technology; 7 years for customer relationships; and 8 years for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consist of (a) capitalized legal fees and filing costs related to obtaining patents and trademarks, (b) tradenames and software, (c) purchased software, and (d) the purchase cost of indefinite-lived website domains. The estimated useful lives of identifiable intangible assets with definite useful lives have been estimated to be between one and twenty years. Purchased website domain costs with an indefinite useful life are not subject to amortization, but are subject to an annual impairment test, by comparing their carrying amount with their corresponding fair value. For any given intangible asset with an indefinite useful life, if its fair value exceeds its carrying amount no impairment loss shall be recognized.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intangibles is periodically reviewed and impairments, if any, are recognized when the future undiscounted cash flows realized from the assets is less than its carrying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In December 2024, the Company determined that the assessment of the Intrensic unit’s fair value indicated that its carrying value exceeded its fair value by $1,631 and therefore the Company recorded a $1,631 impairment charge related to the goodwill initially recorded from the acquisition. In December 2023, it was determined that the intangible related to development of proprietary software by Lumeto, Inc. would not have future economic value and was written down; the Company recognized an impairment loss of $700.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 warrant’s specific terms and applicable authoritative guidance in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480, Distinguishing Liabilities from Equity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480”) and ASC 815, Derivatives and Hedging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condensed consolidated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Preferred Stocks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and Promotion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costs are charged to expense as incurred and were $575 and $925 for the years ended December 31, 2024 and 2023, respectively. The Company also incurred product promotion costs for demonstration products delivered to prospective customers of $129 and $225 for the years ended December 31, 2024, and 2023, respectively. Advertising and promotion costs are included in selling, general and administrative expenses in the accompanying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Demonstration and Training Costs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escalation training to support law enforcement agencies with no purchase requirement. Such training, when provided,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Manufacturers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employs contract manufacturers for production of certain components and sub-assemblies. The Company may provide parts and components to such parties from time to time but recognizes no revenue or markup on such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adopted ASC Topic 842, Leases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on January 1, 2019. In accordance with the guidance in Topic 842, the Company recognizes lease liabilities and corresponding right-of-use-assets for all leases with terms of greater than 12 months. Leases with a term of 12 months or less will be accounted for in a manner similar to the guidance for operating leases prior to the adoption of Topic 842. Refer to Note 9, Leases for more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ASC Topic 606, Revenue from Contracts with Customers on January 1, 2018. The Company enters into contracts that include various combinations of products, accessories, software and services, each of which are generally distinct and are accounted for as separate performance obligations. Product sales include BolaWrap products and accessories. Other revenue includes VR revenues, service, training and shipping revenues.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Handling Costs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Shipping and handling costs are included in cost of revenues. Shipping and handling costs invoiced to customers are included in revenue. Actual shipping and handling costs were $125 and $200 for the years ended December 31, 2024 and 2023, respectively. Actual revenues from shipping and handling were $73 and $37 for the years ended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Warranty Reserves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warrants its products and accessories to be free from defects in materials and workmanship for a period of one year from the date of purchase. The warranty is generally limited. The Company currently provides direct warranty service. International market warranties are generally similar to the US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$83 and $72 at December 31, 2024 and 2023. Actual warranty costs could differ from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Topic 280, “Segment Reporting,” requires use of the “management approach” model for segment reporting. The management approach model is based on the way a company’s management organizes segments within the company for making operating decisions and assessing performance. The Company operates as a single segment and will evaluate additional segment disclosure requirements as it expands its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income tax expense was recorded for the periods ended December 31, 2024 and 2023, due to losses incurred. Deferred tax assets and liabilities are determined based on temporary differences between the bases of certain assets and liabilities for income tax and financial reporting purposes.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FASB issued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Improvements to Income Tax Disclosures, applies to all entities subject to income taxes. For public business entities (PBEs), the new requirements will be effective for annual periods beginning after December 15, 2024. The guidance will be applied on a prospective basis with the option to apply the standard retrospectively. The Company does not plan to early adopt this standard.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21, 2024, the FASB issued ASU 2024-01 to clarify the scope application of profits interest and similar awards by adding illustrative guidance in ASC 718, Compensation - Stock Compensation. For PBEs, the amendments in this Update are effective for annual periods beginning after December 15, 2024, and interim periods within those annual periods. The Company does not plan to early adopt this standard.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reviewed recently issued, but not yet effective, accounting pronouncements and does not believe the future adoptions of any such pronouncements will be expected to cause a material impact on its financial condition or the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 AND PRODUCT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consist of product sales and other revenues. Product sales include selling of BolaWrap products and accessories. Other revenues includes VR revenues, service, training and shipping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activity in our contract liabilities during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2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12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revenue</w:t>
            </w:r>
          </w:p>
        </w:tc>
        <w:tc>
          <w:tcPr>
            <w:tcW w:w="1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(1,064)</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20" w:type="dxa"/>
            <w:vAlign w:val="bottom"/>
            <w:tcBorders>
              <w:top w:val="single" w:sz="8" w:color="auto"/>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portion</w:t>
            </w:r>
          </w:p>
        </w:tc>
        <w:tc>
          <w:tcPr>
            <w:tcW w:w="122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deferred revenues of $505 consisted of $76 related to BolaWrap extended warranties and services, $352 related to Intrensic extended warranties and services, $73 related to VR and $4 related to training.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deferred revenues of $544 consisted of $139 related to BolaWrap extended warranties and services, $216 related to Intrensic extended warranties and services, $171 related to VR and $18 related to training.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as of December 31, 2024 and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apply the practical expedient to expense any sales commissions related to performance obligations with an amortization of one year or less when incurred within selling, general and administrative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ASSET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Professional Services and Technology Acquisition Agreement (the “Services Agreement”), dated as of November 22, 2022, and as amended on April 2, 2023, by and among the Company, Lumeto, Inc. (“Lumeto”) and Spatial Industries Group, Inc. (collectively, the “Service Provider”), the Service Provider provides to the Company certain technology, services, and perpetual licenses for use within the Company’s Wrap Reality virtual simulation training platform (the “Technology, Services, and License”), in consideration for a one-time cash payment upon the execution of the Services Agreement of $700.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during 2023 that the intangible related to software developed by Lumeto would not have future economic benefit and the value of the intangible was written off as a loss on impairment of $700 as a result.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9, 2023, the Company entered into a Membership Interest Purchase Agreement (the “Intrensic Purchase Agreement”) by and among the Company, certain members of Intrensic, including Kevin Mullins, the Company’s former Chief Executive Officer (collectively, “Sellers”) and Buford Ortale, as the Sellers’ representative. Under the terms of the Intrensic Purchase Agreement, the Company agreed to purchase, and Sellers agreed to sell, 100% of the membership interests (the “Membership Interests”) of Intrensic for the following consideration upon the consummation of the sale of the Membership Interests (the “Intrensic Closing”): (i) $553,588 in cash, subject to adjustment based upon the outstanding indebtedness of Intrensic and Intrensic’s working capital as of the Intrensic Closing; and (ii) 1,250,000 shares of Common Stock of the Company the “Intrensic Acquisition”). The Intrensic Acquisition closed on August 16, 2023, in accordance with the terms of the Intrensic Purchase Agreement. (See Footnote 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short-term investments consisting of US Treasury bill securities and Certificate of Deposits are classified as Level 1 because they are valued using quoted market prices.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short-term investments by significant investment category as of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2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5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20" w:type="dxa"/>
            <w:vAlign w:val="bottom"/>
          </w:tcPr>
          <w:p>
            <w:pPr>
              <w:spacing w:after="0"/>
              <w:rPr>
                <w:sz w:val="17"/>
                <w:szCs w:val="17"/>
                <w:color w:val="auto"/>
              </w:rPr>
            </w:pPr>
          </w:p>
        </w:tc>
        <w:tc>
          <w:tcPr>
            <w:tcW w:w="1600" w:type="dxa"/>
            <w:vAlign w:val="bottom"/>
            <w:gridSpan w:val="2"/>
          </w:tcPr>
          <w:p>
            <w:pPr>
              <w:jc w:val="right"/>
              <w:ind w:right="660"/>
              <w:spacing w:after="0" w:line="201"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60" w:type="dxa"/>
            <w:vAlign w:val="bottom"/>
          </w:tcPr>
          <w:p>
            <w:pPr>
              <w:jc w:val="right"/>
              <w:ind w:right="33"/>
              <w:spacing w:after="0" w:line="201"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gridSpan w:val="2"/>
          </w:tcPr>
          <w:p>
            <w:pPr>
              <w:spacing w:after="0"/>
              <w:rPr>
                <w:sz w:val="17"/>
                <w:szCs w:val="17"/>
                <w:color w:val="auto"/>
              </w:rPr>
            </w:pPr>
          </w:p>
        </w:tc>
      </w:tr>
      <w:tr>
        <w:trPr>
          <w:trHeight w:val="238"/>
        </w:trPr>
        <w:tc>
          <w:tcPr>
            <w:tcW w:w="2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2,945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tcPr>
          <w:p>
            <w:pPr>
              <w:spacing w:after="0"/>
              <w:rPr>
                <w:sz w:val="19"/>
                <w:szCs w:val="19"/>
                <w:color w:val="auto"/>
              </w:rPr>
            </w:pPr>
          </w:p>
        </w:tc>
      </w:tr>
      <w:tr>
        <w:trPr>
          <w:trHeight w:val="210"/>
        </w:trPr>
        <w:tc>
          <w:tcPr>
            <w:tcW w:w="29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2,945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tcPr>
          <w:p>
            <w:pPr>
              <w:spacing w:after="0"/>
              <w:rPr>
                <w:sz w:val="21"/>
                <w:szCs w:val="21"/>
                <w:color w:val="auto"/>
              </w:rPr>
            </w:pPr>
          </w:p>
        </w:tc>
      </w:tr>
      <w:tr>
        <w:trPr>
          <w:trHeight w:val="20"/>
        </w:trPr>
        <w:tc>
          <w:tcPr>
            <w:tcW w:w="2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5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20" w:type="dxa"/>
            <w:vAlign w:val="bottom"/>
          </w:tcPr>
          <w:p>
            <w:pPr>
              <w:spacing w:after="0"/>
              <w:rPr>
                <w:sz w:val="17"/>
                <w:szCs w:val="17"/>
                <w:color w:val="auto"/>
              </w:rPr>
            </w:pPr>
          </w:p>
        </w:tc>
        <w:tc>
          <w:tcPr>
            <w:tcW w:w="1600" w:type="dxa"/>
            <w:vAlign w:val="bottom"/>
            <w:gridSpan w:val="2"/>
          </w:tcPr>
          <w:p>
            <w:pPr>
              <w:jc w:val="right"/>
              <w:ind w:right="660"/>
              <w:spacing w:after="0" w:line="201"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60" w:type="dxa"/>
            <w:vAlign w:val="bottom"/>
          </w:tcPr>
          <w:p>
            <w:pPr>
              <w:jc w:val="right"/>
              <w:ind w:right="33"/>
              <w:spacing w:after="0" w:line="201"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gridSpan w:val="2"/>
          </w:tcPr>
          <w:p>
            <w:pPr>
              <w:spacing w:after="0"/>
              <w:rPr>
                <w:sz w:val="17"/>
                <w:szCs w:val="17"/>
                <w:color w:val="auto"/>
              </w:rPr>
            </w:pPr>
          </w:p>
        </w:tc>
      </w:tr>
      <w:tr>
        <w:trPr>
          <w:trHeight w:val="238"/>
        </w:trPr>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18"/>
                <w:szCs w:val="18"/>
                <w:color w:val="auto"/>
              </w:rPr>
            </w:pPr>
          </w:p>
        </w:tc>
      </w:tr>
      <w:tr>
        <w:trPr>
          <w:trHeight w:val="22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9"/>
                <w:szCs w:val="19"/>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 liabilities are measured at fair value on a recurring basis. The subsequent measurement of the warrant liabilities as of December 31, 2024, is classified as Level 3 due to the use of an observable market quote in a non-active market and the management’s assumption of the expected stock price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in the beginning of the period, the changes in the fair value, and the fair value at the end of the period of warrant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at inception for December 31, 2023 or the beginning of the period for December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31, 2024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end of year</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F-14</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uses the modified Black-Scholes option pricing model to determine the fair value of warrant liabilities. The following table summarizes the assumptions used computing the fair value of the Company’s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CCEEFF"/>
            </w:tcBorders>
          </w:tcPr>
          <w:p>
            <w:pPr>
              <w:spacing w:after="0"/>
              <w:rPr>
                <w:sz w:val="20"/>
                <w:szCs w:val="20"/>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yield</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6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The cost of substantially all the Company’s inventory is determined by the weighted average cost method. Inventories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2,263</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2,738</w:t>
            </w:r>
          </w:p>
        </w:tc>
      </w:tr>
      <w:tr>
        <w:trPr>
          <w:trHeight w:val="22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Obsolescence</w:t>
            </w:r>
          </w:p>
        </w:tc>
        <w:tc>
          <w:tcPr>
            <w:tcW w:w="3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(480)</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 net</w:t>
            </w:r>
          </w:p>
        </w:tc>
        <w:tc>
          <w:tcPr>
            <w:tcW w:w="3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6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F-15</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lab equipment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Tooling</w:t>
            </w: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improvements</w:t>
            </w: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w:t>
            </w:r>
          </w:p>
        </w:tc>
      </w:tr>
      <w:tr>
        <w:trPr>
          <w:trHeight w:val="223"/>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$377 and $479 for the years ended December 31, 2024 and 2023, respectively.</w:t>
      </w:r>
    </w:p>
    <w:p>
      <w:pPr>
        <w:spacing w:after="0" w:line="221" w:lineRule="exact"/>
        <w:rPr>
          <w:sz w:val="20"/>
          <w:szCs w:val="20"/>
          <w:color w:val="auto"/>
        </w:rPr>
      </w:pPr>
    </w:p>
    <w:p>
      <w:pPr>
        <w:ind w:right="7680" w:firstLine="8"/>
        <w:spacing w:after="0" w:line="503" w:lineRule="auto"/>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 Intangible Assets</w:t>
      </w: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2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w:t>
            </w:r>
          </w:p>
        </w:tc>
        <w:tc>
          <w:tcPr>
            <w:tcW w:w="5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software and technology</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5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18"/>
                <w:szCs w:val="18"/>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w:t>
            </w:r>
          </w:p>
        </w:tc>
        <w:tc>
          <w:tcPr>
            <w:tcW w:w="1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0"/>
        </w:trPr>
        <w:tc>
          <w:tcPr>
            <w:tcW w:w="5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(1,256)</w:t>
            </w:r>
          </w:p>
        </w:tc>
        <w:tc>
          <w:tcPr>
            <w:tcW w:w="5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amortizable</w:t>
            </w:r>
          </w:p>
        </w:tc>
        <w:tc>
          <w:tcPr>
            <w:tcW w:w="19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life assets (non-amortizable)</w:t>
            </w: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5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2,354</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were $450 and $345 for the years ended December 31, 2024 and 2023,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Intrensic Acquisition in August 2023 resulted in several intangible assets recognized on the balance sheet including $80 in trademarks, $490 in purchased technology and $160 in customer relationships.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in December 2023 that the intangible related to software developed by Lumeto would not have future economic benefit and the value of the intangible was written down, incurring a loss on impairment of $700.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annual amortization of intangible assets, based upon the Company’s existing intangible assets and current useful lives, is estimated to be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8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0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jc w:val="right"/>
              <w:ind w:right="4016"/>
              <w:spacing w:after="0"/>
              <w:rPr>
                <w:sz w:val="20"/>
                <w:szCs w:val="20"/>
                <w:color w:val="auto"/>
              </w:rPr>
            </w:pPr>
            <w:r>
              <w:rPr>
                <w:rFonts w:ascii="Times New Roman" w:cs="Times New Roman" w:eastAsia="Times New Roman" w:hAnsi="Times New Roman"/>
                <w:sz w:val="18"/>
                <w:szCs w:val="18"/>
                <w:color w:val="auto"/>
              </w:rPr>
              <w:t>F-16</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an initial goodwill of $1,610 related to the purchase of Intrensic in August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2024, the Company recorded an increase of $21 to goodwill as result of additional liabilities assumed related to the August 2023 Intrensic Acquisition.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Company assessed the fair value of its Intrensic unit and determined that its carrying value exceeded its fair value by $1,631 and therefore the Company recorded a $1,631 impairment charge related to the goodwill initially recorded from the 2023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7640" w:type="dxa"/>
            <w:vAlign w:val="bottom"/>
            <w:shd w:val="clear" w:color="auto" w:fill="CCEEFF"/>
          </w:tcPr>
          <w:p>
            <w:pPr>
              <w:jc w:val="right"/>
              <w:ind w:right="7170"/>
              <w:spacing w:after="0"/>
              <w:rPr>
                <w:sz w:val="20"/>
                <w:szCs w:val="20"/>
                <w:color w:val="auto"/>
              </w:rPr>
            </w:pPr>
            <w:r>
              <w:rPr>
                <w:rFonts w:ascii="Times New Roman" w:cs="Times New Roman" w:eastAsia="Times New Roman" w:hAnsi="Times New Roman"/>
                <w:sz w:val="18"/>
                <w:szCs w:val="18"/>
                <w:color w:val="auto"/>
                <w:w w:val="99"/>
              </w:rPr>
              <w:t>2024</w:t>
            </w:r>
          </w:p>
        </w:tc>
        <w:tc>
          <w:tcPr>
            <w:tcW w:w="78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liabilities recorded post-acquisition</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r>
      <w:tr>
        <w:trPr>
          <w:trHeight w:val="229"/>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w:t>
            </w:r>
          </w:p>
        </w:tc>
        <w:tc>
          <w:tcPr>
            <w:tcW w:w="7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(1,631)</w:t>
            </w:r>
          </w:p>
        </w:tc>
      </w:tr>
      <w:tr>
        <w:trPr>
          <w:trHeight w:val="22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obligated to pay royalties pursuant to an exclusive Amended and Restated Intellectual Property License Agreement (the “License Agreement”), dated as of September 30, 2016, with Syzygy Licensing, LLC (“Syzygy”), a private technology invention, consulting and licensing company owned and controlled by Elwood G. Norris, a founder and former officer and current 5% stockholder of the Company, and James A. Barnes, a former officer and stockholder of the Company (see Note 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include $81 and $14 due to Syzygy pursuant to the License Agreement as of December 31, 2024 and 2023,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9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and legal costs</w:t>
            </w:r>
          </w:p>
        </w:tc>
        <w:tc>
          <w:tcPr>
            <w:tcW w:w="1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Royalty</w:t>
            </w: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settlement</w:t>
            </w: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w:t>
            </w:r>
          </w:p>
        </w:tc>
        <w:tc>
          <w:tcPr>
            <w:tcW w:w="1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Changes in our estimated product warranty costs were as follows:</w:t>
            </w:r>
          </w:p>
        </w:tc>
        <w:tc>
          <w:tcPr>
            <w:tcW w:w="1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0" w:type="dxa"/>
            <w:vAlign w:val="bottom"/>
            <w:tcBorders>
              <w:bottom w:val="single" w:sz="8" w:color="auto"/>
            </w:tcBorders>
            <w:gridSpan w:val="5"/>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Warranty settlements</w:t>
            </w: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1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The guidance in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defines a lease as a contract, or part of a contract, that conveys the right to control the use of identified property, plant, or equipment (an identified asset) for a period of time in exchange for consideration. Operating lease right of use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ROU</w:t>
      </w:r>
      <w:r>
        <w:rPr>
          <w:rFonts w:ascii="Times New Roman" w:cs="Times New Roman" w:eastAsia="Times New Roman" w:hAnsi="Times New Roman"/>
          <w:sz w:val="18"/>
          <w:szCs w:val="18"/>
          <w:color w:val="auto"/>
        </w:rPr>
        <w:t>”)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leases beginning on or after January 1,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lease components are accounted for separately from non-lease components for all asset classes. On January 21, 2023,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requires the Company to pay for utilities, insurance, taxes and other operating expenses. The renewal provisions of the existing lease agreement were not included in the determination of the operating lease liabilities and the ROU assets. The Company also reassessed the lease classification and concluded that the lease continues to be an operating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ROU operating lease assets was $292 and $138 for the years ended December 31, 2024 and 2023,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 for capitalized operating leases included in operating activities was $644 and $177 for the years ended December 31, 2024 and 2023, respectively. Operating lease obligations recorded on the balance sheet at December 31, 2024 are:</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liability- short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liability - long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4"/>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23"/>
        </w:trPr>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500" w:space="720"/>
            <w:col w:w="202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Future lease payments included in the measurement of lease liabilities on the balance sheet at December 31, 2023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w:t>
            </w:r>
          </w:p>
        </w:tc>
      </w:tr>
      <w:tr>
        <w:trPr>
          <w:trHeight w:val="209"/>
        </w:trPr>
        <w:tc>
          <w:tcPr>
            <w:tcW w:w="49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r>
      <w:tr>
        <w:trPr>
          <w:trHeight w:val="223"/>
        </w:trPr>
        <w:tc>
          <w:tcPr>
            <w:tcW w:w="4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is 6.06 years, and the weighted average discount rate is 14.7%.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leases contain provisions for payment of real estate taxes, insurance and maintenance costs by the Company. These expenses are treated as variable lease payments and recognized in the period in which the obligation for those payments was incurred. The Company had $109 and $8 variable lease expenses during the year December 31, 2024 and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$16 and $92 short-term lease expense during the year December 31, 2024, and 2023 respectively. The Company does not have any finance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29, 2023, the Company entered into a Securities Purchase Agreement (the “Series A Purchase Agreement”) with certain directors of the Company and certain accredited and institutional investors (collectively, the “Series A Investors”), pursuant to which it agreed to sell to the Series A Investors in a registered direct offering (the “Series A Offering”) (i) an aggregate of 10,000 shares of the Company’s newly-designated Series A Convertible Preferred Stock, with par value $0.0001 per share and a stated value of $1,000 per share (the “Series A Preferred Stock”), initially convertible into up to 6,896,553 shares of the Company’s Common Stock, at an initial conversion price of $1.45 per share (the “Conversion Price”), and (ii) warrants to acquire up to an aggregate of 6,896,553 shares of Common Stock (the “Series A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Series A Warrant has an exercise price of $1.45,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The closing of the Offering occurred on July 3, 2023. The aggregate gross proceeds from the Offering were $10,000, of which $7,717 was allocated to the Warrants. The Company expects to use the net proceeds from the Offering for general corporate purposes (see Note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at December 31, 2024 and 2023 included operating lease liabilities (see Note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authorized capital consists of 150,000,000 shares of Common Stock and 5,000,000 shares of preferred stock, par value $0.0001 per share (“Preferred Stock”), of which 10,000 are designated as Series A Preferred Stock.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 2023, the Company filed the Certificate of Designations of the Series a Preferred Stock (the “Certificate of Designations”) with the Secretary of State of the State of Delaware, designating 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w:t>
      </w:r>
    </w:p>
    <w:p>
      <w:pPr>
        <w:spacing w:after="0" w:line="3" w:lineRule="exact"/>
        <w:rPr>
          <w:sz w:val="20"/>
          <w:szCs w:val="20"/>
          <w:color w:val="auto"/>
        </w:rPr>
      </w:pPr>
    </w:p>
    <w:p>
      <w:pPr>
        <w:jc w:val="both"/>
        <w:ind w:firstLine="8"/>
        <w:spacing w:after="0" w:line="250" w:lineRule="auto"/>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(as described below), and (ii) the Company’s right to redeem, all or a portion, of the Series A Preferred Stock outstanding pursuant to an optional redemption (as described below), in each case, pursuant to the terms of the Certificate of Designations.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August 2024 Certificate of Amendment, 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August 2024 Certificate of Amendment, 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2024.The holders of the Series A Preferred Stock have no voting rights, other than with respect to certain matters affecting the rights of the Series A Preferred Stock.</w:t>
      </w:r>
    </w:p>
    <w:p>
      <w:pPr>
        <w:sectPr>
          <w:pgSz w:w="11900" w:h="16838" w:orient="portrait"/>
          <w:cols w:equalWidth="0" w:num="1">
            <w:col w:w="11240"/>
          </w:cols>
          <w:pgMar w:left="320" w:top="229" w:right="339" w:bottom="32"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20% per annum. The Certificate of Amendment became effective with the Secretary of State on December 6,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$2,036 of the net proceeds less transaction cost of the Series A Purchase Agreement was allocated to the Series A Preferred Stock. For the year ended December 31, 2024, authorized and declared dividends totaling $1,218 of which $60 was paid in cash $1,158 was paid in shares of the Company’s Common Stock. As of December 31, 2024, a total of 1,793 shares of Series A Preferred Stock were converted into approximately 1,468,000 shares of Common Stock. For the year ended December 31, 2023, authorized and declared dividends totaling $392, of which $58 was paid in cash, $232 was paid in shares of the Company’s Common Stock and the balance of $102 was accrued in payables as of December 31, 2023. As of December 31, 2023, 102 shares of Series A Preferred Stock were converted into approximately 77,000 shares of Common Stock.</w:t>
      </w:r>
    </w:p>
    <w:p>
      <w:pPr>
        <w:spacing w:after="0" w:line="18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Company’s failure to timely file its Annual Report on Form 10-K for the year ended December 31, 2023, its Quarterly Report on Form 10-Q for the quarter ended March 31, 2024 and its Quarterly Report on Form 10-Q for the quarter ended June 30, 2024, each constituted a Triggering Event (the “Filing Triggering Events”) and equity conditions failures pursuant to the terms of the Certificate of Designations. As a result, the dividend rate of the Series A Preferred Stock was automatically increased to 20% per annum beginning on April 16, 2024, or the filing deadline of the Form 10-K for the year ended December 31, 2023, and continued until such date as the Filing Triggering Event was cured on October 15, 2024 with the filing of the Form 10-Q for the quarter ended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2017, the Company adopted, and the stockholders approved, the 2017 Stock Incentive Plan (the “Plan”) authorizing 2,000,000 shares of Common Stock for issuance as awards to employees, directors or consultants. In May 2019, the stockholders authorized an increase in the Plan authorizing an additional 2,100,000 shares of Common Stock, in June 2020 authorized an additional 1,900,000 shares of Common Stock, in June 2021 authorized an additional 1,500,000 shares of Common Stock, in June 2022 authorized an additional 1,500,000 shares of Common Stock, in December 2024 authorized an additional 7,500,000 shares of Common Stock for a total of 16,500,000 shares subject to the Plan. At December 31, 2024, there were 7,585,545 shares of Common Stock remaining available for grant under the Plan.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recognizes share-based compensation expense on the grant date and over the period of vesting or period that services will be provided. In April 2023, the Company recognized severance acceleration of $112 of share-based compensation expense resulting from the resignation of the Company’s former Chief Executive Officer and Chief Operating Officer due to a reduction in force that resulted in changes in the composition of the executives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 on</w:t>
            </w:r>
          </w:p>
        </w:tc>
        <w:tc>
          <w:tcPr>
            <w:tcW w:w="260" w:type="dxa"/>
            <w:vAlign w:val="bottom"/>
          </w:tcPr>
          <w:p>
            <w:pPr>
              <w:spacing w:after="0"/>
              <w:rPr>
                <w:sz w:val="20"/>
                <w:szCs w:val="20"/>
                <w:color w:val="auto"/>
              </w:rPr>
            </w:pPr>
          </w:p>
        </w:tc>
        <w:tc>
          <w:tcPr>
            <w:tcW w:w="316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4,657,635</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1,613,000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(232,081)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expired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(2,094,270)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3,944,284</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38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1,467,081</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2.89</w:t>
            </w:r>
          </w:p>
        </w:tc>
        <w:tc>
          <w:tcPr>
            <w:tcW w:w="34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7.99</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F-20</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there were 2,654,118 service-based stock options outstanding, and 1,290,166 performance-based stock options outstanding, 1,290,166 were granted in October 2023 to the Company’s Chief Executive Officer, the vesting of which is subject to future market capitalization targets.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69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6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6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 years</w:t>
            </w:r>
          </w:p>
        </w:tc>
        <w:tc>
          <w:tcPr>
            <w:tcW w:w="1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6.00</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CEEFF"/>
          </w:tcPr>
          <w:p>
            <w:pPr>
              <w:spacing w:after="0"/>
              <w:rPr>
                <w:sz w:val="18"/>
                <w:szCs w:val="18"/>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122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9"/>
                <w:szCs w:val="19"/>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used the Monte Carlo Simulation Model to value at the grant date the aggregate of 1,290,166 market condition performance options granted in October 2023 to the Company’s Chief Executive Officer. The assumptions used in the Monte Carlo Simulation were stock price on date of grant of $1.40, contract term of 10 years, expected volatility of 76% and risk-free interest rate of 4.65 %. Vesting is based on sustained market capitalization of $100 million, $150 million and $200 million and expected to be exercised at the midpoint of the vesting period resulted in implied service periods ranging from approximately 1 to 3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expense was $1,132 and $967 for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Prices</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260" w:type="dxa"/>
            <w:vAlign w:val="bottom"/>
          </w:tcPr>
          <w:p>
            <w:pPr>
              <w:spacing w:after="0"/>
              <w:rPr>
                <w:sz w:val="20"/>
                <w:szCs w:val="20"/>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Price</w:t>
            </w:r>
          </w:p>
        </w:tc>
      </w:tr>
      <w:tr>
        <w:trPr>
          <w:trHeight w:val="210"/>
        </w:trPr>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 $2.00</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2,870,309</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$2.01 – $3.00</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459,000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291,849</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$3.01 – $4.00</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150,000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$4.01 – $5.00</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91,475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4.38</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91,475</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$5.01 – $6.58</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373,500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373,500</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432"/>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color w:val="auto"/>
              </w:rPr>
              <w:t>F-21</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provides for the grant of restricted stock units (“RSUs”). RSUs are settled in shares of the Company’s Common Stock as the RSUs become vested. The following table summarizes RSU activity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0"/>
        </w:trPr>
        <w:tc>
          <w:tcPr>
            <w:tcW w:w="608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Service-Based</w:t>
            </w:r>
          </w:p>
        </w:tc>
        <w:tc>
          <w:tcPr>
            <w:tcW w:w="140" w:type="dxa"/>
            <w:vAlign w:val="bottom"/>
          </w:tcPr>
          <w:p>
            <w:pPr>
              <w:spacing w:after="0"/>
              <w:rPr>
                <w:sz w:val="19"/>
                <w:szCs w:val="19"/>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Vesting</w:t>
            </w:r>
          </w:p>
        </w:tc>
      </w:tr>
      <w:tr>
        <w:trPr>
          <w:trHeight w:val="238"/>
        </w:trPr>
        <w:tc>
          <w:tcPr>
            <w:tcW w:w="608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 w:type="dxa"/>
            <w:vAlign w:val="bottom"/>
          </w:tcPr>
          <w:p>
            <w:pPr>
              <w:spacing w:after="0"/>
              <w:rPr>
                <w:sz w:val="20"/>
                <w:szCs w:val="20"/>
                <w:color w:val="auto"/>
              </w:rPr>
            </w:pP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2.88</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Granted - service based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1,289,784</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1.41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(1,056,360)</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1.83</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(345,168)</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2.70</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810,588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Granted - service based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2.60</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(465,763)</w:t>
            </w:r>
          </w:p>
        </w:tc>
        <w:tc>
          <w:tcPr>
            <w:tcW w:w="12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2.03</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(237,727)</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2.26</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482,143 of the RSUs granted included in the table above were granted in October 2023 are performance based RSUs, and 632,911 are performance based RSUs that were granted in January 2024, both subject to vesting terms based on future market capitalization.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expense was $1,301 and $1,018 for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share-based compensation in its statements of operations for the relevant periods for options and RSUs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expense</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total estimated compensation cost of stock options granted and outstanding but not yet vested was $2,304 which is expected to be recognized over the weighted average period of 2.27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total estimated compensation cost of RSUs granted and outstanding but not yet vested was $1,630 which is expected to be recognized over the weighted average period of 3.03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the years ended December 31, 2024 and 2023, was $0 and $0,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Facility 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commenced a lease in an office building located at 3480 Main Highway, Coconut Grove, Florida. The lease of 4,487 square feet for an initial term of 94 months, including 5 months of rent abatement in the first two years of the lease. The aggregate monthly payments will restart in 2024 for $40 per month, increasing 3% each year through the lease term, plus other certain costs and charges as specified in the lease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assembly line, and warehouse facilities are located at 1817 West 4th Street, Tempe, Arizona. The lease of 11,256 square feet commenced in June 2019 and was for an initial lease term through July 2022. In January 2022, we renewed this lease for three years with aggregate monthly payments of $10 commencing August 2022, increasing 4% annually through the term ending July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Party Technology License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whichever occurs earlier. The Company recorded $66 and $199 for royalties incurred during the years ended December 31, 2024 and 2023, respectively. The maximum payout was satisfied as of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Company was committed for approximately $585 for future component deliveries that are generally subject to modification or rescheduling in the normal course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Indemnifications and Guarantees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Agencies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oversight from regulatory agencies regarding firearms that arises in the ordinary course of its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December 31, 2024, we had no provision for liability under existing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29, 2023, the Company entered into the Series A Purchase Agreement with certain investors, including Scot Cohen, the Company’s Chief Executive Officer, and V4 Global LLC (“V4”). Mr. Cohen has voting and dispositive control with respect to the securities as is deemed to be the beneficial owner of the securities held by V4. Pursuant to the Series A Purchase Agreement, the Company issued Mr. Cohen and V4 an aggregate of 3,000 shares of Series A Preferred Stock and Series A Warrants to purchase up to an aggregate of 2,068,966 shares of Common Stock for aggregate gross proceeds of $3,000.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Commencing in October 2017, the Company began reimbursing Mr. Elwood Norris, a former officer, current 5% stockholder and consultant of the Company, $1.5 per month on a month-to-month basis for laboratory facility costs and $7.5 per month on a month-to month basis for invention consulting services, for an aggregate of $17 and $108 for the years ended December 31, 2024 and 2023, respectively. The Company terminated the contract in February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September 30, 2016, with Syzygy Licensing, LLC (“Syzygy”), a company owned and controlled by a 5% stockholder of the Company, Mr. Elwood Norris, and a former officer of the Company, Mr. James Barnes. The agreement provides for royalty payments of 4% of revenue from products employing the licensed ensnarement device technology up to an aggregate of $1,000 in royalties or until September 30, 2026, whichever occurs earlier. During the years ended December 31, 2024 and 2023, the Company incurred royalties to Syzygy of $66 and $199,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Intrensic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2023, the Company entered into the Intrensic Purchase Agreement with the Sellers, including Kevin Mullins, the Company’s former Chief Executive Officer. Under the terms of the Intrensic Purchase Agreement, the Company agreed to purchase, and Sellers agreed to sell, 100% of the Membership Interests of Intrensic for the following consideration upon the Intrensic Closing: (i) $554 in cash, subject to adjustment based upon the outstanding indebtedness of Intrensic and Intrensic’s working capital as of the Intrensic Closing; and (ii) 1,250,000 shares of Common Stock of the Company. The Intrensic Acquisition closed on August 16, 2023, in accordance with the terms of the Intrensic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8, and 15 for additional information on related party transactions and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provision/(benefit) for Income Taxes for the years ended December 31, 2024 and 2023,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Tax Expense/(Benefit)</w:t>
            </w:r>
          </w:p>
        </w:tc>
        <w:tc>
          <w:tcPr>
            <w:tcW w:w="360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2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w:t>
            </w:r>
          </w:p>
        </w:tc>
        <w:tc>
          <w:tcPr>
            <w:tcW w:w="1300" w:type="dxa"/>
            <w:vAlign w:val="bottom"/>
            <w:gridSpan w:val="2"/>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2,712</w:t>
            </w: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23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is different from the federal statutory tax rate in 2024 predominantly due to the valuation allowance, permanent differences, and state taxes. A reconciliation of the statutory U.S. Federal Tax Rate to the Company’s Effective Tax Rate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Federal Income Tax Rate</w:t>
            </w:r>
          </w:p>
        </w:tc>
        <w:tc>
          <w:tcPr>
            <w:tcW w:w="350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(1,234)</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(6,355)</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2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Permanent differences and other</w:t>
            </w:r>
          </w:p>
        </w:tc>
        <w:tc>
          <w:tcPr>
            <w:tcW w:w="2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r>
      <w:tr>
        <w:trPr>
          <w:trHeight w:val="230"/>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4,333</w:t>
            </w: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F-24</w:t>
            </w: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represent the tax effect of transactions that are reported in different periods for financial and tax reporting purposes. The combined temporary differences and carryforwards of each tax paying component of the Company that give rise to a significant portion of the deferred income tax benefits and liabilities are as follows as of December 31,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18,832</w:t>
            </w:r>
          </w:p>
        </w:tc>
        <w:tc>
          <w:tcPr>
            <w:tcW w:w="1240" w:type="dxa"/>
            <w:vAlign w:val="bottom"/>
            <w:gridSpan w:val="2"/>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17,002</w:t>
            </w: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 174 capitalization</w:t>
            </w:r>
          </w:p>
        </w:tc>
        <w:tc>
          <w:tcPr>
            <w:tcW w:w="2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1,931</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shd w:val="clear" w:color="auto" w:fill="CCEEFF"/>
          </w:tcPr>
          <w:p>
            <w:pPr>
              <w:spacing w:after="0"/>
              <w:rPr>
                <w:sz w:val="18"/>
                <w:szCs w:val="18"/>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and Other</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r>
      <w:tr>
        <w:trPr>
          <w:trHeight w:val="209"/>
        </w:trPr>
        <w:tc>
          <w:tcPr>
            <w:tcW w:w="4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(gross)</w:t>
            </w:r>
          </w:p>
        </w:tc>
        <w:tc>
          <w:tcPr>
            <w:tcW w:w="20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(23,015)</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(20,302)</w:t>
            </w:r>
          </w:p>
        </w:tc>
      </w:tr>
      <w:tr>
        <w:trPr>
          <w:trHeight w:val="209"/>
        </w:trPr>
        <w:tc>
          <w:tcPr>
            <w:tcW w:w="4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other</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r>
      <w:tr>
        <w:trPr>
          <w:trHeight w:val="209"/>
        </w:trPr>
        <w:tc>
          <w:tcPr>
            <w:tcW w:w="4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08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available federal net operating loss carryforwards of approximately $703 which begin to expire in 2037, and approximately $82.6 million which will never expire. The Company has available state net operating loss carryforwards of approximately $32.9 million as of December 31, 2024, which begin to expire in 2037. As of December 31, 2024, the Company has federal research and development tax credits of approximately $81.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a valuation allowance against the Company’s deferred tax assets, since, in the opinion of management, based upon the earnings history of the Company, it is not more likely than not that the benefits will be realized. All or a portion of the remaining valuation allowance may be reduced in future years based on an assessment of earnings sufficient to fully utilize these potential tax benefits.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addresses the determination of whether tax benefits claimed or expected to be claimed on a tax return should be recorded in the financial statements. Under ASC 740, the Company may recognize the tax benefit from an uncertain tax position only if it is more likely that not that the tax position will be sustained on examination by the taxing authorities, based on the technical merits of the position. The Company has no material uncertain tax positions that qualify for either recognition or disclosure in consolidated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recognize interest and/or penalties related to income tax matters in income tax expense. As of December 31, 2024 and 2023, the Company has accrued no interest and no penalties related to uncertain tax positions. The Company does not have any federal, or state and local income tax returns currently under examination.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MAJOR CUSTOMERS AND RELATED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Major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revenues from two distributors accounted for approximately 23% and 14%, respectively, of revenues with no other single customer accounting for more than 10% of total revenues. Accounts receivable from two distributors accounted for approximately 11% and 10%, respectively, of net accounts receivable and contract assets at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revenues from one distributor accounted for approximately 37% of revenues with no other single customer accounting for more than 10% of total revenues. Accounts receivable from one distributor accounted for 67% of net accounts receivable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by geographic region. Revenues are attributed to countries based on the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8"/>
                <w:szCs w:val="18"/>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Concentrations of Risks</w:t>
      </w:r>
      <w:r>
        <w:rPr>
          <w:rFonts w:ascii="Times New Roman" w:cs="Times New Roman" w:eastAsia="Times New Roman" w:hAnsi="Times New Roman"/>
          <w:sz w:val="18"/>
          <w:szCs w:val="18"/>
          <w:color w:val="auto"/>
        </w:rPr>
        <w:t xml:space="preserve"> for information on reliance on suppliers.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8, 2023, the Company entered into the Intrensic Purchase Agreement with the Sellers. The Intrensic Closing occurred on August 16, 2023. Under the terms of the Intrensic Purchase Agreement, the Company agreed to purchase, and Sellers agreed to sell, the Membership Interests for the following consideration at the Intrensic Closing: (i) $554 in cash, subject to adjustment based upon the outstanding indebtedness of Intrensic and Intrensic’s working capital as of the Intrensic Closing; and (ii) 1,250,000 shares of Common Stock of the Company valued at approximately $1,938.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assessed the historical financial information of Intrensic to determine if it would materially impact the Company’s historical financial statements for the purposes of disclosing proforma financial information. The Company determined that in the current or prior reporting periods the acquired business contributed immaterially to the Company’s financial statements. Therefore, a pro forma disclosure of the Company as if the business combination had occurred is not warranted under ASC 805.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allocation of the fair value of Intrensic’s net assets acquired and the corresponding line item in the Company’s consolidated balance sheet at the date of acquisition. Intangible assets were valued using established valuation techniques, as follows: Technology and trade names and trademarks were valued using the relief-from-royalty method, whereby the benefit of ownership of the intellectual property is valued as the relief from the royalty expense that would otherwise be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 were valued using the multi-period excess earnings method under the income approach.</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(included in Intangibles)</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Intangibles)</w:t>
            </w: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 (included in Intangibles)</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1,631</w:t>
            </w:r>
          </w:p>
        </w:tc>
      </w:tr>
      <w:tr>
        <w:trPr>
          <w:trHeight w:val="223"/>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2,492</w:t>
            </w:r>
          </w:p>
        </w:tc>
      </w:tr>
      <w:tr>
        <w:trPr>
          <w:trHeight w:val="223"/>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incurred in connection with the transaction totaled approximately $38 and have been expensed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 Intangible Assets and Goodwill for December 2024 goodwill impairment charge.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2025, the Company entered into a lease that will commence in October 2025, or upon the completion of the premises, whichever happens later, for a manufacturing facility located at Pad 1A of the technology park at the intersection of US 23 and US 58 Alternate in Norton, Virginia. The lease of the 20,000 square foot facility has an initial term of five years with the option to renew for an additional two-years, subject to adjustments based on the Consumer Price Index. Monthly lease payments will be $10,000, calculated at $6 per gross square foot per year. Following two years of occupancy from the start of the lease, we may terminate the lease without penalty by providing sixty-days written notice.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2025, the Company and W1 Global, LLC, a Delaware limited liability company (“Seller”), entered into an Asset Purchase Agreement, dated as of February 18, 2025 (the “W1 Purchase Agreement”), pursuant which, subject to the terms and conditions set forth therein, the Company agreed to acquire substantially all the assets of the Seller, including, among others, all of the Seller’s right, title and interest in and to the Seller’s properties, business, and assets of Seller used in, held for use in or relating to the business of advisory and investigative professional services, as more specifically set forth in the W1 Purchase Agreement (collectively, the “Acquired Assets”), which excludes the Excluded Assets (as defined in the W1 Purchase Agreement), and assume certain Assumed Liabilities (as defined in the W1 Purchase Agreement), upon the terms and subject to the conditions set forth in the W1 Purchase Agreement (the “Acquisition”), for a nominal purchase price equal to $100.00. The closing of the Acquisition occurred on February 18, 2025 (the “Closing”). In connection with Closing, the Company and the Seller entered into certain ancillary agreements, including, (i) a bill of sale for all of the Acquired Assets that are tangible personal property, (ii) an assignment of all of the Acquired Assets that are intangible personal property, (iii) employment agreements for certain employees of the Seller, and (iv) a consulting agreement.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2025, the Company entered into a securities purchase agreement (the “PIPE Purchase Agreement”) with certain accredited investors (collectively, the “PIPE Purchasers”) for the issuance and sale in a private placement (the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estimated gross proceeds to the Company were $5.8 million, before estimated offering expenses payable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Miami, State of Florida, on the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WRAP TECHNOLOGIES,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 Cohen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 Cohen</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Interim Principal</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 Cohen</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178"/>
        </w:trPr>
        <w:tc>
          <w:tcPr>
            <w:tcW w:w="2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Scot Cohen</w:t>
            </w:r>
          </w:p>
        </w:tc>
        <w:tc>
          <w:tcPr>
            <w:tcW w:w="220" w:type="dxa"/>
            <w:vAlign w:val="bottom"/>
          </w:tcPr>
          <w:p>
            <w:pPr>
              <w:spacing w:after="0"/>
              <w:rPr>
                <w:sz w:val="15"/>
                <w:szCs w:val="15"/>
                <w:color w:val="auto"/>
              </w:rPr>
            </w:pPr>
          </w:p>
        </w:tc>
        <w:tc>
          <w:tcPr>
            <w:tcW w:w="60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(Principal Executive Officer and Interim Principal Financial Officer and</w:t>
            </w:r>
          </w:p>
        </w:tc>
        <w:tc>
          <w:tcPr>
            <w:tcW w:w="2020" w:type="dxa"/>
            <w:vAlign w:val="bottom"/>
          </w:tcPr>
          <w:p>
            <w:pPr>
              <w:spacing w:after="0"/>
              <w:rPr>
                <w:sz w:val="15"/>
                <w:szCs w:val="15"/>
                <w:color w:val="auto"/>
              </w:rPr>
            </w:pP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32"/>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Bruce Bernstein</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Bruce Bernstein</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Marc Savas</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Marc Savas</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Rajiv Srinivasan</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Rajiv Srinivasan</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Timothy Szymanski</w:t>
            </w:r>
          </w:p>
        </w:tc>
        <w:tc>
          <w:tcPr>
            <w:tcW w:w="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Timothy Szymanski</w:t>
            </w:r>
          </w:p>
        </w:tc>
        <w:tc>
          <w:tcPr>
            <w:tcW w:w="2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jc w:val="right"/>
              <w:ind w:right="315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164465</wp:posOffset>
            </wp:positionV>
            <wp:extent cx="1225550"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4360"/>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Adopted December 12, 2018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Amended February 14, 2020</w:t>
      </w:r>
    </w:p>
    <w:p>
      <w:pPr>
        <w:spacing w:after="0" w:line="20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Wrap Technologies,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adopted this Insider Trading Policy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in order to preserve the reputation and integrity of the Company and prevent improper insider trading and the improper communication of undisclosed material information regarding the Company, and to ensure that all employees and representatives of the Company and persons or companies related to or controlled by them act, and are perceived to act, in accordance with applicable securities laws and the highest standards of ethical and professional behavior.</w:t>
      </w:r>
    </w:p>
    <w:p>
      <w:pPr>
        <w:spacing w:after="0" w:line="18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applies to the members of the Board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the executive officers (as defined under the regulations of the Securities and Exchange Commission)of the Company, including, in any case, but not limited to, the Company’s principal executive officer, principal financial officer, principal accounting officer or persons performing similar functions (collectively the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and all employees of the Company. The responsibility of complying with this Policy and the relevant insider trading and other rules is on each individual director, officer and employee of the Company, each of whom is expected to be familiar with this Policy and those rules and to fully comply with them. FAILURE TO COMPLY WITH THESE RULES AND PROCEDURES MAY RESULT IN THE IMMEDIATE SUSPENSION OR DISMISSAL OF ANY DIRECTOR, OFFICER OR EMPLOYEE OF THE COMPANY.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fundamental to the reputation and ongoing success of the Company that its directors, officers and employees respect and adhere to the rules and procedures outlined in this Policy. Members of the families of the directors, officers and employees of the Company and others living with them and all holding companies and other related entities and all persons or companies acting on behalf of or at the request of any of the foregoing also are expected to comply with this Policy, as if they themselves were directors, officers or employees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regarding this policy should be directed to the Company’s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also the Compliance Officer.</w:t>
      </w:r>
    </w:p>
    <w:p>
      <w:pPr>
        <w:spacing w:after="0" w:line="22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director, officer or employee of the Company or any agent or advisor of the Company has material, nonpublic information relating to the Company, it is the Company’s policy that neither that person nor any Related Person (as defined below) may buy or sell securities of the Company (the “Company Securities”) or engage in any other action to take advantage of, or pass on to others, that information. This Policy also applies to material, nonpublic information relating to any other company with publicly- traded securities, including our customers or suppliers, obtained in the course of employment by or association with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avoid even the appearance of impropriety, additional restrictions on trading Company Securities apply to directors, officers and members of the Company’s Senior Management Team. See Section VI.</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6114415</wp:posOffset>
            </wp:positionH>
            <wp:positionV relativeFrom="page">
              <wp:posOffset>431800</wp:posOffset>
            </wp:positionV>
            <wp:extent cx="1225550" cy="394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DEFINITIONS/EXPLANATIONS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Who is an “Insider?” </w:t>
      </w:r>
      <w:r>
        <w:rPr>
          <w:rFonts w:ascii="Times New Roman" w:cs="Times New Roman" w:eastAsia="Times New Roman" w:hAnsi="Times New Roman"/>
          <w:sz w:val="18"/>
          <w:szCs w:val="18"/>
          <w:color w:val="auto"/>
        </w:rPr>
        <w:t>Any person who possesses material, nonpublic information is considered an insider as to that information. Insiders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directors, officers, employees and those persons in a special relationship with the Company, such as its independent registered public accounting firm (“</w:t>
      </w:r>
      <w:r>
        <w:rPr>
          <w:rFonts w:ascii="Times New Roman" w:cs="Times New Roman" w:eastAsia="Times New Roman" w:hAnsi="Times New Roman"/>
          <w:sz w:val="18"/>
          <w:szCs w:val="18"/>
          <w:i w:val="1"/>
          <w:iCs w:val="1"/>
          <w:color w:val="auto"/>
        </w:rPr>
        <w:t>independent public accountants</w:t>
      </w:r>
      <w:r>
        <w:rPr>
          <w:rFonts w:ascii="Times New Roman" w:cs="Times New Roman" w:eastAsia="Times New Roman" w:hAnsi="Times New Roman"/>
          <w:sz w:val="18"/>
          <w:szCs w:val="18"/>
          <w:color w:val="auto"/>
        </w:rPr>
        <w:t>”), certain consultants or attorneys. The definition of insider is transaction specific; that is, an individual is an insider with respect to each material, nonpublic item of which he or she is aware.</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What is “Material” Information? </w:t>
      </w:r>
      <w:r>
        <w:rPr>
          <w:rFonts w:ascii="Times New Roman" w:cs="Times New Roman" w:eastAsia="Times New Roman" w:hAnsi="Times New Roman"/>
          <w:sz w:val="18"/>
          <w:szCs w:val="18"/>
          <w:color w:val="auto"/>
        </w:rPr>
        <w:t>The materiality of a fact depends upon the circumstances. A fact is considered “material” if there is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that a reasonable investor would consider it important in making the determination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 Some examples of material information include but are not limited to: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results;</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pricing changes;</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Projections of future earnings or losses;</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splits;</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News of a pending or proposed merger;</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Major changes in senior management;</w:t>
            </w:r>
          </w:p>
        </w:tc>
      </w:tr>
      <w:tr>
        <w:trPr>
          <w:trHeight w:val="414"/>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independent public accountants or notification that the</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major contracts, suppliers, customers, partnerships or the</w:t>
            </w:r>
          </w:p>
        </w:tc>
      </w:tr>
      <w:tr>
        <w:trPr>
          <w:trHeight w:val="216"/>
        </w:trPr>
        <w:tc>
          <w:tcPr>
            <w:tcW w:w="800" w:type="dxa"/>
            <w:vAlign w:val="bottom"/>
          </w:tcPr>
          <w:p>
            <w:pPr>
              <w:spacing w:after="0"/>
              <w:rPr>
                <w:sz w:val="18"/>
                <w:szCs w:val="18"/>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independent public accountant’s reports may no longer be relied</w:t>
            </w:r>
          </w:p>
        </w:tc>
        <w:tc>
          <w:tcPr>
            <w:tcW w:w="440" w:type="dxa"/>
            <w:vAlign w:val="bottom"/>
          </w:tcPr>
          <w:p>
            <w:pPr>
              <w:spacing w:after="0"/>
              <w:rPr>
                <w:sz w:val="18"/>
                <w:szCs w:val="18"/>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thereof;</w:t>
            </w:r>
          </w:p>
        </w:tc>
      </w:tr>
      <w:tr>
        <w:trPr>
          <w:trHeight w:val="234"/>
        </w:trPr>
        <w:tc>
          <w:tcPr>
            <w:tcW w:w="800" w:type="dxa"/>
            <w:vAlign w:val="bottom"/>
          </w:tcPr>
          <w:p>
            <w:pPr>
              <w:spacing w:after="0"/>
              <w:rPr>
                <w:sz w:val="20"/>
                <w:szCs w:val="20"/>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upon;</w:t>
            </w:r>
          </w:p>
        </w:tc>
        <w:tc>
          <w:tcPr>
            <w:tcW w:w="4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Impending bankruptcy or financial liquidity problems;</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 and/or Divestitures;</w:t>
            </w:r>
          </w:p>
        </w:tc>
      </w:tr>
      <w:tr>
        <w:trPr>
          <w:trHeight w:val="414"/>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equity or debt offerings, security registrations or pending</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or  litigation  problems,  including  the  threat  of</w:t>
            </w:r>
          </w:p>
        </w:tc>
      </w:tr>
      <w:tr>
        <w:trPr>
          <w:trHeight w:val="234"/>
        </w:trPr>
        <w:tc>
          <w:tcPr>
            <w:tcW w:w="800" w:type="dxa"/>
            <w:vAlign w:val="bottom"/>
          </w:tcPr>
          <w:p>
            <w:pPr>
              <w:spacing w:after="0"/>
              <w:rPr>
                <w:sz w:val="20"/>
                <w:szCs w:val="20"/>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matters with the Securities and Exchange Commission;</w:t>
            </w:r>
          </w:p>
        </w:tc>
        <w:tc>
          <w:tcPr>
            <w:tcW w:w="440" w:type="dxa"/>
            <w:vAlign w:val="bottom"/>
          </w:tcPr>
          <w:p>
            <w:pPr>
              <w:spacing w:after="0"/>
              <w:rPr>
                <w:sz w:val="20"/>
                <w:szCs w:val="20"/>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litigation or the resolution of litigation;</w:t>
            </w:r>
          </w:p>
        </w:tc>
      </w:tr>
      <w:tr>
        <w:trPr>
          <w:trHeight w:val="414"/>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Major developments with the Company’s intellectual property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pricing changes; and</w:t>
            </w:r>
          </w:p>
        </w:tc>
      </w:tr>
      <w:tr>
        <w:trPr>
          <w:trHeight w:val="234"/>
        </w:trPr>
        <w:tc>
          <w:tcPr>
            <w:tcW w:w="800" w:type="dxa"/>
            <w:vAlign w:val="bottom"/>
          </w:tcPr>
          <w:p>
            <w:pPr>
              <w:spacing w:after="0"/>
              <w:rPr>
                <w:sz w:val="20"/>
                <w:szCs w:val="20"/>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portfolio, including the grant of patent rights;</w:t>
            </w:r>
          </w:p>
        </w:tc>
        <w:tc>
          <w:tcPr>
            <w:tcW w:w="4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Delays in product development or problems with quality control;</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dividend policy.</w:t>
            </w:r>
          </w:p>
        </w:tc>
      </w:tr>
      <w:tr>
        <w:trPr>
          <w:trHeight w:val="432"/>
        </w:trPr>
        <w:tc>
          <w:tcPr>
            <w:tcW w:w="8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4860"/>
              <w:spacing w:after="0"/>
              <w:rPr>
                <w:sz w:val="20"/>
                <w:szCs w:val="20"/>
                <w:color w:val="auto"/>
              </w:rPr>
            </w:pPr>
            <w:r>
              <w:rPr>
                <w:rFonts w:ascii="Times New Roman" w:cs="Times New Roman" w:eastAsia="Times New Roman" w:hAnsi="Times New Roman"/>
                <w:sz w:val="17"/>
                <w:szCs w:val="17"/>
                <w:color w:val="auto"/>
                <w:w w:val="70"/>
              </w:rPr>
              <w:t>2</w:t>
            </w:r>
          </w:p>
        </w:tc>
      </w:tr>
    </w:tbl>
    <w:p>
      <w:pPr>
        <w:sectPr>
          <w:pgSz w:w="11900" w:h="16838" w:orient="portrait"/>
          <w:cols w:equalWidth="0" w:num="1">
            <w:col w:w="11240"/>
          </w:cols>
          <w:pgMar w:left="320" w:top="1440" w:right="339" w:bottom="1440" w:gutter="0" w:footer="0" w:header="0"/>
        </w:sectPr>
      </w:pPr>
    </w:p>
    <w:bookmarkStart w:id="84" w:name="page85"/>
    <w:bookmarkEnd w:id="8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6114415</wp:posOffset>
            </wp:positionH>
            <wp:positionV relativeFrom="page">
              <wp:posOffset>431800</wp:posOffset>
            </wp:positionV>
            <wp:extent cx="1225550"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list is only illustrative; many other types of information may be considered “material,” depending on the circumstances. The materiality of particular information is subject to reassessment on a regular basis.</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What is “Nonpublic” Information? </w:t>
      </w:r>
      <w:r>
        <w:rPr>
          <w:rFonts w:ascii="Times New Roman" w:cs="Times New Roman" w:eastAsia="Times New Roman" w:hAnsi="Times New Roman"/>
          <w:sz w:val="18"/>
          <w:szCs w:val="18"/>
          <w:color w:val="auto"/>
        </w:rPr>
        <w:t>Information is “nonpublic” if it is not available to the general public. In order for information to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it must be widely disseminated in a manner making it generally available to investors through such media as Dow Jones, Market Wire, United Press International or similar services. The circulation of rumors, even if accurate and reported in the media, does not constitute effective public dissemination.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even after a public announcement of material information, a reasonable period of time must elapse in order for the market to react to the information. Generally, one should allow approximately two full trading days following publication as a reasonable waiting period before such information is deemed to be public. Therefore, if an announcement is made before the commencement of trading on a Monday, an employee may trade in Company Securities starting on Wednesday of that week, because two full trading days would have elapsed by then (all of Monday and Tuesday). If the announcement is made on Monday after trading begins, employees may not trade in Company Securities until Thursday. If the announcement is made on Friday after trading begins, employees made not trade in Company Securities until Wednesday of the following week.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Trading in the Company’s securities during the Trading Window should not be considered a “safe harbor,” and all directors, officers, employees and other persons should use good judgment at all times.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Who is a “Related Person”? </w:t>
      </w:r>
      <w:r>
        <w:rPr>
          <w:rFonts w:ascii="Times New Roman" w:cs="Times New Roman" w:eastAsia="Times New Roman" w:hAnsi="Times New Roman"/>
          <w:sz w:val="18"/>
          <w:szCs w:val="18"/>
          <w:color w:val="auto"/>
        </w:rPr>
        <w:t>For purposes of this Policy, a Related Person includes your spouse, minor children and anyone else living in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household; partnerships in which you are a general partner; trusts of which you are a trustee; estates of which you are an executor; and other equivalent legal entities that you control. Although a person’s parent or sibling may not be considered a Related Person (unless living in the same household), a parent or sibling may be a “tippee” for securities laws purposes. See Section V.D. below for a discussion on the prohibition on “tipping”.</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Penalties for Insider Trading and Other Violations. </w:t>
      </w:r>
      <w:r>
        <w:rPr>
          <w:rFonts w:ascii="Times New Roman" w:cs="Times New Roman" w:eastAsia="Times New Roman" w:hAnsi="Times New Roman"/>
          <w:sz w:val="18"/>
          <w:szCs w:val="18"/>
          <w:color w:val="auto"/>
        </w:rPr>
        <w:t>Penalties for trading on or communicating material non-public information are severe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applied against the individual involved in unlawful conduct, as well as against the Company and controlling persons of the Company. A person can be subject to some or all of the penalties noted below even if he or she does not personally benefit from the violation. Penalties include:</w:t>
      </w:r>
    </w:p>
    <w:p>
      <w:pPr>
        <w:spacing w:after="0" w:line="17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may in its discretion impose or maintain stop transfer orders on securities held by persons to enforce this Policy.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6114415</wp:posOffset>
            </wp:positionH>
            <wp:positionV relativeFrom="page">
              <wp:posOffset>431800</wp:posOffset>
            </wp:positionV>
            <wp:extent cx="1225550" cy="394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Any violation of this Policy can be expected to result in serious sanctions by the Company, including termination, dismissal, suspension without pay, loss of pay or bonus, loss of benefits, demotion or other sanctions, whether or not the violation of this Policy also constituted a violation of law.</w:t>
      </w:r>
    </w:p>
    <w:p>
      <w:pPr>
        <w:spacing w:after="0" w:line="15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GUIDELINES</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4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Non-disclosure of Material Nonpublic Information. </w:t>
      </w:r>
      <w:r>
        <w:rPr>
          <w:rFonts w:ascii="Times New Roman" w:cs="Times New Roman" w:eastAsia="Times New Roman" w:hAnsi="Times New Roman"/>
          <w:sz w:val="18"/>
          <w:szCs w:val="18"/>
          <w:color w:val="auto"/>
        </w:rPr>
        <w:t>Material, nonpublic information must not be disclosed to anyone, except the persons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third-party agents of the Company (such as investment banking advisors or outside legal counsel) whose positions require them to know it, until such information has been publicly released by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41"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Prohibited Trading in Company Securities. </w:t>
      </w:r>
      <w:r>
        <w:rPr>
          <w:rFonts w:ascii="Times New Roman" w:cs="Times New Roman" w:eastAsia="Times New Roman" w:hAnsi="Times New Roman"/>
          <w:sz w:val="18"/>
          <w:szCs w:val="18"/>
          <w:color w:val="auto"/>
        </w:rPr>
        <w:t>No person may place a purchase or sell order or recommend that another person place a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order in Company Securities when he or she has knowledge of material information concerning the Company that has not been disclosed to the public. Loans, pledges, gifts, charitable donations and other contributions of Company Securities are also subject to this Policy.</w:t>
      </w:r>
    </w:p>
    <w:p>
      <w:pPr>
        <w:spacing w:after="0" w:line="170"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4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Twenty-Twenty Hindsight. </w:t>
      </w:r>
      <w:r>
        <w:rPr>
          <w:rFonts w:ascii="Times New Roman" w:cs="Times New Roman" w:eastAsia="Times New Roman" w:hAnsi="Times New Roman"/>
          <w:sz w:val="18"/>
          <w:szCs w:val="18"/>
          <w:color w:val="auto"/>
        </w:rPr>
        <w:t>If securities transactions ever become the subject of scrutiny, they are likely to be viewed after-the-fact with the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hindsight. As a result, before engaging in any transaction an insider should carefully consider how his or her transaction may be construed in the bright light of hindsight. Again, in the event of any questions or uncertainties about the Policy, please consult the Company’s CFO or their designee for advising of the Policy.</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81"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“Tipping” Information to Others. </w:t>
      </w:r>
      <w:r>
        <w:rPr>
          <w:rFonts w:ascii="Times New Roman" w:cs="Times New Roman" w:eastAsia="Times New Roman" w:hAnsi="Times New Roman"/>
          <w:sz w:val="18"/>
          <w:szCs w:val="18"/>
          <w:color w:val="auto"/>
        </w:rPr>
        <w:t>Insiders may be liable for communicating or tipping material nonpublic information to any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tippee</w:t>
      </w:r>
      <w:r>
        <w:rPr>
          <w:rFonts w:ascii="Times New Roman" w:cs="Times New Roman" w:eastAsia="Times New Roman" w:hAnsi="Times New Roman"/>
          <w:sz w:val="18"/>
          <w:szCs w:val="18"/>
          <w:color w:val="auto"/>
        </w:rPr>
        <w:t>”),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Avoid Speculation. </w:t>
      </w:r>
      <w:r>
        <w:rPr>
          <w:rFonts w:ascii="Times New Roman" w:cs="Times New Roman" w:eastAsia="Times New Roman" w:hAnsi="Times New Roman"/>
          <w:sz w:val="18"/>
          <w:szCs w:val="18"/>
          <w:color w:val="auto"/>
        </w:rPr>
        <w:t>Directors, officers, employees, and their Related Persons may not trade in options, warrants, puts and calls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on Company Securities or sell Company Securities “short”. In addition, directors, officers, employees, and their Related Persons may not hold Company Securities in margin accounts.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director, officer or employee in conflict with the best interests of the Company and its security-holders. Anyone may, of course, in accordance with this Policy and other Company policies, exercise options granted to them by the Company.</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6114415</wp:posOffset>
            </wp:positionH>
            <wp:positionV relativeFrom="page">
              <wp:posOffset>431800</wp:posOffset>
            </wp:positionV>
            <wp:extent cx="1225550" cy="394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 Trading in Other Securities. </w:t>
      </w:r>
      <w:r>
        <w:rPr>
          <w:rFonts w:ascii="Times New Roman" w:cs="Times New Roman" w:eastAsia="Times New Roman" w:hAnsi="Times New Roman"/>
          <w:sz w:val="18"/>
          <w:szCs w:val="18"/>
          <w:color w:val="auto"/>
        </w:rPr>
        <w:t>Directors, officers, or employees may not place purchase or sell orders or recommend that another person place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sell order in the securities of another company if the person learns of material, nonpublic information about the other company in the course of his/her employment or work with the Company.</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 Posting of Information. </w:t>
      </w:r>
      <w:r>
        <w:rPr>
          <w:rFonts w:ascii="Times New Roman" w:cs="Times New Roman" w:eastAsia="Times New Roman" w:hAnsi="Times New Roman"/>
          <w:sz w:val="18"/>
          <w:szCs w:val="18"/>
          <w:color w:val="auto"/>
        </w:rPr>
        <w:t>Directors, officers and employees are prohibited from posting confidential information relating to the Company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limited to material non-public information, in internet chat rooms, on online message boards, on social media and social networking websites or through the use of any other form of electronic communication, other than in the ordinary course of employment with the Company.</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 Margin Accounts. </w:t>
      </w:r>
      <w:r>
        <w:rPr>
          <w:rFonts w:ascii="Times New Roman" w:cs="Times New Roman" w:eastAsia="Times New Roman" w:hAnsi="Times New Roman"/>
          <w:sz w:val="18"/>
          <w:szCs w:val="18"/>
          <w:color w:val="auto"/>
        </w:rPr>
        <w:t>Securities held in a margin account may be sold by the broker without the customer’s consent if the customer fails to meet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call. Similarly, securities pledged as collateral for a loan may be sold in foreclosure if the borrower defaults on the loan or, in many instances, if the value of the collateral declines. Because a margin sale or foreclosure sale may occur at a time when the pledgor is aware of material non-public information regarding the Company’s directors, officers and employees are prohibited from holding securities of the Company in a margin account where such shares could be sold to meet a margin call or pledging such securities as collateral for a loan. An exception to this prohibition may be permitted in certain limited circumstances with the advance written approval of the Compliance Officer. The Compliance Officer may accept, reject or condition such transaction in its sole discretion.</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 Entities. </w:t>
      </w:r>
      <w:r>
        <w:rPr>
          <w:rFonts w:ascii="Times New Roman" w:cs="Times New Roman" w:eastAsia="Times New Roman" w:hAnsi="Times New Roman"/>
          <w:sz w:val="18"/>
          <w:szCs w:val="18"/>
          <w:color w:val="auto"/>
        </w:rPr>
        <w:t>This Policy applies to any entities whose transactions in the Company’s securities are influenced or controlled by any director,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including corporations, partnerships or trusts (collectively, “</w:t>
      </w:r>
      <w:r>
        <w:rPr>
          <w:rFonts w:ascii="Times New Roman" w:cs="Times New Roman" w:eastAsia="Times New Roman" w:hAnsi="Times New Roman"/>
          <w:sz w:val="18"/>
          <w:szCs w:val="18"/>
          <w:i w:val="1"/>
          <w:iCs w:val="1"/>
          <w:color w:val="auto"/>
        </w:rPr>
        <w:t>Controlled Entities</w:t>
      </w:r>
      <w:r>
        <w:rPr>
          <w:rFonts w:ascii="Times New Roman" w:cs="Times New Roman" w:eastAsia="Times New Roman" w:hAnsi="Times New Roman"/>
          <w:sz w:val="18"/>
          <w:szCs w:val="18"/>
          <w:color w:val="auto"/>
        </w:rPr>
        <w:t>”). Transactions by these Controlled Entities will be treated for the purposes of this Policy as if they are for the account of the affiliated person.</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 Further Restrictions. </w:t>
      </w:r>
      <w:r>
        <w:rPr>
          <w:rFonts w:ascii="Times New Roman" w:cs="Times New Roman" w:eastAsia="Times New Roman" w:hAnsi="Times New Roman"/>
          <w:sz w:val="18"/>
          <w:szCs w:val="18"/>
          <w:color w:val="auto"/>
        </w:rPr>
        <w:t>As circumstances dictate and as a result of the small size of the Company, the Company may restrict trading by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employees. In such event, the Compliance Officer will notify particular individuals or all persons that they should not engage in any transactions involving the Company’s securities until such further restrictions are lifted by further notice. The notice, which may be by email, need not state the reason for the further restrictions. Persons who receive such notice should not disclose to others the existence of such restrictions. Generally, the Compliance Officer will deliver a notice lifting the further restrictions upon the earlier of the circumstances no longer being material or the open of market on the second trading day following the Company’s public disclosure of the circumstances giving rise to such further restrictions or their resolution.</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ADDITIONAL RESTRICTIONS AND REQUIREMENTS FOR DIRECTORS AND OFFICERS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Trading Window. </w:t>
      </w:r>
      <w:r>
        <w:rPr>
          <w:rFonts w:ascii="Times New Roman" w:cs="Times New Roman" w:eastAsia="Times New Roman" w:hAnsi="Times New Roman"/>
          <w:sz w:val="18"/>
          <w:szCs w:val="18"/>
          <w:color w:val="auto"/>
        </w:rPr>
        <w:t>In addition to being subject to all of the other limitations in this Policy (including the prohibition on trading in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when in possession of material, non-public information, regardless of the existence of an open trading window as defined below), directors, officers and members of the Company’s Senior Management Team (defined as Vice President, Department Director or above) may only buy or sell Company Securities in the public market during the period beginning two full trading days after the release of the Company’s quarterly earnings and ending 15 calendar days prior to the end of the next fiscal quarter (the “</w:t>
      </w:r>
      <w:r>
        <w:rPr>
          <w:rFonts w:ascii="Times New Roman" w:cs="Times New Roman" w:eastAsia="Times New Roman" w:hAnsi="Times New Roman"/>
          <w:sz w:val="18"/>
          <w:szCs w:val="18"/>
          <w:i w:val="1"/>
          <w:iCs w:val="1"/>
          <w:color w:val="auto"/>
        </w:rPr>
        <w:t>Trading Window</w:t>
      </w:r>
      <w:r>
        <w:rPr>
          <w:rFonts w:ascii="Times New Roman" w:cs="Times New Roman" w:eastAsia="Times New Roman" w:hAnsi="Times New Roman"/>
          <w:sz w:val="18"/>
          <w:szCs w:val="18"/>
          <w:color w:val="auto"/>
        </w:rPr>
        <w:t>”). Furthermore, directors, officers and members of the Company’s Senior Management Team may not buy or sell Company Securities in the public market during the period two full trading days before and two full trading days after any Form 8-K filing deemed to be material by the CFO.</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6114415</wp:posOffset>
            </wp:positionH>
            <wp:positionV relativeFrom="page">
              <wp:posOffset>431800</wp:posOffset>
            </wp:positionV>
            <wp:extent cx="1225550" cy="394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Pre-Clearance. </w:t>
      </w:r>
      <w:r>
        <w:rPr>
          <w:rFonts w:ascii="Times New Roman" w:cs="Times New Roman" w:eastAsia="Times New Roman" w:hAnsi="Times New Roman"/>
          <w:sz w:val="18"/>
          <w:szCs w:val="18"/>
          <w:color w:val="auto"/>
        </w:rPr>
        <w:t>Directors and officers of the Company (as such term is defined pursuant to Section 16 of the Securities Exchange Act,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obtain prior clearance from the Company’s CFO or their designee before he, she or a Related Person makes any purchases or sales of Company Securities, including any exercise of stock options. Prior clearance is required for all purchases or sales. Each proposed transaction will be evaluated to determine if it raises insider trading concerns or other concerns under the federal or state securities laws and regulations. Any advice will relate solely to the restraints imposed by law and will not constitute advice regarding the investment aspects of any transaction. Clearance of a transaction is valid for a 48-hour period only. If the transaction order is not placed within that 48-hour period, clearance of the transaction must be re-requested. If clearance is denied, the fact of such denial must be kept confidential by the person requesting such clearance.</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Prohibition on Selling Stock Acquired by Option Exercise. </w:t>
      </w:r>
      <w:r>
        <w:rPr>
          <w:rFonts w:ascii="Times New Roman" w:cs="Times New Roman" w:eastAsia="Times New Roman" w:hAnsi="Times New Roman"/>
          <w:sz w:val="18"/>
          <w:szCs w:val="18"/>
          <w:color w:val="auto"/>
        </w:rPr>
        <w:t>Officers are prohibited from selling Company stock acquired by exercising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until such officer has complied with the Company’s stock ownership requirement. Notwithstanding such, officers may immediately sell Company stock acquired by exercising stock options for the limited purposes of paying the exercise price of the stock option and any applicable tax liability.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ADMINISTRATION OF THE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officer and employee of the Company having supervisory or similar responsibility will be required to sign the Acknowledgement and Certification (the “</w:t>
      </w:r>
      <w:r>
        <w:rPr>
          <w:rFonts w:ascii="Times New Roman" w:cs="Times New Roman" w:eastAsia="Times New Roman" w:hAnsi="Times New Roman"/>
          <w:sz w:val="18"/>
          <w:szCs w:val="18"/>
          <w:i w:val="1"/>
          <w:iCs w:val="1"/>
          <w:color w:val="auto"/>
        </w:rPr>
        <w:t>Acknowledgement</w:t>
      </w:r>
      <w:r>
        <w:rPr>
          <w:rFonts w:ascii="Times New Roman" w:cs="Times New Roman" w:eastAsia="Times New Roman" w:hAnsi="Times New Roman"/>
          <w:sz w:val="18"/>
          <w:szCs w:val="18"/>
          <w:color w:val="auto"/>
        </w:rPr>
        <w:t>”) in the form attached hereto. The signed Acknowledgement will be placed in each individual’s personnel record.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will review and evaluate this Policy on an annual basis to determine the effectiveness of the Policy and in adherence to the applicable laws, rules and regulations. The Human Resources Department is responsible to (i) maintain the Policy, (ii) ensure all directors, officers and employees are provided with a copy of this Policy within one week of their respective appointment or employment by the Company, (iii) provide internal access to this Policy and notify directors, officers and employees of any amendments hereunder within one week of approval by the Board, (iv) maintain copies of the signed Acknowledgement for applicable directors, officers and employees, and (v) if applicable, to publicly post a current copy of the Policy on the Company’s website.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6114415</wp:posOffset>
            </wp:positionH>
            <wp:positionV relativeFrom="page">
              <wp:posOffset>431800</wp:posOffset>
            </wp:positionV>
            <wp:extent cx="1225550"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225550"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WRAP TECHNOLOGIES, INC. DIRECTORS AND EMPLOYEES MUST READ THIS INSIDER TRADING POLICY AND FILL OUT AND RETURN THIS PORTION TO THE HUMAN RESOURCES DEPARTMENT WITHIN ONE WEEK OF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does hereby acknowledge receipt of the Wrap Technologies, Inc. Insider Trading Policy and has read and understands (or has had explained)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20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Director/Employee 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333-225102, 333-232314, 333-239234 and 333-260841) and Form S-3 (No. 333-239329, 333-260612 and 333-275605) of our report dated March 31, 2025, relating to the consolidated financial statements of Wrap Technologies, Inc., as of and for the years ended December 31, 2024 and 2023, appearing in this Annual Report on Form 10-K of Wrap Technologies,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 Cohen,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 Cohen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Interim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2024,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 Cohen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Interim 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3"/>
    </w:lvl>
  </w:abstractNum>
  <w:abstractNum w:abstractNumId="21">
    <w:nsid w:val="2CA88611"/>
    <w:multiLevelType w:val="hybridMultilevel"/>
    <w:lvl w:ilvl="0">
      <w:lvlJc w:val="left"/>
      <w:lvlText w:val="(%1)"/>
      <w:numFmt w:val="upperLetter"/>
      <w:start w:val="2"/>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
      <w:numFmt w:val="bullet"/>
      <w:start w:val="1"/>
    </w:lvl>
    <w:lvl w:ilvl="1">
      <w:lvlJc w:val="left"/>
      <w:lvlText w:val="%2"/>
      <w:numFmt w:val="decimal"/>
      <w:start w:val="104"/>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7"/>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upperLetter"/>
      <w:start w:val="9"/>
    </w:lvl>
  </w:abstractNum>
  <w:abstractNum w:abstractNumId="29">
    <w:nsid w:val="6CEAF087"/>
    <w:multiLevelType w:val="hybridMultilevel"/>
    <w:lvl w:ilvl="0">
      <w:lvlJc w:val="left"/>
      <w:lvlText w:val="%1."/>
      <w:numFmt w:val="upperLetter"/>
      <w:start w:val="35"/>
    </w:lvl>
  </w:abstractNum>
  <w:abstractNum w:abstractNumId="30">
    <w:nsid w:val="22221A70"/>
    <w:multiLevelType w:val="hybridMultilevel"/>
    <w:lvl w:ilvl="0">
      <w:lvlJc w:val="left"/>
      <w:lvlText w:val="%1."/>
      <w:numFmt w:val="upperLetter"/>
      <w:start w:val="6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upperLetter"/>
      <w:start w:val="22"/>
    </w:lvl>
    <w:lvl w:ilvl="1">
      <w:lvlJc w:val="left"/>
      <w:lvlText w:val="%2."/>
      <w:numFmt w:val="upp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121"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26" Type="http://schemas.openxmlformats.org/officeDocument/2006/relationships/image" Target="media/image67.png"/><Relationship Id="rId127" Type="http://schemas.openxmlformats.org/officeDocument/2006/relationships/image" Target="media/image68.png"/><Relationship Id="rId128" Type="http://schemas.openxmlformats.org/officeDocument/2006/relationships/image" Target="media/image69.png"/><Relationship Id="rId129"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jpeg"/><Relationship Id="rId144" Type="http://schemas.openxmlformats.org/officeDocument/2006/relationships/image" Target="media/image85.png"/><Relationship Id="rId145" Type="http://schemas.openxmlformats.org/officeDocument/2006/relationships/image" Target="media/image86.jpeg"/><Relationship Id="rId146" Type="http://schemas.openxmlformats.org/officeDocument/2006/relationships/image" Target="media/image87.jpeg"/><Relationship Id="rId147" Type="http://schemas.openxmlformats.org/officeDocument/2006/relationships/image" Target="media/image88.png"/><Relationship Id="rId148" Type="http://schemas.openxmlformats.org/officeDocument/2006/relationships/image" Target="media/image89.jpeg"/><Relationship Id="rId149" Type="http://schemas.openxmlformats.org/officeDocument/2006/relationships/image" Target="media/image90.png"/><Relationship Id="rId150" Type="http://schemas.openxmlformats.org/officeDocument/2006/relationships/image" Target="media/image91.jpeg"/><Relationship Id="rId151" Type="http://schemas.openxmlformats.org/officeDocument/2006/relationships/image" Target="media/image92.png"/><Relationship Id="rId152" Type="http://schemas.openxmlformats.org/officeDocument/2006/relationships/image" Target="media/image93.jpeg"/><Relationship Id="rId153" Type="http://schemas.openxmlformats.org/officeDocument/2006/relationships/image" Target="media/image94.png"/><Relationship Id="rId154" Type="http://schemas.openxmlformats.org/officeDocument/2006/relationships/image" Target="media/image95.jpe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66" Type="http://schemas.openxmlformats.org/officeDocument/2006/relationships/hyperlink" Target="https://www.sec.gov/Archives/edgar/data/1702924/000165495417003384/ex2-1.htm" TargetMode="External"/><Relationship Id="rId67" Type="http://schemas.openxmlformats.org/officeDocument/2006/relationships/hyperlink" Target="https://www.sec.gov/Archives/edgar/data/1702924/000165495417003384/ex2-2.htm" TargetMode="External"/><Relationship Id="rId68" Type="http://schemas.openxmlformats.org/officeDocument/2006/relationships/hyperlink" Target="https://www.sec.gov/Archives/edgar/data/1702924/000143774925004882/ex_781460.htm" TargetMode="External"/><Relationship Id="rId69" Type="http://schemas.openxmlformats.org/officeDocument/2006/relationships/hyperlink" Target="https://www.sec.gov/Archives/edgar/data/1702924/000165495417003384/ex3-1.htm" TargetMode="External"/><Relationship Id="rId70" Type="http://schemas.openxmlformats.org/officeDocument/2006/relationships/hyperlink" Target="https://www.sec.gov/Archives/edgar/data/1702924/000185173423000054/ex_474186.htm" TargetMode="External"/><Relationship Id="rId71" Type="http://schemas.openxmlformats.org/officeDocument/2006/relationships/hyperlink" Target="https://www.sec.gov/Archives/edgar/data/1702924/000143774923034593/ex_607393.htm" TargetMode="External"/><Relationship Id="rId72" Type="http://schemas.openxmlformats.org/officeDocument/2006/relationships/hyperlink" Target="https://www.sec.gov/Archives/edgar/data/1702924/000143774923019053/ex_540251.htm" TargetMode="External"/><Relationship Id="rId73" Type="http://schemas.openxmlformats.org/officeDocument/2006/relationships/hyperlink" Target="https://www.sec.gov/Archives/edgar/data/1702924/000143774924027679/ex_717919.htm" TargetMode="External"/><Relationship Id="rId74" Type="http://schemas.openxmlformats.org/officeDocument/2006/relationships/hyperlink" Target="https://www.sec.gov/Archives/edgar/data/1702924/000143774924031161/ex_732361.htm" TargetMode="External"/><Relationship Id="rId75" Type="http://schemas.openxmlformats.org/officeDocument/2006/relationships/hyperlink" Target="https://www.sec.gov/Archives/edgar/data/1702924/000143774924036487/ex_753196.htm" TargetMode="External"/><Relationship Id="rId76" Type="http://schemas.openxmlformats.org/officeDocument/2006/relationships/hyperlink" Target="https://www.sec.gov/Archives/edgar/data/1702924/000143774924036977/ex_755176.htm" TargetMode="External"/><Relationship Id="rId77" Type="http://schemas.openxmlformats.org/officeDocument/2006/relationships/hyperlink" Target="https://www.sec.gov/Archives/edgar/data/1702924/000165495417005181/ex4-1.htm" TargetMode="External"/><Relationship Id="rId78" Type="http://schemas.openxmlformats.org/officeDocument/2006/relationships/hyperlink" Target="https://www.sec.gov/Archives/edgar/data/1702924/000165495418011996/ex4-1.htm" TargetMode="External"/><Relationship Id="rId79" Type="http://schemas.openxmlformats.org/officeDocument/2006/relationships/hyperlink" Target="https://www.sec.gov/Archives/edgar/data/1702924/000165495418011996/ex4-2.htm" TargetMode="External"/><Relationship Id="rId80" Type="http://schemas.openxmlformats.org/officeDocument/2006/relationships/hyperlink" Target="https://www.sec.gov/Archives/edgar/data/1702924/000165495419007441/ex4-1.htm" TargetMode="External"/><Relationship Id="rId81" Type="http://schemas.openxmlformats.org/officeDocument/2006/relationships/hyperlink" Target="https://www.sec.gov/Archives/edgar/data/1702924/000165495419007441/ex4-2.htm" TargetMode="External"/><Relationship Id="rId82" Type="http://schemas.openxmlformats.org/officeDocument/2006/relationships/hyperlink" Target="https://www.sec.gov/Archives/edgar/data/1702924/000165495420006265/ex4-1.htm" TargetMode="External"/><Relationship Id="rId83" Type="http://schemas.openxmlformats.org/officeDocument/2006/relationships/hyperlink" Target="https://www.sec.gov/Archives/edgar/data/1702924/000143774923019053/ex_540253.htm" TargetMode="External"/><Relationship Id="rId84" Type="http://schemas.openxmlformats.org/officeDocument/2006/relationships/hyperlink" Target="https://www.sec.gov/Archives/edgar/data/1702924/000143774924027942/ex_718610.htm" TargetMode="External"/><Relationship Id="rId85" Type="http://schemas.openxmlformats.org/officeDocument/2006/relationships/hyperlink" Target="https://www.sec.gov/Archives/edgar/data/1702924/000143774925005752/ex_784263.htm" TargetMode="External"/><Relationship Id="rId86" Type="http://schemas.openxmlformats.org/officeDocument/2006/relationships/hyperlink" Target="https://www.sec.gov/Archives/edgar/data/1702924/000165495417003384/ex10-1.htm" TargetMode="External"/><Relationship Id="rId87" Type="http://schemas.openxmlformats.org/officeDocument/2006/relationships/hyperlink" Target="https://www.sec.gov/Archives/edgar/data/1702924/000165495417003384/ex10-2.htm" TargetMode="External"/><Relationship Id="rId88" Type="http://schemas.openxmlformats.org/officeDocument/2006/relationships/hyperlink" Target="https://www.sec.gov/Archives/edgar/data/1702924/000165495419007594/ex10-1.htm" TargetMode="External"/><Relationship Id="rId89" Type="http://schemas.openxmlformats.org/officeDocument/2006/relationships/hyperlink" Target="https://www.sec.gov/Archives/edgar/data/1702924/000165495420006738/ex10-1.htm" TargetMode="External"/><Relationship Id="rId90" Type="http://schemas.openxmlformats.org/officeDocument/2006/relationships/hyperlink" Target="https://www.sec.gov/Archives/edgar/data/1702924/000185173421000041/ex_302752.htm" TargetMode="External"/><Relationship Id="rId91" Type="http://schemas.openxmlformats.org/officeDocument/2006/relationships/hyperlink" Target="https://www.sec.gov/Archives/edgar/data/1702924/000143774924038378/ex_760399.htm" TargetMode="External"/><Relationship Id="rId92" Type="http://schemas.openxmlformats.org/officeDocument/2006/relationships/hyperlink" Target="https://www.sec.gov/Archives/edgar/data/1702924/000165495420010068/ex10-1.htm" TargetMode="External"/><Relationship Id="rId93" Type="http://schemas.openxmlformats.org/officeDocument/2006/relationships/hyperlink" Target="https://www.sec.gov/Archives/edgar/data/1702924/000165495421002476/ex10-1.htm" TargetMode="External"/><Relationship Id="rId94" Type="http://schemas.openxmlformats.org/officeDocument/2006/relationships/hyperlink" Target="https://www.sec.gov/Archives/edgar/data/1702924/000185173422000050/ex_327867.htm" TargetMode="External"/><Relationship Id="rId95" Type="http://schemas.openxmlformats.org/officeDocument/2006/relationships/hyperlink" Target="https://www.sec.gov/Archives/edgar/data/1702924/000185173422000050/ex_327868.htm" TargetMode="External"/><Relationship Id="rId99" Type="http://schemas.openxmlformats.org/officeDocument/2006/relationships/hyperlink" Target="https://www.sec.gov/Archives/edgar/data/1702924/000185173422000203/ex_359936.htm" TargetMode="External"/><Relationship Id="rId100" Type="http://schemas.openxmlformats.org/officeDocument/2006/relationships/hyperlink" Target="https://www.sec.gov/Archives/edgar/data/1702924/000185173422000203/ex_359937.htm" TargetMode="External"/><Relationship Id="rId101" Type="http://schemas.openxmlformats.org/officeDocument/2006/relationships/hyperlink" Target="https://www.sec.gov/Archives/edgar/data/1702924/000143774924001738/ex_616951.htm" TargetMode="External"/><Relationship Id="rId102" Type="http://schemas.openxmlformats.org/officeDocument/2006/relationships/hyperlink" Target="https://www.sec.gov/Archives/edgar/data/1702924/000185173422000396/ex_399223.htm" TargetMode="External"/><Relationship Id="rId103" Type="http://schemas.openxmlformats.org/officeDocument/2006/relationships/hyperlink" Target="https://www.sec.gov/Archives/edgar/data/1702924/000185173422000705/ex_451370.htm" TargetMode="External"/><Relationship Id="rId104" Type="http://schemas.openxmlformats.org/officeDocument/2006/relationships/hyperlink" Target="https://www.sec.gov/Archives/edgar/data/1702924/000143774923010660/ex_502845.htm" TargetMode="External"/><Relationship Id="rId105" Type="http://schemas.openxmlformats.org/officeDocument/2006/relationships/hyperlink" Target="https://www.sec.gov/Archives/edgar/data/1702924/000143774923013651/ex_517312.htm" TargetMode="External"/><Relationship Id="rId106" Type="http://schemas.openxmlformats.org/officeDocument/2006/relationships/hyperlink" Target="https://www.sec.gov/Archives/edgar/data/1702924/000143774923019053/ex_540255.htm" TargetMode="External"/><Relationship Id="rId107" Type="http://schemas.openxmlformats.org/officeDocument/2006/relationships/hyperlink" Target="https://www.sec.gov/Archives/edgar/data/1702924/000143774923019053/ex_540252.htm" TargetMode="External"/><Relationship Id="rId108" Type="http://schemas.openxmlformats.org/officeDocument/2006/relationships/hyperlink" Target="https://www.sec.gov/Archives/edgar/data/1702924/000143774923024343/ex_562629.htm" TargetMode="External"/><Relationship Id="rId109" Type="http://schemas.openxmlformats.org/officeDocument/2006/relationships/hyperlink" Target="https://www.sec.gov/Archives/edgar/data/1702924/000143774923028307/ex_581194.htm" TargetMode="External"/><Relationship Id="rId110" Type="http://schemas.openxmlformats.org/officeDocument/2006/relationships/hyperlink" Target="https://www.sec.gov/Archives/edgar/data/1702924/000143774924001738/ex_616950.htm" TargetMode="External"/><Relationship Id="rId111" Type="http://schemas.openxmlformats.org/officeDocument/2006/relationships/hyperlink" Target="https://www.sec.gov/Archives/edgar/data/1702924/000143774923035589/ex_610987.htm" TargetMode="External"/><Relationship Id="rId112" Type="http://schemas.openxmlformats.org/officeDocument/2006/relationships/hyperlink" Target="https://www.sec.gov/Archives/edgar/data/1702924/000143774924000746/ex_612555.htm" TargetMode="External"/><Relationship Id="rId113" Type="http://schemas.openxmlformats.org/officeDocument/2006/relationships/hyperlink" Target="https://www.sec.gov/Archives/edgar/data/1702924/000143774924027679/ex_717920.htm" TargetMode="External"/><Relationship Id="rId114" Type="http://schemas.openxmlformats.org/officeDocument/2006/relationships/hyperlink" Target="https://www.sec.gov/Archives/edgar/data/1702924/000143774924031161/ex_732362.htm" TargetMode="External"/><Relationship Id="rId115" Type="http://schemas.openxmlformats.org/officeDocument/2006/relationships/hyperlink" Target="https://www.sec.gov/Archives/edgar/data/1702924/000143774924036487/ex_753197.htm" TargetMode="External"/><Relationship Id="rId116" Type="http://schemas.openxmlformats.org/officeDocument/2006/relationships/hyperlink" Target="https://www.sec.gov/Archives/edgar/data/1702924/000143774925005752/ex_784264.htm" TargetMode="External"/><Relationship Id="rId117" Type="http://schemas.openxmlformats.org/officeDocument/2006/relationships/hyperlink" Target="https://www.sec.gov/Archives/edgar/data/1702924/000143774925005752/ex_784265.htm" TargetMode="External"/><Relationship Id="rId118" Type="http://schemas.openxmlformats.org/officeDocument/2006/relationships/hyperlink" Target="https://www.sec.gov/Archives/edgar/data/1702924/000165495421002358/ex14.htm" TargetMode="External"/><Relationship Id="rId119" Type="http://schemas.openxmlformats.org/officeDocument/2006/relationships/hyperlink" Target="https://www.sec.gov/Archives/edgar/data/1702924/000165495421002358/ex21.htm" TargetMode="External"/><Relationship Id="rId120" Type="http://schemas.openxmlformats.org/officeDocument/2006/relationships/hyperlink" Target="https://www.sec.gov/Archives/edgar/data/1702924/000143774924027942/ex_7186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2025-03-31T05:25:55Z</dcterms:created>
  <dcterms:modified xsi:type="dcterms:W3CDTF">2025-03-31T05:25:55Z</dcterms:modified>
</cp:coreProperties>
</file>