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sz w:val="24"/>
        </w:rPr>
      </w:pPr>
      <w:bookmarkStart w:id="0" w:name="form10k.htm"/>
      <w:bookmarkStart w:id="1" w:name="ksform10k"/>
      <w:bookmarkEnd w:id="0"/>
      <w:bookmarkEnd w:id="1"/>
      <w:r>
        <w:rPr>
          <w:rFonts w:ascii="Times New Roman" w:hAnsi="Times New Roman"/>
          <w:b/>
          <w:sz w:val="20"/>
        </w:rPr>
        <w:t>UNITED STATES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sz w:val="20"/>
        </w:rPr>
        <w:t>SECURITIES AND EXCHANGE COMMISSION</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sz w:val="20"/>
        </w:rPr>
        <w:t>Washington, D.C. 20549</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4"/>
        </w:rPr>
      </w:pPr>
      <w:r>
        <w:rPr>
          <w:rFonts w:ascii="Times New Roman" w:hAnsi="Times New Roman"/>
          <w:b/>
          <w:sz w:val="32"/>
        </w:rPr>
        <w:t>FORM 10-K</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left"/>
        <w:rPr/>
      </w:pPr>
      <w:r>
        <w:rPr>
          <w:color w:val="000000"/>
        </w:rPr>
        <w:t xml:space="preserve">☒ </w:t>
      </w:r>
      <w:r>
        <w:rPr>
          <w:rFonts w:ascii="Times New Roman" w:hAnsi="Times New Roman"/>
          <w:b/>
          <w:color w:val="000000"/>
          <w:sz w:val="20"/>
        </w:rPr>
        <w:t>ANNUAL REPORT PURSUANT TO SECTION 13 OR 15(D) OF THE SECURITIES EXCHANGE ACT OF 1934</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0"/>
        </w:rPr>
        <w:t>For the fiscal year ended December 31, 2025</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left"/>
        <w:rPr/>
      </w:pPr>
      <w:r>
        <w:rPr>
          <w:color w:val="000000"/>
        </w:rPr>
        <w:t>☐ </w:t>
      </w:r>
      <w:r>
        <w:rPr>
          <w:rFonts w:ascii="Times New Roman" w:hAnsi="Times New Roman"/>
          <w:b/>
          <w:color w:val="000000"/>
          <w:sz w:val="20"/>
        </w:rPr>
        <w:t>TRANSITION REPORT PURSUANT TO SECTION 13 OR 15(D) OF THE SECURITIES EXCHANGE ACT</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Commission File Number: 001-38750</w:t>
      </w:r>
    </w:p>
    <w:p>
      <w:pPr>
        <w:pStyle w:val="TextBody"/>
        <w:bidi w:val="0"/>
        <w:spacing w:before="0" w:after="0"/>
        <w:jc w:val="left"/>
        <w:rPr/>
      </w:pPr>
      <w:r>
        <w:rPr/>
        <w:t xml:space="preserve">  </w:t>
      </w:r>
    </w:p>
    <w:p>
      <w:pPr>
        <w:pStyle w:val="TextBody"/>
        <w:bidi w:val="0"/>
        <w:spacing w:before="0" w:after="0"/>
        <w:jc w:val="center"/>
        <w:rPr/>
      </w:pPr>
      <w:r>
        <w:rPr/>
        <w:drawing>
          <wp:inline distT="0" distB="0" distL="0" distR="0">
            <wp:extent cx="1514475" cy="304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14475" cy="304800"/>
                    </a:xfrm>
                    <a:prstGeom prst="rect">
                      <a:avLst/>
                    </a:prstGeom>
                  </pic:spPr>
                </pic:pic>
              </a:graphicData>
            </a:graphic>
          </wp:inline>
        </w:drawing>
      </w:r>
      <w:r>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0"/>
        </w:rPr>
        <w:t>Wrap Technologies, Inc.</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sz w:val="20"/>
        </w:rPr>
        <w:t>(Exact name of registrant as specified in its charter)</w:t>
      </w:r>
      <w:r>
        <w:rPr>
          <w:rFonts w:ascii="Times New Roman" w:hAnsi="Times New Roman"/>
          <w:sz w:val="24"/>
        </w:rPr>
        <w:t xml:space="preserve"> </w:t>
      </w:r>
    </w:p>
    <w:p>
      <w:pPr>
        <w:pStyle w:val="TextBody"/>
        <w:bidi w:val="0"/>
        <w:spacing w:before="0" w:after="0"/>
        <w:jc w:val="left"/>
        <w:rPr/>
      </w:pPr>
      <w:r>
        <w:rPr/>
        <w:t xml:space="preserve">  </w:t>
      </w:r>
    </w:p>
    <w:tbl>
      <w:tblPr>
        <w:tblW w:w="8477" w:type="dxa"/>
        <w:jc w:val="left"/>
        <w:tblInd w:w="0" w:type="dxa"/>
        <w:tblLayout w:type="fixed"/>
        <w:tblCellMar>
          <w:top w:w="0" w:type="dxa"/>
          <w:left w:w="0" w:type="dxa"/>
          <w:bottom w:w="0" w:type="dxa"/>
          <w:right w:w="0" w:type="dxa"/>
        </w:tblCellMar>
      </w:tblPr>
      <w:tblGrid>
        <w:gridCol w:w="5026"/>
        <w:gridCol w:w="3451"/>
      </w:tblGrid>
      <w:tr>
        <w:trPr/>
        <w:tc>
          <w:tcPr>
            <w:tcW w:w="5026" w:type="dxa"/>
            <w:tcBorders/>
            <w:vAlign w:val="center"/>
          </w:tcPr>
          <w:p>
            <w:pPr>
              <w:pStyle w:val="TableContents"/>
              <w:bidi w:val="0"/>
              <w:spacing w:before="0" w:after="0"/>
              <w:jc w:val="center"/>
              <w:rPr/>
            </w:pPr>
            <w:r>
              <w:rPr>
                <w:color w:val="000000"/>
                <w:sz w:val="20"/>
                <w:u w:val="single"/>
              </w:rPr>
              <w:t>Delaware</w:t>
            </w:r>
            <w:r>
              <w:rPr/>
              <w:t xml:space="preserve"> </w:t>
            </w:r>
          </w:p>
        </w:tc>
        <w:tc>
          <w:tcPr>
            <w:tcW w:w="3451" w:type="dxa"/>
            <w:tcBorders/>
            <w:vAlign w:val="center"/>
          </w:tcPr>
          <w:p>
            <w:pPr>
              <w:pStyle w:val="TableContents"/>
              <w:bidi w:val="0"/>
              <w:spacing w:before="0" w:after="0"/>
              <w:jc w:val="center"/>
              <w:rPr/>
            </w:pPr>
            <w:r>
              <w:rPr>
                <w:color w:val="000000"/>
                <w:sz w:val="20"/>
                <w:u w:val="single"/>
              </w:rPr>
              <w:t>98-0551945</w:t>
            </w:r>
            <w:r>
              <w:rPr/>
              <w:t xml:space="preserve"> </w:t>
            </w:r>
          </w:p>
        </w:tc>
      </w:tr>
      <w:tr>
        <w:trPr/>
        <w:tc>
          <w:tcPr>
            <w:tcW w:w="5026" w:type="dxa"/>
            <w:tcBorders/>
            <w:vAlign w:val="center"/>
          </w:tcPr>
          <w:p>
            <w:pPr>
              <w:pStyle w:val="TableContents"/>
              <w:bidi w:val="0"/>
              <w:spacing w:before="0" w:after="0"/>
              <w:jc w:val="center"/>
              <w:rPr/>
            </w:pPr>
            <w:r>
              <w:rPr>
                <w:color w:val="000000"/>
                <w:sz w:val="20"/>
              </w:rPr>
              <w:t>(State or other jurisdiction of incorporation or organization)</w:t>
            </w:r>
            <w:r>
              <w:rPr/>
              <w:t xml:space="preserve"> </w:t>
            </w:r>
          </w:p>
        </w:tc>
        <w:tc>
          <w:tcPr>
            <w:tcW w:w="3451" w:type="dxa"/>
            <w:tcBorders/>
            <w:vAlign w:val="center"/>
          </w:tcPr>
          <w:p>
            <w:pPr>
              <w:pStyle w:val="TableContents"/>
              <w:bidi w:val="0"/>
              <w:spacing w:before="0" w:after="0"/>
              <w:jc w:val="center"/>
              <w:rPr/>
            </w:pPr>
            <w:r>
              <w:rPr>
                <w:color w:val="000000"/>
                <w:sz w:val="20"/>
              </w:rPr>
              <w:t>(I.R.S. Employer Identification Number)</w:t>
            </w:r>
            <w:r>
              <w:rPr/>
              <w:t xml:space="preserve">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3350 Virginia Street</w:t>
      </w:r>
    </w:p>
    <w:p>
      <w:pPr>
        <w:pStyle w:val="TextBody"/>
        <w:bidi w:val="0"/>
        <w:spacing w:before="0" w:after="0"/>
        <w:jc w:val="center"/>
        <w:rPr>
          <w:rFonts w:ascii="Times New Roman" w:hAnsi="Times New Roman"/>
          <w:sz w:val="20"/>
          <w:u w:val="single"/>
        </w:rPr>
      </w:pPr>
      <w:r>
        <w:rPr>
          <w:rFonts w:ascii="Times New Roman" w:hAnsi="Times New Roman"/>
          <w:sz w:val="20"/>
          <w:u w:val="single"/>
        </w:rPr>
        <w:t>Miami, Florida 33133</w:t>
      </w:r>
    </w:p>
    <w:p>
      <w:pPr>
        <w:pStyle w:val="TextBody"/>
        <w:bidi w:val="0"/>
        <w:spacing w:before="0" w:after="0"/>
        <w:jc w:val="center"/>
        <w:rPr>
          <w:rFonts w:ascii="Times New Roman" w:hAnsi="Times New Roman"/>
          <w:sz w:val="24"/>
        </w:rPr>
      </w:pPr>
      <w:r>
        <w:rPr>
          <w:rFonts w:ascii="Times New Roman" w:hAnsi="Times New Roman"/>
          <w:sz w:val="20"/>
        </w:rPr>
        <w:t>(Address of principal executive offices) (Zip Code)</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4"/>
        </w:rPr>
      </w:pPr>
      <w:r>
        <w:rPr>
          <w:rFonts w:ascii="Times New Roman" w:hAnsi="Times New Roman"/>
          <w:sz w:val="20"/>
          <w:u w:val="single"/>
        </w:rPr>
        <w:t>(800) 583-2652</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sz w:val="20"/>
        </w:rPr>
        <w:t>(Registrant’s Telephone Number, Including Area Code)</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xml:space="preserve">  </w:t>
      </w:r>
    </w:p>
    <w:tbl>
      <w:tblPr>
        <w:tblW w:w="9213" w:type="dxa"/>
        <w:jc w:val="left"/>
        <w:tblInd w:w="0" w:type="dxa"/>
        <w:tblLayout w:type="fixed"/>
        <w:tblCellMar>
          <w:top w:w="0" w:type="dxa"/>
          <w:left w:w="0" w:type="dxa"/>
          <w:bottom w:w="0" w:type="dxa"/>
          <w:right w:w="0" w:type="dxa"/>
        </w:tblCellMar>
      </w:tblPr>
      <w:tblGrid>
        <w:gridCol w:w="3766"/>
        <w:gridCol w:w="1681"/>
        <w:gridCol w:w="3766"/>
      </w:tblGrid>
      <w:tr>
        <w:trPr/>
        <w:tc>
          <w:tcPr>
            <w:tcW w:w="3766" w:type="dxa"/>
            <w:tcBorders/>
            <w:vAlign w:val="center"/>
          </w:tcPr>
          <w:p>
            <w:pPr>
              <w:pStyle w:val="TableContents"/>
              <w:bidi w:val="0"/>
              <w:spacing w:before="0" w:after="0"/>
              <w:jc w:val="center"/>
              <w:rPr/>
            </w:pPr>
            <w:r>
              <w:rPr>
                <w:color w:val="000000"/>
                <w:sz w:val="20"/>
                <w:u w:val="single"/>
              </w:rPr>
              <w:t>Title of each class</w:t>
            </w:r>
            <w:r>
              <w:rPr/>
              <w:t xml:space="preserve"> </w:t>
            </w:r>
          </w:p>
        </w:tc>
        <w:tc>
          <w:tcPr>
            <w:tcW w:w="1681" w:type="dxa"/>
            <w:tcBorders/>
            <w:vAlign w:val="center"/>
          </w:tcPr>
          <w:p>
            <w:pPr>
              <w:pStyle w:val="TableContents"/>
              <w:bidi w:val="0"/>
              <w:spacing w:before="0" w:after="0"/>
              <w:jc w:val="center"/>
              <w:rPr/>
            </w:pPr>
            <w:r>
              <w:rPr>
                <w:color w:val="000000"/>
                <w:sz w:val="20"/>
                <w:u w:val="single"/>
              </w:rPr>
              <w:t>Trading Symbol(s)</w:t>
            </w:r>
            <w:r>
              <w:rPr/>
              <w:t xml:space="preserve"> </w:t>
            </w:r>
          </w:p>
        </w:tc>
        <w:tc>
          <w:tcPr>
            <w:tcW w:w="3766" w:type="dxa"/>
            <w:tcBorders/>
            <w:vAlign w:val="center"/>
          </w:tcPr>
          <w:p>
            <w:pPr>
              <w:pStyle w:val="TableContents"/>
              <w:bidi w:val="0"/>
              <w:spacing w:before="0" w:after="0"/>
              <w:jc w:val="center"/>
              <w:rPr/>
            </w:pPr>
            <w:r>
              <w:rPr>
                <w:color w:val="000000"/>
                <w:sz w:val="20"/>
                <w:u w:val="single"/>
              </w:rPr>
              <w:t>Name of each exchange on which registered</w:t>
            </w:r>
            <w:r>
              <w:rPr/>
              <w:t xml:space="preserve"> </w:t>
            </w:r>
          </w:p>
        </w:tc>
      </w:tr>
      <w:tr>
        <w:trPr/>
        <w:tc>
          <w:tcPr>
            <w:tcW w:w="3766" w:type="dxa"/>
            <w:tcBorders/>
            <w:vAlign w:val="center"/>
          </w:tcPr>
          <w:p>
            <w:pPr>
              <w:pStyle w:val="TableContents"/>
              <w:bidi w:val="0"/>
              <w:spacing w:before="0" w:after="0"/>
              <w:jc w:val="center"/>
              <w:rPr/>
            </w:pPr>
            <w:r>
              <w:rPr>
                <w:color w:val="000000"/>
                <w:sz w:val="20"/>
              </w:rPr>
              <w:t>Common Stock, par value $0.0001 per share</w:t>
            </w:r>
            <w:r>
              <w:rPr/>
              <w:t xml:space="preserve"> </w:t>
            </w:r>
          </w:p>
        </w:tc>
        <w:tc>
          <w:tcPr>
            <w:tcW w:w="1681" w:type="dxa"/>
            <w:tcBorders/>
            <w:vAlign w:val="center"/>
          </w:tcPr>
          <w:p>
            <w:pPr>
              <w:pStyle w:val="TableContents"/>
              <w:bidi w:val="0"/>
              <w:spacing w:before="0" w:after="0"/>
              <w:jc w:val="center"/>
              <w:rPr/>
            </w:pPr>
            <w:r>
              <w:rPr>
                <w:color w:val="000000"/>
                <w:sz w:val="20"/>
              </w:rPr>
              <w:t>WRAP</w:t>
            </w:r>
            <w:r>
              <w:rPr/>
              <w:t xml:space="preserve"> </w:t>
            </w:r>
          </w:p>
        </w:tc>
        <w:tc>
          <w:tcPr>
            <w:tcW w:w="3766" w:type="dxa"/>
            <w:tcBorders/>
            <w:vAlign w:val="center"/>
          </w:tcPr>
          <w:p>
            <w:pPr>
              <w:pStyle w:val="TableContents"/>
              <w:bidi w:val="0"/>
              <w:spacing w:before="0" w:after="0"/>
              <w:jc w:val="center"/>
              <w:rPr/>
            </w:pPr>
            <w:r>
              <w:rPr>
                <w:color w:val="000000"/>
                <w:sz w:val="20"/>
              </w:rPr>
              <w:t>Nasdaq Capital Market</w:t>
            </w:r>
            <w:r>
              <w:rPr/>
              <w:t xml:space="preserve"> </w:t>
            </w:r>
          </w:p>
        </w:tc>
      </w:tr>
    </w:tbl>
    <w:p>
      <w:pPr>
        <w:pStyle w:val="TextBody"/>
        <w:bidi w:val="0"/>
        <w:spacing w:before="0" w:after="0"/>
        <w:jc w:val="left"/>
        <w:rPr/>
      </w:pPr>
      <w:r>
        <w:rPr/>
        <w:t xml:space="preserve">  </w:t>
      </w:r>
    </w:p>
    <w:p>
      <w:pPr>
        <w:pStyle w:val="TextBody"/>
        <w:bidi w:val="0"/>
        <w:spacing w:before="0" w:after="0"/>
        <w:jc w:val="center"/>
        <w:rPr>
          <w:rFonts w:ascii="Times New Roman" w:hAnsi="Times New Roman"/>
          <w:sz w:val="24"/>
        </w:rPr>
      </w:pPr>
      <w:r>
        <w:rPr>
          <w:rFonts w:ascii="Times New Roman" w:hAnsi="Times New Roman"/>
          <w:sz w:val="20"/>
        </w:rPr>
        <w:t>Securities registered pursuant to Section 12(g) of the Act: None</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 xml:space="preserve">Indicate by check mark if the registrant is a well-known seasoned issuer, as defined in Rule 405 of the Securities Act. Yes </w:t>
      </w:r>
      <w:r>
        <w:rPr>
          <w:rFonts w:ascii="Times New Roman" w:hAnsi="Times New Roman"/>
          <w:sz w:val="24"/>
        </w:rPr>
        <w:t xml:space="preserve">☐ </w:t>
      </w:r>
      <w:r>
        <w:rPr>
          <w:rFonts w:ascii="Times New Roman" w:hAnsi="Times New Roman"/>
          <w:sz w:val="20"/>
        </w:rPr>
        <w:t xml:space="preserve">No </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 xml:space="preserve">Indicate by check mark if the registrant is not required to file reports pursuant to Section 13 or Section 15(d) of the Exchange Act. Yes </w:t>
      </w:r>
      <w:r>
        <w:rPr>
          <w:rFonts w:ascii="Times New Roman" w:hAnsi="Times New Roman"/>
          <w:sz w:val="24"/>
        </w:rPr>
        <w:t xml:space="preserve">☐ </w:t>
      </w:r>
      <w:r>
        <w:rPr>
          <w:rFonts w:ascii="Times New Roman" w:hAnsi="Times New Roman"/>
          <w:sz w:val="20"/>
        </w:rPr>
        <w:t xml:space="preserve">No </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sz w:val="24"/>
        </w:rPr>
        <w:t xml:space="preserve">☒ </w:t>
      </w:r>
      <w:r>
        <w:rPr>
          <w:rFonts w:ascii="Times New Roman" w:hAnsi="Times New Roman"/>
          <w:sz w:val="20"/>
        </w:rPr>
        <w:t xml:space="preserve">No </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rFonts w:ascii="Times New Roman" w:hAnsi="Times New Roman"/>
          <w:sz w:val="24"/>
        </w:rPr>
        <w:t xml:space="preserve"> </w:t>
      </w:r>
    </w:p>
    <w:p>
      <w:pPr>
        <w:pStyle w:val="TextBody"/>
        <w:bidi w:val="0"/>
        <w:spacing w:before="0" w:after="0"/>
        <w:jc w:val="both"/>
        <w:rPr/>
      </w:pPr>
      <w:r>
        <w:rPr>
          <w:spacing w:val="0"/>
        </w:rPr>
        <w:t>☒</w:t>
      </w:r>
      <w:r>
        <w:rPr>
          <w:rFonts w:ascii="Times New Roman" w:hAnsi="Times New Roman"/>
          <w:sz w:val="20"/>
        </w:rPr>
        <w:t>Yes   </w:t>
      </w:r>
      <w:r>
        <w:rPr>
          <w:rFonts w:ascii="Times New Roman" w:hAnsi="Times New Roman"/>
          <w:spacing w:val="0"/>
          <w:sz w:val="24"/>
        </w:rPr>
        <w:t>☐</w:t>
      </w:r>
      <w:r>
        <w:rPr>
          <w:rFonts w:ascii="Times New Roman" w:hAnsi="Times New Roman"/>
          <w:sz w:val="20"/>
        </w:rPr>
        <w:t>No</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4"/>
        </w:rPr>
      </w:pPr>
      <w:r>
        <w:rPr>
          <w:rFonts w:ascii="Times New Roman" w:hAnsi="Times New Roman"/>
          <w:sz w:val="20"/>
        </w:rPr>
        <w:t>Indicate by check mark whether the registrant is a large accelerated filer, an accelerated filer, a non-accelerated filer, smaller reporting company, or an emerging growth company. See the definitions of “accelerated filer,” “large accelerated filer,” “smaller reporting company,” and “emerging growth company” in Rule 12b-2 of the Exchange Act.</w:t>
      </w:r>
      <w:r>
        <w:rPr>
          <w:rFonts w:ascii="Times New Roman" w:hAnsi="Times New Roman"/>
          <w:sz w:val="24"/>
        </w:rPr>
        <w:t xml:space="preserve"> </w:t>
      </w:r>
    </w:p>
    <w:p>
      <w:pPr>
        <w:pStyle w:val="TextBody"/>
        <w:bidi w:val="0"/>
        <w:spacing w:before="0" w:after="0"/>
        <w:jc w:val="left"/>
        <w:rPr/>
      </w:pPr>
      <w:r>
        <w:rPr/>
        <w:t xml:space="preserve">  </w:t>
      </w:r>
    </w:p>
    <w:tbl>
      <w:tblPr>
        <w:tblW w:w="4997" w:type="dxa"/>
        <w:jc w:val="left"/>
        <w:tblInd w:w="0" w:type="dxa"/>
        <w:tblLayout w:type="fixed"/>
        <w:tblCellMar>
          <w:top w:w="0" w:type="dxa"/>
          <w:left w:w="0" w:type="dxa"/>
          <w:bottom w:w="0" w:type="dxa"/>
          <w:right w:w="0" w:type="dxa"/>
        </w:tblCellMar>
      </w:tblPr>
      <w:tblGrid>
        <w:gridCol w:w="2326"/>
        <w:gridCol w:w="2671"/>
      </w:tblGrid>
      <w:tr>
        <w:trPr/>
        <w:tc>
          <w:tcPr>
            <w:tcW w:w="2326" w:type="dxa"/>
            <w:tcBorders/>
            <w:vAlign w:val="center"/>
          </w:tcPr>
          <w:p>
            <w:pPr>
              <w:pStyle w:val="TableContents"/>
              <w:bidi w:val="0"/>
              <w:spacing w:before="0" w:after="0"/>
              <w:jc w:val="both"/>
              <w:rPr/>
            </w:pPr>
            <w:r>
              <w:rPr>
                <w:color w:val="000000"/>
                <w:sz w:val="20"/>
              </w:rPr>
              <w:t xml:space="preserve">Large Accelerated Filer </w:t>
            </w:r>
            <w:r>
              <w:rPr>
                <w:color w:val="000000"/>
              </w:rPr>
              <w:t>☐</w:t>
            </w:r>
            <w:r>
              <w:rPr/>
              <w:t xml:space="preserve"> </w:t>
            </w:r>
          </w:p>
        </w:tc>
        <w:tc>
          <w:tcPr>
            <w:tcW w:w="2671" w:type="dxa"/>
            <w:tcBorders/>
            <w:vAlign w:val="center"/>
          </w:tcPr>
          <w:p>
            <w:pPr>
              <w:pStyle w:val="TableContents"/>
              <w:bidi w:val="0"/>
              <w:spacing w:before="0" w:after="0"/>
              <w:jc w:val="both"/>
              <w:rPr/>
            </w:pPr>
            <w:r>
              <w:rPr>
                <w:color w:val="000000"/>
                <w:sz w:val="20"/>
              </w:rPr>
              <w:t xml:space="preserve">Accelerated filer </w:t>
            </w:r>
            <w:r>
              <w:rPr>
                <w:color w:val="000000"/>
              </w:rPr>
              <w:t>☐</w:t>
            </w:r>
            <w:r>
              <w:rPr/>
              <w:t xml:space="preserve"> </w:t>
            </w:r>
          </w:p>
        </w:tc>
      </w:tr>
      <w:tr>
        <w:trPr/>
        <w:tc>
          <w:tcPr>
            <w:tcW w:w="2326" w:type="dxa"/>
            <w:tcBorders/>
            <w:vAlign w:val="center"/>
          </w:tcPr>
          <w:p>
            <w:pPr>
              <w:pStyle w:val="TableContents"/>
              <w:bidi w:val="0"/>
              <w:spacing w:before="0" w:after="0"/>
              <w:jc w:val="both"/>
              <w:rPr/>
            </w:pPr>
            <w:r>
              <w:rPr>
                <w:color w:val="000000"/>
                <w:sz w:val="20"/>
              </w:rPr>
              <w:t xml:space="preserve">Non-accelerated filer </w:t>
            </w:r>
            <w:r>
              <w:rPr>
                <w:color w:val="000000"/>
              </w:rPr>
              <w:t>☒</w:t>
            </w:r>
            <w:r>
              <w:rPr/>
              <w:t xml:space="preserve"> </w:t>
            </w:r>
          </w:p>
        </w:tc>
        <w:tc>
          <w:tcPr>
            <w:tcW w:w="2671" w:type="dxa"/>
            <w:tcBorders/>
            <w:vAlign w:val="center"/>
          </w:tcPr>
          <w:p>
            <w:pPr>
              <w:pStyle w:val="TableContents"/>
              <w:bidi w:val="0"/>
              <w:spacing w:before="0" w:after="0"/>
              <w:jc w:val="both"/>
              <w:rPr/>
            </w:pPr>
            <w:r>
              <w:rPr>
                <w:color w:val="000000"/>
                <w:sz w:val="20"/>
              </w:rPr>
              <w:t xml:space="preserve">Smaller reporting company </w:t>
            </w:r>
            <w:r>
              <w:rPr>
                <w:color w:val="000000"/>
              </w:rPr>
              <w:t>☒</w:t>
            </w:r>
            <w:r>
              <w:rPr/>
              <w:t xml:space="preserve"> </w:t>
            </w:r>
          </w:p>
        </w:tc>
      </w:tr>
      <w:tr>
        <w:trPr/>
        <w:tc>
          <w:tcPr>
            <w:tcW w:w="2326" w:type="dxa"/>
            <w:tcBorders/>
            <w:vAlign w:val="center"/>
          </w:tcPr>
          <w:p>
            <w:pPr>
              <w:pStyle w:val="TableContents"/>
              <w:bidi w:val="0"/>
              <w:spacing w:before="0" w:after="0"/>
              <w:jc w:val="both"/>
              <w:rPr/>
            </w:pPr>
            <w:r>
              <w:rPr/>
              <w:t xml:space="preserve">  </w:t>
            </w:r>
          </w:p>
        </w:tc>
        <w:tc>
          <w:tcPr>
            <w:tcW w:w="2671" w:type="dxa"/>
            <w:tcBorders/>
            <w:vAlign w:val="center"/>
          </w:tcPr>
          <w:p>
            <w:pPr>
              <w:pStyle w:val="TableContents"/>
              <w:bidi w:val="0"/>
              <w:spacing w:before="0" w:after="0"/>
              <w:jc w:val="both"/>
              <w:rPr/>
            </w:pPr>
            <w:r>
              <w:rPr>
                <w:color w:val="000000"/>
                <w:sz w:val="20"/>
              </w:rPr>
              <w:t xml:space="preserve">Emerging growth company </w:t>
            </w:r>
            <w:r>
              <w:rPr>
                <w:color w:val="000000"/>
              </w:rPr>
              <w:t>☐</w:t>
            </w:r>
            <w:r>
              <w:rPr/>
              <w:t xml:space="preserve"> </w:t>
            </w:r>
          </w:p>
        </w:tc>
      </w:tr>
    </w:tbl>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 xml:space="preserve">Indicate by check mark whether the registrant is a shell company (as defined in Rule 12b-2 of the Act). Yes </w:t>
      </w:r>
      <w:r>
        <w:rPr>
          <w:rFonts w:ascii="Times New Roman" w:hAnsi="Times New Roman"/>
          <w:sz w:val="24"/>
        </w:rPr>
        <w:t xml:space="preserve">☐ </w:t>
      </w:r>
      <w:r>
        <w:rPr>
          <w:rFonts w:ascii="Times New Roman" w:hAnsi="Times New Roman"/>
          <w:sz w:val="20"/>
        </w:rPr>
        <w:t xml:space="preserve">No </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 xml:space="preserve">The aggregate market value of the registrant’s common stock held by non-affiliates of the </w:t>
      </w:r>
      <w:r>
        <w:rPr>
          <w:rFonts w:ascii="Times New Roman" w:hAnsi="Times New Roman"/>
          <w:sz w:val="20"/>
          <w:shd w:fill="FFFFFF" w:val="clear"/>
        </w:rPr>
        <w:t>registrant on June 30, 2025 (the last business day of the registrant’s most recently completed second fiscal quarter) was $79,136,515 based on the closing price of $1.56 per share as reported on the Nasdaq Capital Market on June 30, 2025.</w:t>
      </w:r>
      <w:r>
        <w:rPr>
          <w:rFonts w:ascii="Times New Roman" w:hAnsi="Times New Roman"/>
          <w:sz w:val="24"/>
        </w:rPr>
        <w:t xml:space="preserve"> </w:t>
      </w:r>
      <w:r>
        <w:rPr>
          <w:rFonts w:ascii="Times New Roman" w:hAnsi="Times New Roman"/>
          <w:sz w:val="20"/>
        </w:rPr>
        <w:t>Shares of the registrant’s common stock held by each officer and director and each person known to the registrant to own 10% or more of the outstanding voting power of the registrant have been excluded in that such persons may be deemed to be affiliates. This determination of affiliate status is not a determination for other purposes.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A</w:t>
      </w:r>
      <w:r>
        <w:rPr>
          <w:rFonts w:ascii="Times New Roman" w:hAnsi="Times New Roman"/>
          <w:sz w:val="20"/>
          <w:shd w:fill="FFFFFF" w:val="clear"/>
        </w:rPr>
        <w:t>s of March 23, 2026 a total of 55,500,054 shares</w:t>
      </w:r>
      <w:r>
        <w:rPr>
          <w:rFonts w:ascii="Times New Roman" w:hAnsi="Times New Roman"/>
          <w:sz w:val="24"/>
          <w:shd w:fill="FFFFFF" w:val="clear"/>
        </w:rPr>
        <w:t xml:space="preserve"> </w:t>
      </w:r>
      <w:r>
        <w:rPr>
          <w:rFonts w:ascii="Times New Roman" w:hAnsi="Times New Roman"/>
          <w:sz w:val="20"/>
        </w:rPr>
        <w:t>of common stock, par value $0.0001 per share, were outstanding.</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Documents Incorporated by Reference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None.</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Normal"/>
        <w:bidi w:val="0"/>
        <w:spacing w:before="0" w:after="0"/>
        <w:jc w:val="left"/>
        <w:rPr>
          <w:sz w:val="4"/>
          <w:szCs w:val="4"/>
        </w:rPr>
      </w:pPr>
      <w:r>
        <w:rPr>
          <w:sz w:val="4"/>
          <w:szCs w:val="4"/>
        </w:rPr>
      </w:r>
      <w:bookmarkStart w:id="2" w:name="tableOfContents0"/>
      <w:bookmarkStart w:id="3" w:name="tableOfContents0"/>
      <w:bookmarkEnd w:id="3"/>
    </w:p>
    <w:tbl>
      <w:tblPr>
        <w:tblW w:w="10205" w:type="dxa"/>
        <w:jc w:val="left"/>
        <w:tblInd w:w="0" w:type="dxa"/>
        <w:tblLayout w:type="fixed"/>
        <w:tblCellMar>
          <w:top w:w="28" w:type="dxa"/>
          <w:left w:w="28" w:type="dxa"/>
          <w:bottom w:w="28" w:type="dxa"/>
          <w:right w:w="28" w:type="dxa"/>
        </w:tblCellMar>
      </w:tblPr>
      <w:tblGrid>
        <w:gridCol w:w="1243"/>
        <w:gridCol w:w="8345"/>
        <w:gridCol w:w="617"/>
      </w:tblGrid>
      <w:tr>
        <w:trPr/>
        <w:tc>
          <w:tcPr>
            <w:tcW w:w="1243"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1243"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center"/>
              <w:rPr/>
            </w:pPr>
            <w:r>
              <w:rPr/>
              <w:t> </w:t>
            </w:r>
          </w:p>
        </w:tc>
      </w:tr>
      <w:tr>
        <w:trPr/>
        <w:tc>
          <w:tcPr>
            <w:tcW w:w="10205" w:type="dxa"/>
            <w:gridSpan w:val="3"/>
            <w:tcBorders/>
            <w:vAlign w:val="center"/>
          </w:tcPr>
          <w:p>
            <w:pPr>
              <w:pStyle w:val="TableContents"/>
              <w:bidi w:val="0"/>
              <w:spacing w:before="0" w:after="283"/>
              <w:jc w:val="center"/>
              <w:rPr>
                <w:b/>
              </w:rPr>
            </w:pPr>
            <w:r>
              <w:rPr>
                <w:b/>
              </w:rPr>
              <w:t>TABLE OF CONTENTS</w:t>
            </w:r>
          </w:p>
        </w:tc>
      </w:tr>
      <w:tr>
        <w:trPr/>
        <w:tc>
          <w:tcPr>
            <w:tcW w:w="10205" w:type="dxa"/>
            <w:gridSpan w:val="3"/>
            <w:tcBorders/>
            <w:vAlign w:val="center"/>
          </w:tcPr>
          <w:p>
            <w:pPr>
              <w:pStyle w:val="TableContents"/>
              <w:bidi w:val="0"/>
              <w:spacing w:before="0" w:after="283"/>
              <w:jc w:val="center"/>
              <w:rPr/>
            </w:pPr>
            <w:r>
              <w:rPr/>
              <w:t> </w:t>
            </w:r>
          </w:p>
        </w:tc>
      </w:tr>
      <w:tr>
        <w:trPr/>
        <w:tc>
          <w:tcPr>
            <w:tcW w:w="1243"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left"/>
              <w:rPr/>
            </w:pPr>
            <w:r>
              <w:rPr/>
              <w:t> </w:t>
            </w:r>
          </w:p>
        </w:tc>
        <w:tc>
          <w:tcPr>
            <w:tcW w:w="617" w:type="dxa"/>
            <w:tcBorders>
              <w:bottom w:val="single" w:sz="2" w:space="0" w:color="000000"/>
            </w:tcBorders>
            <w:tcMar>
              <w:top w:w="0" w:type="dxa"/>
              <w:left w:w="0" w:type="dxa"/>
              <w:right w:w="0" w:type="dxa"/>
            </w:tcMar>
            <w:vAlign w:val="center"/>
          </w:tcPr>
          <w:p>
            <w:pPr>
              <w:pStyle w:val="TableContents"/>
              <w:bidi w:val="0"/>
              <w:spacing w:before="0" w:after="283"/>
              <w:jc w:val="center"/>
              <w:rPr/>
            </w:pPr>
            <w:r>
              <w:rPr/>
              <w:t>Page</w:t>
            </w:r>
          </w:p>
        </w:tc>
      </w:tr>
      <w:tr>
        <w:trPr/>
        <w:tc>
          <w:tcPr>
            <w:tcW w:w="1243"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center"/>
              <w:rPr/>
            </w:pPr>
            <w:r>
              <w:rPr/>
              <w:t> </w:t>
            </w:r>
          </w:p>
        </w:tc>
      </w:tr>
      <w:tr>
        <w:trPr/>
        <w:tc>
          <w:tcPr>
            <w:tcW w:w="10205" w:type="dxa"/>
            <w:gridSpan w:val="3"/>
            <w:tcBorders/>
            <w:vAlign w:val="center"/>
          </w:tcPr>
          <w:p>
            <w:pPr>
              <w:pStyle w:val="TableContents"/>
              <w:bidi w:val="0"/>
              <w:spacing w:before="0" w:after="283"/>
              <w:jc w:val="center"/>
              <w:rPr/>
            </w:pPr>
            <w:r>
              <w:rPr>
                <w:b/>
                <w:spacing w:val="0"/>
              </w:rPr>
              <w:t>PART I</w:t>
            </w:r>
            <w:r>
              <w:rPr/>
              <w:t xml:space="preserve"> </w:t>
            </w:r>
          </w:p>
        </w:tc>
      </w:tr>
      <w:tr>
        <w:trPr/>
        <w:tc>
          <w:tcPr>
            <w:tcW w:w="1243" w:type="dxa"/>
            <w:tcBorders/>
            <w:tcMar>
              <w:top w:w="0" w:type="dxa"/>
              <w:left w:w="0" w:type="dxa"/>
              <w:bottom w:w="0" w:type="dxa"/>
              <w:right w:w="0" w:type="dxa"/>
            </w:tcMar>
            <w:vAlign w:val="center"/>
          </w:tcPr>
          <w:p>
            <w:pPr>
              <w:pStyle w:val="TableContents"/>
              <w:bidi w:val="0"/>
              <w:spacing w:before="0" w:after="283"/>
              <w:jc w:val="left"/>
              <w:rPr/>
            </w:pPr>
            <w:r>
              <w:rPr/>
              <w:t> </w:t>
            </w:r>
          </w:p>
        </w:tc>
        <w:tc>
          <w:tcPr>
            <w:tcW w:w="8345"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43" w:type="dxa"/>
            <w:tcBorders/>
            <w:tcMar>
              <w:top w:w="0" w:type="dxa"/>
              <w:left w:w="0" w:type="dxa"/>
              <w:bottom w:w="0" w:type="dxa"/>
              <w:right w:w="0" w:type="dxa"/>
            </w:tcMar>
            <w:vAlign w:val="center"/>
          </w:tcPr>
          <w:p>
            <w:pPr>
              <w:pStyle w:val="TableContents"/>
              <w:bidi w:val="0"/>
              <w:spacing w:before="0" w:after="283"/>
              <w:jc w:val="both"/>
              <w:rPr/>
            </w:pPr>
            <w:hyperlink w:anchor="ITEM_1_BUSINESS">
              <w:r>
                <w:rPr>
                  <w:rStyle w:val="InternetLink"/>
                </w:rPr>
                <w:t>ITEM 1.</w:t>
              </w:r>
            </w:hyperlink>
            <w:r>
              <w:rPr/>
              <w:t xml:space="preserve"> </w:t>
            </w:r>
          </w:p>
        </w:tc>
        <w:tc>
          <w:tcPr>
            <w:tcW w:w="8345" w:type="dxa"/>
            <w:tcBorders/>
            <w:tcMar>
              <w:top w:w="0" w:type="dxa"/>
              <w:left w:w="0" w:type="dxa"/>
              <w:bottom w:w="0" w:type="dxa"/>
              <w:right w:w="0" w:type="dxa"/>
            </w:tcMar>
            <w:vAlign w:val="center"/>
          </w:tcPr>
          <w:p>
            <w:pPr>
              <w:pStyle w:val="TableContents"/>
              <w:bidi w:val="0"/>
              <w:spacing w:before="0" w:after="283"/>
              <w:jc w:val="both"/>
              <w:rPr/>
            </w:pPr>
            <w:hyperlink w:anchor="ITEM_1_BUSINESS">
              <w:r>
                <w:rPr>
                  <w:rStyle w:val="InternetLink"/>
                </w:rPr>
                <w:t>Business</w:t>
              </w:r>
            </w:hyperlink>
            <w:r>
              <w:rPr/>
              <w:t xml:space="preserve"> </w:t>
            </w:r>
          </w:p>
        </w:tc>
        <w:tc>
          <w:tcPr>
            <w:tcW w:w="617" w:type="dxa"/>
            <w:tcBorders/>
            <w:tcMar>
              <w:top w:w="0" w:type="dxa"/>
              <w:left w:w="0" w:type="dxa"/>
              <w:bottom w:w="0" w:type="dxa"/>
              <w:right w:w="0" w:type="dxa"/>
            </w:tcMar>
            <w:vAlign w:val="center"/>
          </w:tcPr>
          <w:p>
            <w:pPr>
              <w:pStyle w:val="TableContents"/>
              <w:bidi w:val="0"/>
              <w:spacing w:before="0" w:after="283"/>
              <w:jc w:val="center"/>
              <w:rPr/>
            </w:pPr>
            <w:r>
              <w:rPr/>
              <w:t xml:space="preserve">4 </w:t>
            </w:r>
          </w:p>
        </w:tc>
      </w:tr>
      <w:tr>
        <w:trPr/>
        <w:tc>
          <w:tcPr>
            <w:tcW w:w="1243" w:type="dxa"/>
            <w:tcBorders/>
            <w:tcMar>
              <w:top w:w="0" w:type="dxa"/>
              <w:left w:w="0" w:type="dxa"/>
              <w:bottom w:w="0" w:type="dxa"/>
              <w:right w:w="0" w:type="dxa"/>
            </w:tcMar>
            <w:vAlign w:val="center"/>
          </w:tcPr>
          <w:p>
            <w:pPr>
              <w:pStyle w:val="TableContents"/>
              <w:bidi w:val="0"/>
              <w:spacing w:before="0" w:after="283"/>
              <w:jc w:val="both"/>
              <w:rPr/>
            </w:pPr>
            <w:hyperlink w:anchor="ITEM_1A_RISK_FACTORS">
              <w:r>
                <w:rPr>
                  <w:rStyle w:val="InternetLink"/>
                </w:rPr>
                <w:t>ITEM 1A.</w:t>
              </w:r>
            </w:hyperlink>
            <w:r>
              <w:rPr/>
              <w:t xml:space="preserve"> </w:t>
            </w:r>
          </w:p>
        </w:tc>
        <w:tc>
          <w:tcPr>
            <w:tcW w:w="8345" w:type="dxa"/>
            <w:tcBorders/>
            <w:tcMar>
              <w:top w:w="0" w:type="dxa"/>
              <w:left w:w="0" w:type="dxa"/>
              <w:bottom w:w="0" w:type="dxa"/>
              <w:right w:w="0" w:type="dxa"/>
            </w:tcMar>
            <w:vAlign w:val="center"/>
          </w:tcPr>
          <w:p>
            <w:pPr>
              <w:pStyle w:val="TableContents"/>
              <w:bidi w:val="0"/>
              <w:spacing w:before="0" w:after="283"/>
              <w:jc w:val="both"/>
              <w:rPr/>
            </w:pPr>
            <w:hyperlink w:anchor="ITEM_1A_RISK_FACTORS">
              <w:r>
                <w:rPr>
                  <w:rStyle w:val="InternetLink"/>
                </w:rPr>
                <w:t>Risk Factors</w:t>
              </w:r>
            </w:hyperlink>
            <w:r>
              <w:rPr/>
              <w:t xml:space="preserve"> </w:t>
            </w:r>
          </w:p>
        </w:tc>
        <w:tc>
          <w:tcPr>
            <w:tcW w:w="617" w:type="dxa"/>
            <w:tcBorders/>
            <w:tcMar>
              <w:top w:w="0" w:type="dxa"/>
              <w:left w:w="0" w:type="dxa"/>
              <w:bottom w:w="0" w:type="dxa"/>
              <w:right w:w="0" w:type="dxa"/>
            </w:tcMar>
            <w:vAlign w:val="center"/>
          </w:tcPr>
          <w:p>
            <w:pPr>
              <w:pStyle w:val="TableContents"/>
              <w:bidi w:val="0"/>
              <w:spacing w:before="0" w:after="283"/>
              <w:jc w:val="center"/>
              <w:rPr/>
            </w:pPr>
            <w:r>
              <w:rPr/>
              <w:t xml:space="preserve">16 </w:t>
            </w:r>
          </w:p>
        </w:tc>
      </w:tr>
      <w:tr>
        <w:trPr/>
        <w:tc>
          <w:tcPr>
            <w:tcW w:w="1243" w:type="dxa"/>
            <w:tcBorders/>
            <w:tcMar>
              <w:top w:w="0" w:type="dxa"/>
              <w:left w:w="0" w:type="dxa"/>
              <w:bottom w:w="0" w:type="dxa"/>
              <w:right w:w="0" w:type="dxa"/>
            </w:tcMar>
            <w:vAlign w:val="center"/>
          </w:tcPr>
          <w:p>
            <w:pPr>
              <w:pStyle w:val="TableContents"/>
              <w:bidi w:val="0"/>
              <w:spacing w:before="0" w:after="283"/>
              <w:jc w:val="both"/>
              <w:rPr/>
            </w:pPr>
            <w:hyperlink w:anchor="ITEM_1B_Unresolved_Staff_Comments">
              <w:r>
                <w:rPr>
                  <w:rStyle w:val="InternetLink"/>
                </w:rPr>
                <w:t>ITEM 1B.</w:t>
              </w:r>
            </w:hyperlink>
            <w:r>
              <w:rPr/>
              <w:t xml:space="preserve"> </w:t>
            </w:r>
          </w:p>
        </w:tc>
        <w:tc>
          <w:tcPr>
            <w:tcW w:w="8345" w:type="dxa"/>
            <w:tcBorders/>
            <w:tcMar>
              <w:top w:w="0" w:type="dxa"/>
              <w:left w:w="0" w:type="dxa"/>
              <w:bottom w:w="0" w:type="dxa"/>
              <w:right w:w="0" w:type="dxa"/>
            </w:tcMar>
            <w:vAlign w:val="center"/>
          </w:tcPr>
          <w:p>
            <w:pPr>
              <w:pStyle w:val="TableContents"/>
              <w:bidi w:val="0"/>
              <w:spacing w:before="0" w:after="283"/>
              <w:jc w:val="both"/>
              <w:rPr/>
            </w:pPr>
            <w:hyperlink w:anchor="ITEM_1B_Unresolved_Staff_Comments">
              <w:r>
                <w:rPr>
                  <w:rStyle w:val="InternetLink"/>
                </w:rPr>
                <w:t>Unresolved Staff Comments</w:t>
              </w:r>
            </w:hyperlink>
            <w:r>
              <w:rPr/>
              <w:t xml:space="preserve"> </w:t>
            </w:r>
          </w:p>
        </w:tc>
        <w:tc>
          <w:tcPr>
            <w:tcW w:w="617" w:type="dxa"/>
            <w:tcBorders/>
            <w:tcMar>
              <w:top w:w="0" w:type="dxa"/>
              <w:left w:w="0" w:type="dxa"/>
              <w:bottom w:w="0" w:type="dxa"/>
              <w:right w:w="0" w:type="dxa"/>
            </w:tcMar>
            <w:vAlign w:val="center"/>
          </w:tcPr>
          <w:p>
            <w:pPr>
              <w:pStyle w:val="TableContents"/>
              <w:bidi w:val="0"/>
              <w:spacing w:before="0" w:after="283"/>
              <w:jc w:val="center"/>
              <w:rPr/>
            </w:pPr>
            <w:r>
              <w:rPr/>
              <w:t xml:space="preserve">38 </w:t>
            </w:r>
          </w:p>
        </w:tc>
      </w:tr>
      <w:tr>
        <w:trPr/>
        <w:tc>
          <w:tcPr>
            <w:tcW w:w="1243" w:type="dxa"/>
            <w:tcBorders/>
            <w:tcMar>
              <w:top w:w="0" w:type="dxa"/>
              <w:left w:w="0" w:type="dxa"/>
              <w:bottom w:w="0" w:type="dxa"/>
              <w:right w:w="0" w:type="dxa"/>
            </w:tcMar>
            <w:vAlign w:val="center"/>
          </w:tcPr>
          <w:p>
            <w:pPr>
              <w:pStyle w:val="TableContents"/>
              <w:bidi w:val="0"/>
              <w:spacing w:before="0" w:after="283"/>
              <w:jc w:val="both"/>
              <w:rPr/>
            </w:pPr>
            <w:hyperlink w:anchor="ITEM_1C_CYBERSECURITY">
              <w:r>
                <w:rPr>
                  <w:rStyle w:val="InternetLink"/>
                </w:rPr>
                <w:t>ITEM 1C.</w:t>
              </w:r>
            </w:hyperlink>
            <w:r>
              <w:rPr/>
              <w:t xml:space="preserve"> </w:t>
            </w:r>
          </w:p>
        </w:tc>
        <w:tc>
          <w:tcPr>
            <w:tcW w:w="8345" w:type="dxa"/>
            <w:tcBorders/>
            <w:tcMar>
              <w:top w:w="0" w:type="dxa"/>
              <w:left w:w="0" w:type="dxa"/>
              <w:bottom w:w="0" w:type="dxa"/>
              <w:right w:w="0" w:type="dxa"/>
            </w:tcMar>
            <w:vAlign w:val="center"/>
          </w:tcPr>
          <w:p>
            <w:pPr>
              <w:pStyle w:val="TableContents"/>
              <w:bidi w:val="0"/>
              <w:spacing w:before="0" w:after="283"/>
              <w:jc w:val="both"/>
              <w:rPr/>
            </w:pPr>
            <w:hyperlink w:anchor="ITEM_1C_CYBERSECURITY">
              <w:r>
                <w:rPr>
                  <w:rStyle w:val="InternetLink"/>
                </w:rPr>
                <w:t>Cybersecurity</w:t>
              </w:r>
            </w:hyperlink>
            <w:r>
              <w:rPr/>
              <w:t xml:space="preserve"> </w:t>
            </w:r>
          </w:p>
        </w:tc>
        <w:tc>
          <w:tcPr>
            <w:tcW w:w="617" w:type="dxa"/>
            <w:tcBorders/>
            <w:tcMar>
              <w:top w:w="0" w:type="dxa"/>
              <w:left w:w="0" w:type="dxa"/>
              <w:bottom w:w="0" w:type="dxa"/>
              <w:right w:w="0" w:type="dxa"/>
            </w:tcMar>
            <w:vAlign w:val="center"/>
          </w:tcPr>
          <w:p>
            <w:pPr>
              <w:pStyle w:val="TableContents"/>
              <w:bidi w:val="0"/>
              <w:spacing w:before="0" w:after="283"/>
              <w:jc w:val="center"/>
              <w:rPr/>
            </w:pPr>
            <w:r>
              <w:rPr/>
              <w:t xml:space="preserve">38 </w:t>
            </w:r>
          </w:p>
        </w:tc>
      </w:tr>
      <w:tr>
        <w:trPr/>
        <w:tc>
          <w:tcPr>
            <w:tcW w:w="1243" w:type="dxa"/>
            <w:tcBorders/>
            <w:tcMar>
              <w:top w:w="0" w:type="dxa"/>
              <w:left w:w="0" w:type="dxa"/>
              <w:bottom w:w="0" w:type="dxa"/>
              <w:right w:w="0" w:type="dxa"/>
            </w:tcMar>
            <w:vAlign w:val="center"/>
          </w:tcPr>
          <w:p>
            <w:pPr>
              <w:pStyle w:val="TableContents"/>
              <w:bidi w:val="0"/>
              <w:spacing w:before="0" w:after="283"/>
              <w:jc w:val="both"/>
              <w:rPr/>
            </w:pPr>
            <w:hyperlink w:anchor="ITEM_2_PROPERTIES">
              <w:r>
                <w:rPr>
                  <w:rStyle w:val="InternetLink"/>
                </w:rPr>
                <w:t>ITEM 2.</w:t>
              </w:r>
            </w:hyperlink>
            <w:r>
              <w:rPr/>
              <w:t xml:space="preserve"> </w:t>
            </w:r>
          </w:p>
        </w:tc>
        <w:tc>
          <w:tcPr>
            <w:tcW w:w="8345" w:type="dxa"/>
            <w:tcBorders/>
            <w:tcMar>
              <w:top w:w="0" w:type="dxa"/>
              <w:left w:w="0" w:type="dxa"/>
              <w:bottom w:w="0" w:type="dxa"/>
              <w:right w:w="0" w:type="dxa"/>
            </w:tcMar>
            <w:vAlign w:val="center"/>
          </w:tcPr>
          <w:p>
            <w:pPr>
              <w:pStyle w:val="TableContents"/>
              <w:bidi w:val="0"/>
              <w:spacing w:before="0" w:after="283"/>
              <w:jc w:val="both"/>
              <w:rPr/>
            </w:pPr>
            <w:hyperlink w:anchor="ITEM_2_PROPERTIES">
              <w:r>
                <w:rPr>
                  <w:rStyle w:val="InternetLink"/>
                </w:rPr>
                <w:t>Properties</w:t>
              </w:r>
            </w:hyperlink>
            <w:r>
              <w:rPr/>
              <w:t xml:space="preserve"> </w:t>
            </w:r>
          </w:p>
        </w:tc>
        <w:tc>
          <w:tcPr>
            <w:tcW w:w="617" w:type="dxa"/>
            <w:tcBorders/>
            <w:tcMar>
              <w:top w:w="0" w:type="dxa"/>
              <w:left w:w="0" w:type="dxa"/>
              <w:bottom w:w="0" w:type="dxa"/>
              <w:right w:w="0" w:type="dxa"/>
            </w:tcMar>
            <w:vAlign w:val="center"/>
          </w:tcPr>
          <w:p>
            <w:pPr>
              <w:pStyle w:val="TableContents"/>
              <w:bidi w:val="0"/>
              <w:spacing w:before="0" w:after="283"/>
              <w:jc w:val="center"/>
              <w:rPr/>
            </w:pPr>
            <w:r>
              <w:rPr/>
              <w:t>38</w:t>
            </w:r>
          </w:p>
        </w:tc>
      </w:tr>
      <w:tr>
        <w:trPr/>
        <w:tc>
          <w:tcPr>
            <w:tcW w:w="1243" w:type="dxa"/>
            <w:tcBorders/>
            <w:tcMar>
              <w:top w:w="0" w:type="dxa"/>
              <w:left w:w="0" w:type="dxa"/>
              <w:bottom w:w="0" w:type="dxa"/>
              <w:right w:w="0" w:type="dxa"/>
            </w:tcMar>
            <w:vAlign w:val="center"/>
          </w:tcPr>
          <w:p>
            <w:pPr>
              <w:pStyle w:val="TableContents"/>
              <w:bidi w:val="0"/>
              <w:spacing w:before="0" w:after="283"/>
              <w:jc w:val="both"/>
              <w:rPr/>
            </w:pPr>
            <w:hyperlink w:anchor="ITEM_3_LEGAL_PROCEEDINGS">
              <w:r>
                <w:rPr>
                  <w:rStyle w:val="InternetLink"/>
                </w:rPr>
                <w:t>ITEM 3.</w:t>
              </w:r>
            </w:hyperlink>
            <w:r>
              <w:rPr/>
              <w:t xml:space="preserve"> </w:t>
            </w:r>
          </w:p>
        </w:tc>
        <w:tc>
          <w:tcPr>
            <w:tcW w:w="8345" w:type="dxa"/>
            <w:tcBorders/>
            <w:tcMar>
              <w:top w:w="0" w:type="dxa"/>
              <w:left w:w="0" w:type="dxa"/>
              <w:bottom w:w="0" w:type="dxa"/>
              <w:right w:w="0" w:type="dxa"/>
            </w:tcMar>
            <w:vAlign w:val="center"/>
          </w:tcPr>
          <w:p>
            <w:pPr>
              <w:pStyle w:val="TableContents"/>
              <w:bidi w:val="0"/>
              <w:spacing w:before="0" w:after="283"/>
              <w:jc w:val="both"/>
              <w:rPr/>
            </w:pPr>
            <w:hyperlink w:anchor="ITEM_3_LEGAL_PROCEEDINGS">
              <w:r>
                <w:rPr>
                  <w:rStyle w:val="InternetLink"/>
                </w:rPr>
                <w:t>Legal Proceedings</w:t>
              </w:r>
            </w:hyperlink>
            <w:r>
              <w:rPr/>
              <w:t xml:space="preserve"> </w:t>
            </w:r>
          </w:p>
        </w:tc>
        <w:tc>
          <w:tcPr>
            <w:tcW w:w="617" w:type="dxa"/>
            <w:tcBorders/>
            <w:tcMar>
              <w:top w:w="0" w:type="dxa"/>
              <w:left w:w="0" w:type="dxa"/>
              <w:bottom w:w="0" w:type="dxa"/>
              <w:right w:w="0" w:type="dxa"/>
            </w:tcMar>
            <w:vAlign w:val="center"/>
          </w:tcPr>
          <w:p>
            <w:pPr>
              <w:pStyle w:val="TableContents"/>
              <w:bidi w:val="0"/>
              <w:spacing w:before="0" w:after="283"/>
              <w:jc w:val="center"/>
              <w:rPr/>
            </w:pPr>
            <w:r>
              <w:rPr/>
              <w:t xml:space="preserve">39 </w:t>
            </w:r>
          </w:p>
        </w:tc>
      </w:tr>
      <w:tr>
        <w:trPr/>
        <w:tc>
          <w:tcPr>
            <w:tcW w:w="1243" w:type="dxa"/>
            <w:tcBorders/>
            <w:tcMar>
              <w:top w:w="0" w:type="dxa"/>
              <w:left w:w="0" w:type="dxa"/>
              <w:bottom w:w="0" w:type="dxa"/>
              <w:right w:w="0" w:type="dxa"/>
            </w:tcMar>
            <w:vAlign w:val="center"/>
          </w:tcPr>
          <w:p>
            <w:pPr>
              <w:pStyle w:val="TableContents"/>
              <w:bidi w:val="0"/>
              <w:spacing w:before="0" w:after="283"/>
              <w:jc w:val="both"/>
              <w:rPr/>
            </w:pPr>
            <w:hyperlink w:anchor="ITEM_4_MINE_SAFETY_DISCLOSURES">
              <w:r>
                <w:rPr>
                  <w:rStyle w:val="InternetLink"/>
                </w:rPr>
                <w:t>ITEM 4.</w:t>
              </w:r>
            </w:hyperlink>
            <w:r>
              <w:rPr/>
              <w:t xml:space="preserve"> </w:t>
            </w:r>
          </w:p>
        </w:tc>
        <w:tc>
          <w:tcPr>
            <w:tcW w:w="8345" w:type="dxa"/>
            <w:tcBorders/>
            <w:tcMar>
              <w:top w:w="0" w:type="dxa"/>
              <w:left w:w="0" w:type="dxa"/>
              <w:bottom w:w="0" w:type="dxa"/>
              <w:right w:w="0" w:type="dxa"/>
            </w:tcMar>
            <w:vAlign w:val="center"/>
          </w:tcPr>
          <w:p>
            <w:pPr>
              <w:pStyle w:val="TableContents"/>
              <w:bidi w:val="0"/>
              <w:spacing w:before="0" w:after="283"/>
              <w:jc w:val="both"/>
              <w:rPr/>
            </w:pPr>
            <w:hyperlink w:anchor="ITEM_4_MINE_SAFETY_DISCLOSURES">
              <w:r>
                <w:rPr>
                  <w:rStyle w:val="InternetLink"/>
                </w:rPr>
                <w:t>Mine Safety Disclosures</w:t>
              </w:r>
            </w:hyperlink>
            <w:r>
              <w:rPr/>
              <w:t xml:space="preserve"> </w:t>
            </w:r>
          </w:p>
        </w:tc>
        <w:tc>
          <w:tcPr>
            <w:tcW w:w="617" w:type="dxa"/>
            <w:tcBorders/>
            <w:tcMar>
              <w:top w:w="0" w:type="dxa"/>
              <w:left w:w="0" w:type="dxa"/>
              <w:bottom w:w="0" w:type="dxa"/>
              <w:right w:w="0" w:type="dxa"/>
            </w:tcMar>
            <w:vAlign w:val="center"/>
          </w:tcPr>
          <w:p>
            <w:pPr>
              <w:pStyle w:val="TableContents"/>
              <w:bidi w:val="0"/>
              <w:spacing w:before="0" w:after="283"/>
              <w:jc w:val="center"/>
              <w:rPr/>
            </w:pPr>
            <w:r>
              <w:rPr/>
              <w:t xml:space="preserve">39 </w:t>
            </w:r>
          </w:p>
        </w:tc>
      </w:tr>
      <w:tr>
        <w:trPr/>
        <w:tc>
          <w:tcPr>
            <w:tcW w:w="1243" w:type="dxa"/>
            <w:tcBorders/>
            <w:tcMar>
              <w:top w:w="0" w:type="dxa"/>
              <w:left w:w="0" w:type="dxa"/>
              <w:bottom w:w="0" w:type="dxa"/>
              <w:right w:w="0" w:type="dxa"/>
            </w:tcMar>
            <w:vAlign w:val="center"/>
          </w:tcPr>
          <w:p>
            <w:pPr>
              <w:pStyle w:val="TableContents"/>
              <w:bidi w:val="0"/>
              <w:spacing w:before="0" w:after="283"/>
              <w:jc w:val="left"/>
              <w:rPr/>
            </w:pPr>
            <w:r>
              <w:rPr/>
              <w:t> </w:t>
            </w:r>
          </w:p>
        </w:tc>
        <w:tc>
          <w:tcPr>
            <w:tcW w:w="8345"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center"/>
              <w:rPr/>
            </w:pPr>
            <w:r>
              <w:rPr>
                <w:b/>
              </w:rPr>
              <w:t>PART II</w:t>
            </w:r>
            <w:r>
              <w:rPr/>
              <w:t xml:space="preserve"> </w:t>
            </w:r>
          </w:p>
        </w:tc>
      </w:tr>
      <w:tr>
        <w:trPr/>
        <w:tc>
          <w:tcPr>
            <w:tcW w:w="1243" w:type="dxa"/>
            <w:tcBorders/>
            <w:tcMar>
              <w:top w:w="0" w:type="dxa"/>
              <w:left w:w="0" w:type="dxa"/>
              <w:bottom w:w="0" w:type="dxa"/>
              <w:right w:w="0" w:type="dxa"/>
            </w:tcMar>
            <w:vAlign w:val="center"/>
          </w:tcPr>
          <w:p>
            <w:pPr>
              <w:pStyle w:val="TableContents"/>
              <w:bidi w:val="0"/>
              <w:spacing w:before="0" w:after="283"/>
              <w:jc w:val="left"/>
              <w:rPr/>
            </w:pPr>
            <w:r>
              <w:rPr/>
              <w:t> </w:t>
            </w:r>
          </w:p>
        </w:tc>
        <w:tc>
          <w:tcPr>
            <w:tcW w:w="8345"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43" w:type="dxa"/>
            <w:tcBorders/>
            <w:tcMar>
              <w:top w:w="0" w:type="dxa"/>
              <w:left w:w="0" w:type="dxa"/>
              <w:bottom w:w="0" w:type="dxa"/>
              <w:right w:w="0" w:type="dxa"/>
            </w:tcMar>
            <w:vAlign w:val="center"/>
          </w:tcPr>
          <w:p>
            <w:pPr>
              <w:pStyle w:val="TableContents"/>
              <w:bidi w:val="0"/>
              <w:spacing w:before="0" w:after="283"/>
              <w:jc w:val="both"/>
              <w:rPr/>
            </w:pPr>
            <w:hyperlink w:anchor="ITEM_5_MARKET_FOR_THE_REGISTRANTS_COMMON_EQUITY_RELATED_STOCKHOLDER_MATTERS_AND_ISSUER_PURCHASES_OF_EQUITY_SECURITIES">
              <w:r>
                <w:rPr>
                  <w:rStyle w:val="InternetLink"/>
                </w:rPr>
                <w:t>ITEM 5.</w:t>
              </w:r>
            </w:hyperlink>
            <w:r>
              <w:rPr/>
              <w:t xml:space="preserve"> </w:t>
            </w:r>
          </w:p>
        </w:tc>
        <w:tc>
          <w:tcPr>
            <w:tcW w:w="8345" w:type="dxa"/>
            <w:tcBorders/>
            <w:tcMar>
              <w:top w:w="0" w:type="dxa"/>
              <w:left w:w="0" w:type="dxa"/>
              <w:bottom w:w="0" w:type="dxa"/>
              <w:right w:w="0" w:type="dxa"/>
            </w:tcMar>
            <w:vAlign w:val="center"/>
          </w:tcPr>
          <w:p>
            <w:pPr>
              <w:pStyle w:val="TableContents"/>
              <w:bidi w:val="0"/>
              <w:spacing w:before="0" w:after="283"/>
              <w:jc w:val="both"/>
              <w:rPr/>
            </w:pPr>
            <w:hyperlink w:anchor="ITEM_5_MARKET_FOR_THE_REGISTRANTS_COMMON_EQUITY_RELATED_STOCKHOLDER_MATTERS_AND_ISSUER_PURCHASES_OF_EQUITY_SECURITIES">
              <w:r>
                <w:rPr>
                  <w:rStyle w:val="InternetLink"/>
                </w:rPr>
                <w:t>Market for Registrant’s Common Equity, Related Stockholder Matters and Issuer Purchases of Equity Securities</w:t>
              </w:r>
            </w:hyperlink>
            <w:r>
              <w:rPr/>
              <w:t xml:space="preserve"> </w:t>
            </w:r>
          </w:p>
        </w:tc>
        <w:tc>
          <w:tcPr>
            <w:tcW w:w="617" w:type="dxa"/>
            <w:tcBorders/>
            <w:tcMar>
              <w:top w:w="0" w:type="dxa"/>
              <w:left w:w="0" w:type="dxa"/>
              <w:bottom w:w="0" w:type="dxa"/>
              <w:right w:w="0" w:type="dxa"/>
            </w:tcMar>
            <w:vAlign w:val="center"/>
          </w:tcPr>
          <w:p>
            <w:pPr>
              <w:pStyle w:val="TableContents"/>
              <w:bidi w:val="0"/>
              <w:spacing w:before="0" w:after="283"/>
              <w:jc w:val="center"/>
              <w:rPr/>
            </w:pPr>
            <w:r>
              <w:rPr/>
              <w:t xml:space="preserve">39 </w:t>
            </w:r>
          </w:p>
        </w:tc>
      </w:tr>
      <w:tr>
        <w:trPr/>
        <w:tc>
          <w:tcPr>
            <w:tcW w:w="1243" w:type="dxa"/>
            <w:tcBorders/>
            <w:tcMar>
              <w:top w:w="0" w:type="dxa"/>
              <w:left w:w="0" w:type="dxa"/>
              <w:bottom w:w="0" w:type="dxa"/>
              <w:right w:w="0" w:type="dxa"/>
            </w:tcMar>
            <w:vAlign w:val="center"/>
          </w:tcPr>
          <w:p>
            <w:pPr>
              <w:pStyle w:val="TableContents"/>
              <w:bidi w:val="0"/>
              <w:spacing w:before="0" w:after="283"/>
              <w:jc w:val="both"/>
              <w:rPr/>
            </w:pPr>
            <w:hyperlink w:anchor="ITEM_6_RESERVED">
              <w:r>
                <w:rPr>
                  <w:rStyle w:val="InternetLink"/>
                </w:rPr>
                <w:t>ITEM 6.</w:t>
              </w:r>
            </w:hyperlink>
            <w:r>
              <w:rPr/>
              <w:t xml:space="preserve"> </w:t>
            </w:r>
          </w:p>
        </w:tc>
        <w:tc>
          <w:tcPr>
            <w:tcW w:w="8345" w:type="dxa"/>
            <w:tcBorders/>
            <w:tcMar>
              <w:top w:w="0" w:type="dxa"/>
              <w:left w:w="0" w:type="dxa"/>
              <w:bottom w:w="0" w:type="dxa"/>
              <w:right w:w="0" w:type="dxa"/>
            </w:tcMar>
            <w:vAlign w:val="center"/>
          </w:tcPr>
          <w:p>
            <w:pPr>
              <w:pStyle w:val="TableContents"/>
              <w:bidi w:val="0"/>
              <w:spacing w:before="0" w:after="283"/>
              <w:jc w:val="both"/>
              <w:rPr/>
            </w:pPr>
            <w:hyperlink w:anchor="ITEM_6_RESERVED">
              <w:r>
                <w:rPr>
                  <w:rStyle w:val="InternetLink"/>
                </w:rPr>
                <w:t>[Reserved]</w:t>
              </w:r>
            </w:hyperlink>
          </w:p>
        </w:tc>
        <w:tc>
          <w:tcPr>
            <w:tcW w:w="617" w:type="dxa"/>
            <w:tcBorders/>
            <w:tcMar>
              <w:top w:w="0" w:type="dxa"/>
              <w:left w:w="0" w:type="dxa"/>
              <w:bottom w:w="0" w:type="dxa"/>
              <w:right w:w="0" w:type="dxa"/>
            </w:tcMar>
            <w:vAlign w:val="center"/>
          </w:tcPr>
          <w:p>
            <w:pPr>
              <w:pStyle w:val="TableContents"/>
              <w:bidi w:val="0"/>
              <w:spacing w:before="0" w:after="283"/>
              <w:jc w:val="center"/>
              <w:rPr/>
            </w:pPr>
            <w:r>
              <w:rPr/>
              <w:t xml:space="preserve">40 </w:t>
            </w:r>
          </w:p>
        </w:tc>
      </w:tr>
      <w:tr>
        <w:trPr/>
        <w:tc>
          <w:tcPr>
            <w:tcW w:w="1243" w:type="dxa"/>
            <w:tcBorders/>
            <w:tcMar>
              <w:top w:w="0" w:type="dxa"/>
              <w:left w:w="0" w:type="dxa"/>
              <w:bottom w:w="0" w:type="dxa"/>
              <w:right w:w="0" w:type="dxa"/>
            </w:tcMar>
            <w:vAlign w:val="center"/>
          </w:tcPr>
          <w:p>
            <w:pPr>
              <w:pStyle w:val="TableContents"/>
              <w:bidi w:val="0"/>
              <w:spacing w:before="0" w:after="283"/>
              <w:jc w:val="both"/>
              <w:rPr/>
            </w:pPr>
            <w:hyperlink w:anchor="ITEM_7_MANAGEMENTS_DISCUSSION_AND_ANALYSIS_OF_FINANCIAL_CONDITION_AND_RESULTS_OF_OPERATIONS">
              <w:r>
                <w:rPr>
                  <w:rStyle w:val="InternetLink"/>
                </w:rPr>
                <w:t>ITEM 7.</w:t>
              </w:r>
            </w:hyperlink>
            <w:r>
              <w:rPr/>
              <w:t xml:space="preserve"> </w:t>
            </w:r>
          </w:p>
        </w:tc>
        <w:tc>
          <w:tcPr>
            <w:tcW w:w="8345" w:type="dxa"/>
            <w:tcBorders/>
            <w:tcMar>
              <w:top w:w="0" w:type="dxa"/>
              <w:left w:w="0" w:type="dxa"/>
              <w:bottom w:w="0" w:type="dxa"/>
              <w:right w:w="0" w:type="dxa"/>
            </w:tcMar>
            <w:vAlign w:val="center"/>
          </w:tcPr>
          <w:p>
            <w:pPr>
              <w:pStyle w:val="TableContents"/>
              <w:bidi w:val="0"/>
              <w:spacing w:before="0" w:after="283"/>
              <w:jc w:val="both"/>
              <w:rPr/>
            </w:pPr>
            <w:hyperlink w:anchor="ITEM_7_MANAGEMENTS_DISCUSSION_AND_ANALYSIS_OF_FINANCIAL_CONDITION_AND_RESULTS_OF_OPERATIONS">
              <w:r>
                <w:rPr>
                  <w:rStyle w:val="InternetLink"/>
                </w:rPr>
                <w:t>Management’s Discussion and Analysis of Financial Condition and Results of Operations</w:t>
              </w:r>
            </w:hyperlink>
            <w:r>
              <w:rPr/>
              <w:t xml:space="preserve"> </w:t>
            </w:r>
          </w:p>
        </w:tc>
        <w:tc>
          <w:tcPr>
            <w:tcW w:w="617" w:type="dxa"/>
            <w:tcBorders/>
            <w:tcMar>
              <w:top w:w="0" w:type="dxa"/>
              <w:left w:w="0" w:type="dxa"/>
              <w:bottom w:w="0" w:type="dxa"/>
              <w:right w:w="0" w:type="dxa"/>
            </w:tcMar>
            <w:vAlign w:val="center"/>
          </w:tcPr>
          <w:p>
            <w:pPr>
              <w:pStyle w:val="TableContents"/>
              <w:bidi w:val="0"/>
              <w:spacing w:before="0" w:after="283"/>
              <w:jc w:val="center"/>
              <w:rPr/>
            </w:pPr>
            <w:r>
              <w:rPr/>
              <w:t>40</w:t>
            </w:r>
          </w:p>
        </w:tc>
      </w:tr>
      <w:tr>
        <w:trPr/>
        <w:tc>
          <w:tcPr>
            <w:tcW w:w="1243" w:type="dxa"/>
            <w:tcBorders/>
            <w:tcMar>
              <w:top w:w="0" w:type="dxa"/>
              <w:left w:w="0" w:type="dxa"/>
              <w:bottom w:w="0" w:type="dxa"/>
              <w:right w:w="0" w:type="dxa"/>
            </w:tcMar>
            <w:vAlign w:val="center"/>
          </w:tcPr>
          <w:p>
            <w:pPr>
              <w:pStyle w:val="TableContents"/>
              <w:bidi w:val="0"/>
              <w:spacing w:before="0" w:after="283"/>
              <w:jc w:val="both"/>
              <w:rPr/>
            </w:pPr>
            <w:hyperlink w:anchor="ITEM_7A_QUANTITATIVE_AND_QUALITATIVE_DISCLOSURES_ABOUT_MARKET_RISK">
              <w:r>
                <w:rPr>
                  <w:rStyle w:val="InternetLink"/>
                </w:rPr>
                <w:t>ITEM 7A.</w:t>
              </w:r>
            </w:hyperlink>
            <w:r>
              <w:rPr/>
              <w:t xml:space="preserve"> </w:t>
            </w:r>
          </w:p>
        </w:tc>
        <w:tc>
          <w:tcPr>
            <w:tcW w:w="8345" w:type="dxa"/>
            <w:tcBorders/>
            <w:tcMar>
              <w:top w:w="0" w:type="dxa"/>
              <w:left w:w="0" w:type="dxa"/>
              <w:bottom w:w="0" w:type="dxa"/>
              <w:right w:w="0" w:type="dxa"/>
            </w:tcMar>
            <w:vAlign w:val="center"/>
          </w:tcPr>
          <w:p>
            <w:pPr>
              <w:pStyle w:val="TableContents"/>
              <w:bidi w:val="0"/>
              <w:spacing w:before="0" w:after="283"/>
              <w:jc w:val="both"/>
              <w:rPr/>
            </w:pPr>
            <w:hyperlink w:anchor="ITEM_7A_QUANTITATIVE_AND_QUALITATIVE_DISCLOSURES_ABOUT_MARKET_RISK">
              <w:r>
                <w:rPr>
                  <w:rStyle w:val="InternetLink"/>
                </w:rPr>
                <w:t>Quantitative and Qualitative Disclosures about Market Risk</w:t>
              </w:r>
            </w:hyperlink>
            <w:r>
              <w:rPr/>
              <w:t xml:space="preserve"> </w:t>
            </w:r>
          </w:p>
        </w:tc>
        <w:tc>
          <w:tcPr>
            <w:tcW w:w="617" w:type="dxa"/>
            <w:tcBorders/>
            <w:tcMar>
              <w:top w:w="0" w:type="dxa"/>
              <w:left w:w="0" w:type="dxa"/>
              <w:bottom w:w="0" w:type="dxa"/>
              <w:right w:w="0" w:type="dxa"/>
            </w:tcMar>
            <w:vAlign w:val="center"/>
          </w:tcPr>
          <w:p>
            <w:pPr>
              <w:pStyle w:val="TableContents"/>
              <w:bidi w:val="0"/>
              <w:spacing w:before="0" w:after="283"/>
              <w:jc w:val="center"/>
              <w:rPr/>
            </w:pPr>
            <w:r>
              <w:rPr/>
              <w:t>55</w:t>
            </w:r>
          </w:p>
        </w:tc>
      </w:tr>
      <w:tr>
        <w:trPr/>
        <w:tc>
          <w:tcPr>
            <w:tcW w:w="1243" w:type="dxa"/>
            <w:tcBorders/>
            <w:tcMar>
              <w:top w:w="0" w:type="dxa"/>
              <w:left w:w="0" w:type="dxa"/>
              <w:bottom w:w="0" w:type="dxa"/>
              <w:right w:w="0" w:type="dxa"/>
            </w:tcMar>
            <w:vAlign w:val="center"/>
          </w:tcPr>
          <w:p>
            <w:pPr>
              <w:pStyle w:val="TableContents"/>
              <w:bidi w:val="0"/>
              <w:spacing w:before="0" w:after="283"/>
              <w:jc w:val="both"/>
              <w:rPr/>
            </w:pPr>
            <w:hyperlink w:anchor="ITEM_8_FINANCIAL_STATEMENTS_AND_SUPPLEMENTARY_DATA">
              <w:r>
                <w:rPr>
                  <w:rStyle w:val="InternetLink"/>
                </w:rPr>
                <w:t>ITEM 8.</w:t>
              </w:r>
            </w:hyperlink>
            <w:r>
              <w:rPr/>
              <w:t xml:space="preserve"> </w:t>
            </w:r>
          </w:p>
        </w:tc>
        <w:tc>
          <w:tcPr>
            <w:tcW w:w="8345" w:type="dxa"/>
            <w:tcBorders/>
            <w:tcMar>
              <w:top w:w="0" w:type="dxa"/>
              <w:left w:w="0" w:type="dxa"/>
              <w:bottom w:w="0" w:type="dxa"/>
              <w:right w:w="0" w:type="dxa"/>
            </w:tcMar>
            <w:vAlign w:val="center"/>
          </w:tcPr>
          <w:p>
            <w:pPr>
              <w:pStyle w:val="TableContents"/>
              <w:bidi w:val="0"/>
              <w:spacing w:before="0" w:after="283"/>
              <w:jc w:val="both"/>
              <w:rPr/>
            </w:pPr>
            <w:hyperlink w:anchor="ITEM_8_FINANCIAL_STATEMENTS_AND_SUPPLEMENTARY_DATA">
              <w:r>
                <w:rPr>
                  <w:rStyle w:val="InternetLink"/>
                </w:rPr>
                <w:t>Financial Statements and Supplementary Data</w:t>
              </w:r>
            </w:hyperlink>
            <w:r>
              <w:rPr/>
              <w:t xml:space="preserve"> </w:t>
            </w:r>
          </w:p>
        </w:tc>
        <w:tc>
          <w:tcPr>
            <w:tcW w:w="617" w:type="dxa"/>
            <w:tcBorders/>
            <w:tcMar>
              <w:top w:w="0" w:type="dxa"/>
              <w:left w:w="0" w:type="dxa"/>
              <w:bottom w:w="0" w:type="dxa"/>
              <w:right w:w="0" w:type="dxa"/>
            </w:tcMar>
            <w:vAlign w:val="center"/>
          </w:tcPr>
          <w:p>
            <w:pPr>
              <w:pStyle w:val="TableContents"/>
              <w:bidi w:val="0"/>
              <w:spacing w:before="0" w:after="283"/>
              <w:jc w:val="center"/>
              <w:rPr/>
            </w:pPr>
            <w:r>
              <w:rPr/>
              <w:t>55</w:t>
            </w:r>
          </w:p>
        </w:tc>
      </w:tr>
      <w:tr>
        <w:trPr/>
        <w:tc>
          <w:tcPr>
            <w:tcW w:w="1243" w:type="dxa"/>
            <w:tcBorders/>
            <w:tcMar>
              <w:top w:w="0" w:type="dxa"/>
              <w:left w:w="0" w:type="dxa"/>
              <w:bottom w:w="0" w:type="dxa"/>
              <w:right w:w="0" w:type="dxa"/>
            </w:tcMar>
            <w:vAlign w:val="center"/>
          </w:tcPr>
          <w:p>
            <w:pPr>
              <w:pStyle w:val="TableContents"/>
              <w:bidi w:val="0"/>
              <w:spacing w:before="0" w:after="283"/>
              <w:jc w:val="both"/>
              <w:rPr/>
            </w:pPr>
            <w:hyperlink w:anchor="ITEM_9_CHANGES_IN_AND_DISAGREEMENTS_WITH_ACCOUNTANTS_ON_ACCOUNTING_AND_FINANCIAL_DISCLOSURE">
              <w:r>
                <w:rPr>
                  <w:rStyle w:val="InternetLink"/>
                </w:rPr>
                <w:t>ITEM 9.</w:t>
              </w:r>
            </w:hyperlink>
            <w:r>
              <w:rPr/>
              <w:t xml:space="preserve"> </w:t>
            </w:r>
          </w:p>
        </w:tc>
        <w:tc>
          <w:tcPr>
            <w:tcW w:w="8345" w:type="dxa"/>
            <w:tcBorders/>
            <w:tcMar>
              <w:top w:w="0" w:type="dxa"/>
              <w:left w:w="0" w:type="dxa"/>
              <w:bottom w:w="0" w:type="dxa"/>
              <w:right w:w="0" w:type="dxa"/>
            </w:tcMar>
            <w:vAlign w:val="center"/>
          </w:tcPr>
          <w:p>
            <w:pPr>
              <w:pStyle w:val="TableContents"/>
              <w:bidi w:val="0"/>
              <w:spacing w:before="0" w:after="283"/>
              <w:jc w:val="both"/>
              <w:rPr/>
            </w:pPr>
            <w:hyperlink w:anchor="ITEM_9_CHANGES_IN_AND_DISAGREEMENTS_WITH_ACCOUNTANTS_ON_ACCOUNTING_AND_FINANCIAL_DISCLOSURE">
              <w:r>
                <w:rPr>
                  <w:rStyle w:val="InternetLink"/>
                </w:rPr>
                <w:t>Changes in and Disagreement with Accountants on Accounting and Financial Disclosure</w:t>
              </w:r>
            </w:hyperlink>
            <w:r>
              <w:rPr/>
              <w:t xml:space="preserve"> </w:t>
            </w:r>
          </w:p>
        </w:tc>
        <w:tc>
          <w:tcPr>
            <w:tcW w:w="617" w:type="dxa"/>
            <w:tcBorders/>
            <w:tcMar>
              <w:top w:w="0" w:type="dxa"/>
              <w:left w:w="0" w:type="dxa"/>
              <w:bottom w:w="0" w:type="dxa"/>
              <w:right w:w="0" w:type="dxa"/>
            </w:tcMar>
            <w:vAlign w:val="center"/>
          </w:tcPr>
          <w:p>
            <w:pPr>
              <w:pStyle w:val="TableContents"/>
              <w:bidi w:val="0"/>
              <w:spacing w:before="0" w:after="283"/>
              <w:jc w:val="center"/>
              <w:rPr/>
            </w:pPr>
            <w:r>
              <w:rPr/>
              <w:t>55</w:t>
            </w:r>
          </w:p>
        </w:tc>
      </w:tr>
      <w:tr>
        <w:trPr/>
        <w:tc>
          <w:tcPr>
            <w:tcW w:w="1243" w:type="dxa"/>
            <w:tcBorders/>
            <w:tcMar>
              <w:top w:w="0" w:type="dxa"/>
              <w:left w:w="0" w:type="dxa"/>
              <w:bottom w:w="0" w:type="dxa"/>
              <w:right w:w="0" w:type="dxa"/>
            </w:tcMar>
            <w:vAlign w:val="center"/>
          </w:tcPr>
          <w:p>
            <w:pPr>
              <w:pStyle w:val="TableContents"/>
              <w:bidi w:val="0"/>
              <w:spacing w:before="0" w:after="283"/>
              <w:jc w:val="both"/>
              <w:rPr/>
            </w:pPr>
            <w:hyperlink w:anchor="ITEM_9A_CONTROLS_AND_PROCEDURES">
              <w:r>
                <w:rPr>
                  <w:rStyle w:val="InternetLink"/>
                </w:rPr>
                <w:t>ITEM 9A.</w:t>
              </w:r>
            </w:hyperlink>
            <w:r>
              <w:rPr/>
              <w:t xml:space="preserve"> </w:t>
            </w:r>
          </w:p>
        </w:tc>
        <w:tc>
          <w:tcPr>
            <w:tcW w:w="8345" w:type="dxa"/>
            <w:tcBorders/>
            <w:tcMar>
              <w:top w:w="0" w:type="dxa"/>
              <w:left w:w="0" w:type="dxa"/>
              <w:bottom w:w="0" w:type="dxa"/>
              <w:right w:w="0" w:type="dxa"/>
            </w:tcMar>
            <w:vAlign w:val="center"/>
          </w:tcPr>
          <w:p>
            <w:pPr>
              <w:pStyle w:val="TableContents"/>
              <w:bidi w:val="0"/>
              <w:spacing w:before="0" w:after="283"/>
              <w:jc w:val="both"/>
              <w:rPr/>
            </w:pPr>
            <w:hyperlink w:anchor="ITEM_9A_CONTROLS_AND_PROCEDURES">
              <w:r>
                <w:rPr>
                  <w:rStyle w:val="InternetLink"/>
                </w:rPr>
                <w:t>Controls and Procedures</w:t>
              </w:r>
            </w:hyperlink>
            <w:r>
              <w:rPr/>
              <w:t xml:space="preserve"> </w:t>
            </w:r>
          </w:p>
        </w:tc>
        <w:tc>
          <w:tcPr>
            <w:tcW w:w="617" w:type="dxa"/>
            <w:tcBorders/>
            <w:tcMar>
              <w:top w:w="0" w:type="dxa"/>
              <w:left w:w="0" w:type="dxa"/>
              <w:bottom w:w="0" w:type="dxa"/>
              <w:right w:w="0" w:type="dxa"/>
            </w:tcMar>
            <w:vAlign w:val="center"/>
          </w:tcPr>
          <w:p>
            <w:pPr>
              <w:pStyle w:val="TableContents"/>
              <w:bidi w:val="0"/>
              <w:spacing w:before="0" w:after="283"/>
              <w:jc w:val="center"/>
              <w:rPr/>
            </w:pPr>
            <w:r>
              <w:rPr/>
              <w:t>56</w:t>
            </w:r>
          </w:p>
        </w:tc>
      </w:tr>
      <w:tr>
        <w:trPr/>
        <w:tc>
          <w:tcPr>
            <w:tcW w:w="1243" w:type="dxa"/>
            <w:tcBorders/>
            <w:tcMar>
              <w:top w:w="0" w:type="dxa"/>
              <w:left w:w="0" w:type="dxa"/>
              <w:bottom w:w="0" w:type="dxa"/>
              <w:right w:w="0" w:type="dxa"/>
            </w:tcMar>
            <w:vAlign w:val="center"/>
          </w:tcPr>
          <w:p>
            <w:pPr>
              <w:pStyle w:val="TableContents"/>
              <w:bidi w:val="0"/>
              <w:spacing w:before="0" w:after="283"/>
              <w:jc w:val="both"/>
              <w:rPr/>
            </w:pPr>
            <w:hyperlink w:anchor="ITEM_9B_OTHER_INFORMATION">
              <w:r>
                <w:rPr>
                  <w:rStyle w:val="InternetLink"/>
                </w:rPr>
                <w:t>ITEM 9B.</w:t>
              </w:r>
            </w:hyperlink>
            <w:r>
              <w:rPr/>
              <w:t xml:space="preserve"> </w:t>
            </w:r>
          </w:p>
        </w:tc>
        <w:tc>
          <w:tcPr>
            <w:tcW w:w="8345" w:type="dxa"/>
            <w:tcBorders/>
            <w:tcMar>
              <w:top w:w="0" w:type="dxa"/>
              <w:left w:w="0" w:type="dxa"/>
              <w:bottom w:w="0" w:type="dxa"/>
              <w:right w:w="0" w:type="dxa"/>
            </w:tcMar>
            <w:vAlign w:val="center"/>
          </w:tcPr>
          <w:p>
            <w:pPr>
              <w:pStyle w:val="TableContents"/>
              <w:bidi w:val="0"/>
              <w:spacing w:before="0" w:after="283"/>
              <w:jc w:val="both"/>
              <w:rPr/>
            </w:pPr>
            <w:hyperlink w:anchor="ITEM_9B_OTHER_INFORMATION">
              <w:r>
                <w:rPr>
                  <w:rStyle w:val="InternetLink"/>
                </w:rPr>
                <w:t>Other Information</w:t>
              </w:r>
            </w:hyperlink>
            <w:r>
              <w:rPr/>
              <w:t xml:space="preserve"> </w:t>
            </w:r>
          </w:p>
        </w:tc>
        <w:tc>
          <w:tcPr>
            <w:tcW w:w="617" w:type="dxa"/>
            <w:tcBorders/>
            <w:tcMar>
              <w:top w:w="0" w:type="dxa"/>
              <w:left w:w="0" w:type="dxa"/>
              <w:bottom w:w="0" w:type="dxa"/>
              <w:right w:w="0" w:type="dxa"/>
            </w:tcMar>
            <w:vAlign w:val="center"/>
          </w:tcPr>
          <w:p>
            <w:pPr>
              <w:pStyle w:val="TableContents"/>
              <w:bidi w:val="0"/>
              <w:spacing w:before="0" w:after="283"/>
              <w:jc w:val="center"/>
              <w:rPr/>
            </w:pPr>
            <w:r>
              <w:rPr/>
              <w:t>57</w:t>
            </w:r>
          </w:p>
        </w:tc>
      </w:tr>
      <w:tr>
        <w:trPr/>
        <w:tc>
          <w:tcPr>
            <w:tcW w:w="1243" w:type="dxa"/>
            <w:tcBorders/>
            <w:tcMar>
              <w:top w:w="0" w:type="dxa"/>
              <w:left w:w="0" w:type="dxa"/>
              <w:bottom w:w="0" w:type="dxa"/>
              <w:right w:w="0" w:type="dxa"/>
            </w:tcMar>
            <w:vAlign w:val="center"/>
          </w:tcPr>
          <w:p>
            <w:pPr>
              <w:pStyle w:val="TableContents"/>
              <w:bidi w:val="0"/>
              <w:spacing w:before="0" w:after="283"/>
              <w:jc w:val="left"/>
              <w:rPr/>
            </w:pPr>
            <w:hyperlink w:anchor="ITEM_9C_DISCLOSURE_REGARDING_FOREIGN_JURISDICTIONS_THAT_PREVENT_INSPECTIONS">
              <w:r>
                <w:rPr>
                  <w:rStyle w:val="InternetLink"/>
                </w:rPr>
                <w:t>ITEM 9C.</w:t>
              </w:r>
            </w:hyperlink>
            <w:r>
              <w:rPr/>
              <w:t>     </w:t>
            </w:r>
          </w:p>
        </w:tc>
        <w:tc>
          <w:tcPr>
            <w:tcW w:w="834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_JURISDICTIONS_THAT_PREVENT_INSPECTIONS">
              <w:r>
                <w:rPr>
                  <w:rStyle w:val="InternetLink"/>
                </w:rPr>
                <w:t>Disclosure Regarding Foreign Jurisdictions that Prevent Inspections</w:t>
              </w:r>
            </w:hyperlink>
          </w:p>
        </w:tc>
        <w:tc>
          <w:tcPr>
            <w:tcW w:w="617" w:type="dxa"/>
            <w:tcBorders/>
            <w:tcMar>
              <w:top w:w="0" w:type="dxa"/>
              <w:left w:w="0" w:type="dxa"/>
              <w:bottom w:w="0" w:type="dxa"/>
              <w:right w:w="0" w:type="dxa"/>
            </w:tcMar>
            <w:vAlign w:val="center"/>
          </w:tcPr>
          <w:p>
            <w:pPr>
              <w:pStyle w:val="TableContents"/>
              <w:bidi w:val="0"/>
              <w:spacing w:before="0" w:after="283"/>
              <w:jc w:val="center"/>
              <w:rPr>
                <w:shd w:fill="FFFFFF" w:val="clear"/>
              </w:rPr>
            </w:pPr>
            <w:r>
              <w:rPr>
                <w:spacing w:val="0"/>
                <w:shd w:fill="FFFFFF" w:val="clear"/>
              </w:rPr>
              <w:t> </w:t>
            </w:r>
            <w:r>
              <w:rPr>
                <w:spacing w:val="0"/>
                <w:shd w:fill="FFFFFF" w:val="clear"/>
              </w:rPr>
              <w:t>57</w:t>
            </w:r>
            <w:r>
              <w:rPr>
                <w:shd w:fill="FFFFFF" w:val="clear"/>
              </w:rPr>
              <w:t> </w:t>
            </w:r>
          </w:p>
        </w:tc>
      </w:tr>
      <w:tr>
        <w:trPr/>
        <w:tc>
          <w:tcPr>
            <w:tcW w:w="10205" w:type="dxa"/>
            <w:gridSpan w:val="3"/>
            <w:tcBorders/>
            <w:vAlign w:val="center"/>
          </w:tcPr>
          <w:p>
            <w:pPr>
              <w:pStyle w:val="TableContents"/>
              <w:bidi w:val="0"/>
              <w:spacing w:before="0" w:after="283"/>
              <w:jc w:val="center"/>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center"/>
              <w:rPr>
                <w:b/>
                <w:shd w:fill="FFFFFF" w:val="clear"/>
              </w:rPr>
            </w:pPr>
            <w:r>
              <w:rPr>
                <w:b/>
                <w:shd w:fill="FFFFFF" w:val="clear"/>
              </w:rPr>
              <w:t xml:space="preserve">PART III </w:t>
            </w:r>
          </w:p>
        </w:tc>
      </w:tr>
      <w:tr>
        <w:trPr/>
        <w:tc>
          <w:tcPr>
            <w:tcW w:w="1243" w:type="dxa"/>
            <w:tcBorders/>
            <w:tcMar>
              <w:top w:w="0" w:type="dxa"/>
              <w:left w:w="0" w:type="dxa"/>
              <w:bottom w:w="0" w:type="dxa"/>
              <w:right w:w="0" w:type="dxa"/>
            </w:tcMar>
            <w:vAlign w:val="center"/>
          </w:tcPr>
          <w:p>
            <w:pPr>
              <w:pStyle w:val="TableContents"/>
              <w:bidi w:val="0"/>
              <w:spacing w:before="0" w:after="283"/>
              <w:jc w:val="left"/>
              <w:rPr/>
            </w:pPr>
            <w:r>
              <w:rPr/>
              <w:t> </w:t>
            </w:r>
          </w:p>
        </w:tc>
        <w:tc>
          <w:tcPr>
            <w:tcW w:w="8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43" w:type="dxa"/>
            <w:tcBorders/>
            <w:tcMar>
              <w:top w:w="0" w:type="dxa"/>
              <w:left w:w="0" w:type="dxa"/>
              <w:bottom w:w="0" w:type="dxa"/>
              <w:right w:w="0" w:type="dxa"/>
            </w:tcMar>
            <w:vAlign w:val="center"/>
          </w:tcPr>
          <w:p>
            <w:pPr>
              <w:pStyle w:val="TableContents"/>
              <w:bidi w:val="0"/>
              <w:spacing w:before="0" w:after="283"/>
              <w:jc w:val="both"/>
              <w:rPr/>
            </w:pPr>
            <w:hyperlink w:anchor="ITEM_10_DIRECTORS_EXECUTIVE_OFFICERS_AND_CORPORATE_GOVERNANCE">
              <w:r>
                <w:rPr>
                  <w:rStyle w:val="InternetLink"/>
                </w:rPr>
                <w:t>ITEM 10.</w:t>
              </w:r>
            </w:hyperlink>
            <w:r>
              <w:rPr/>
              <w:t xml:space="preserve"> </w:t>
            </w:r>
          </w:p>
        </w:tc>
        <w:tc>
          <w:tcPr>
            <w:tcW w:w="8345" w:type="dxa"/>
            <w:tcBorders/>
            <w:tcMar>
              <w:top w:w="0" w:type="dxa"/>
              <w:left w:w="0" w:type="dxa"/>
              <w:bottom w:w="0" w:type="dxa"/>
              <w:right w:w="0" w:type="dxa"/>
            </w:tcMar>
            <w:vAlign w:val="center"/>
          </w:tcPr>
          <w:p>
            <w:pPr>
              <w:pStyle w:val="TableContents"/>
              <w:bidi w:val="0"/>
              <w:spacing w:before="0" w:after="283"/>
              <w:jc w:val="both"/>
              <w:rPr/>
            </w:pPr>
            <w:hyperlink w:anchor="ITEM_10_DIRECTORS_EXECUTIVE_OFFICERS_AND_CORPORATE_GOVERNANCE">
              <w:r>
                <w:rPr>
                  <w:rStyle w:val="InternetLink"/>
                  <w:shd w:fill="FFFFFF" w:val="clear"/>
                </w:rPr>
                <w:t>Directors, Executive Officers and Corporate Governance</w:t>
              </w:r>
            </w:hyperlink>
            <w:r>
              <w:rPr/>
              <w:t xml:space="preserve"> </w:t>
            </w:r>
          </w:p>
        </w:tc>
        <w:tc>
          <w:tcPr>
            <w:tcW w:w="617" w:type="dxa"/>
            <w:tcBorders/>
            <w:tcMar>
              <w:top w:w="0" w:type="dxa"/>
              <w:left w:w="0" w:type="dxa"/>
              <w:bottom w:w="0" w:type="dxa"/>
              <w:right w:w="0" w:type="dxa"/>
            </w:tcMar>
            <w:vAlign w:val="center"/>
          </w:tcPr>
          <w:p>
            <w:pPr>
              <w:pStyle w:val="TableContents"/>
              <w:bidi w:val="0"/>
              <w:spacing w:before="0" w:after="283"/>
              <w:jc w:val="center"/>
              <w:rPr/>
            </w:pPr>
            <w:r>
              <w:rPr/>
              <w:t>58</w:t>
            </w:r>
          </w:p>
        </w:tc>
      </w:tr>
      <w:tr>
        <w:trPr/>
        <w:tc>
          <w:tcPr>
            <w:tcW w:w="1243" w:type="dxa"/>
            <w:tcBorders/>
            <w:tcMar>
              <w:top w:w="0" w:type="dxa"/>
              <w:left w:w="0" w:type="dxa"/>
              <w:bottom w:w="0" w:type="dxa"/>
              <w:right w:w="0" w:type="dxa"/>
            </w:tcMar>
            <w:vAlign w:val="center"/>
          </w:tcPr>
          <w:p>
            <w:pPr>
              <w:pStyle w:val="TableContents"/>
              <w:bidi w:val="0"/>
              <w:spacing w:before="0" w:after="283"/>
              <w:jc w:val="both"/>
              <w:rPr/>
            </w:pPr>
            <w:hyperlink w:anchor="ITEM_11_EXECUTIVE_COMPENSATION">
              <w:r>
                <w:rPr>
                  <w:rStyle w:val="InternetLink"/>
                </w:rPr>
                <w:t>ITEM 11.</w:t>
              </w:r>
            </w:hyperlink>
            <w:r>
              <w:rPr/>
              <w:t xml:space="preserve"> </w:t>
            </w:r>
          </w:p>
        </w:tc>
        <w:tc>
          <w:tcPr>
            <w:tcW w:w="8345" w:type="dxa"/>
            <w:tcBorders/>
            <w:tcMar>
              <w:top w:w="0" w:type="dxa"/>
              <w:left w:w="0" w:type="dxa"/>
              <w:bottom w:w="0" w:type="dxa"/>
              <w:right w:w="0" w:type="dxa"/>
            </w:tcMar>
            <w:vAlign w:val="center"/>
          </w:tcPr>
          <w:p>
            <w:pPr>
              <w:pStyle w:val="TableContents"/>
              <w:bidi w:val="0"/>
              <w:spacing w:before="0" w:after="283"/>
              <w:jc w:val="both"/>
              <w:rPr/>
            </w:pPr>
            <w:hyperlink w:anchor="ITEM_11_EXECUTIVE_COMPENSATION">
              <w:r>
                <w:rPr>
                  <w:rStyle w:val="InternetLink"/>
                  <w:shd w:fill="FFFFFF" w:val="clear"/>
                </w:rPr>
                <w:t>Executive Compensation</w:t>
              </w:r>
            </w:hyperlink>
            <w:r>
              <w:rPr/>
              <w:t xml:space="preserve"> </w:t>
            </w:r>
          </w:p>
        </w:tc>
        <w:tc>
          <w:tcPr>
            <w:tcW w:w="617" w:type="dxa"/>
            <w:tcBorders/>
            <w:tcMar>
              <w:top w:w="0" w:type="dxa"/>
              <w:left w:w="0" w:type="dxa"/>
              <w:bottom w:w="0" w:type="dxa"/>
              <w:right w:w="0" w:type="dxa"/>
            </w:tcMar>
            <w:vAlign w:val="center"/>
          </w:tcPr>
          <w:p>
            <w:pPr>
              <w:pStyle w:val="TableContents"/>
              <w:bidi w:val="0"/>
              <w:spacing w:before="0" w:after="283"/>
              <w:jc w:val="center"/>
              <w:rPr/>
            </w:pPr>
            <w:r>
              <w:rPr/>
              <w:t>64</w:t>
            </w:r>
          </w:p>
        </w:tc>
      </w:tr>
      <w:tr>
        <w:trPr/>
        <w:tc>
          <w:tcPr>
            <w:tcW w:w="1243" w:type="dxa"/>
            <w:tcBorders/>
            <w:tcMar>
              <w:top w:w="0" w:type="dxa"/>
              <w:left w:w="0" w:type="dxa"/>
              <w:bottom w:w="0" w:type="dxa"/>
              <w:right w:w="0" w:type="dxa"/>
            </w:tcMar>
            <w:vAlign w:val="center"/>
          </w:tcPr>
          <w:p>
            <w:pPr>
              <w:pStyle w:val="TableContents"/>
              <w:bidi w:val="0"/>
              <w:spacing w:before="0" w:after="283"/>
              <w:jc w:val="both"/>
              <w:rPr/>
            </w:pPr>
            <w:hyperlink w:anchor="ITEM_12_SECURITY_OWNERSHIP_OF_CERTAIN_BENEFICIAL_OWNERS_AND_MANAGEMENT_AND_RELATED_STOCKHOLDER_MATTERS">
              <w:r>
                <w:rPr>
                  <w:rStyle w:val="InternetLink"/>
                </w:rPr>
                <w:t>ITEM 12.</w:t>
              </w:r>
            </w:hyperlink>
            <w:r>
              <w:rPr/>
              <w:t xml:space="preserve"> </w:t>
            </w:r>
          </w:p>
        </w:tc>
        <w:tc>
          <w:tcPr>
            <w:tcW w:w="8345"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12_SECURITY_OWNERSHIP_OF_CERTAIN_BENEFICIAL_OWNERS_AND_MANAGEMENT_AND_RELATED_STOCKHOLDER_MATTERS">
              <w:r>
                <w:rPr>
                  <w:rStyle w:val="InternetLink"/>
                </w:rPr>
                <w:t>Security Ownership of Certain Beneficial Owners and Management and Related Stockholder Matters</w:t>
              </w:r>
            </w:hyperlink>
            <w:r>
              <w:rPr/>
              <w:t xml:space="preserve"> </w:t>
            </w:r>
          </w:p>
        </w:tc>
        <w:tc>
          <w:tcPr>
            <w:tcW w:w="617" w:type="dxa"/>
            <w:tcBorders/>
            <w:tcMar>
              <w:top w:w="0" w:type="dxa"/>
              <w:left w:w="0" w:type="dxa"/>
              <w:bottom w:w="0" w:type="dxa"/>
              <w:right w:w="0" w:type="dxa"/>
            </w:tcMar>
            <w:vAlign w:val="center"/>
          </w:tcPr>
          <w:p>
            <w:pPr>
              <w:pStyle w:val="TableContents"/>
              <w:bidi w:val="0"/>
              <w:spacing w:before="0" w:after="283"/>
              <w:jc w:val="center"/>
              <w:rPr/>
            </w:pPr>
            <w:r>
              <w:rPr/>
              <w:t>69</w:t>
            </w:r>
          </w:p>
        </w:tc>
      </w:tr>
      <w:tr>
        <w:trPr/>
        <w:tc>
          <w:tcPr>
            <w:tcW w:w="1243" w:type="dxa"/>
            <w:tcBorders/>
            <w:tcMar>
              <w:top w:w="0" w:type="dxa"/>
              <w:left w:w="0" w:type="dxa"/>
              <w:bottom w:w="0" w:type="dxa"/>
              <w:right w:w="0" w:type="dxa"/>
            </w:tcMar>
            <w:vAlign w:val="center"/>
          </w:tcPr>
          <w:p>
            <w:pPr>
              <w:pStyle w:val="TableContents"/>
              <w:bidi w:val="0"/>
              <w:spacing w:before="0" w:after="283"/>
              <w:jc w:val="both"/>
              <w:rPr/>
            </w:pPr>
            <w:hyperlink w:anchor="ITEM_13_CERTAIN_RELATIONSHIPS_AND_RELATED_TRANSACTIONS_AND_DIRECTOR_INDEPENDENCE">
              <w:r>
                <w:rPr>
                  <w:rStyle w:val="InternetLink"/>
                </w:rPr>
                <w:t>ITEM 13.</w:t>
              </w:r>
            </w:hyperlink>
            <w:r>
              <w:rPr/>
              <w:t xml:space="preserve"> </w:t>
            </w:r>
          </w:p>
        </w:tc>
        <w:tc>
          <w:tcPr>
            <w:tcW w:w="8345"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13_CERTAIN_RELATIONSHIPS_AND_RELATED_TRANSACTIONS_AND_DIRECTOR_INDEPENDENCE">
              <w:r>
                <w:rPr>
                  <w:rStyle w:val="InternetLink"/>
                </w:rPr>
                <w:t>Certain Relationships and Related Transactions and Director Independence</w:t>
              </w:r>
            </w:hyperlink>
            <w:r>
              <w:rPr/>
              <w:t xml:space="preserve"> </w:t>
            </w:r>
          </w:p>
        </w:tc>
        <w:tc>
          <w:tcPr>
            <w:tcW w:w="617" w:type="dxa"/>
            <w:tcBorders/>
            <w:tcMar>
              <w:top w:w="0" w:type="dxa"/>
              <w:left w:w="0" w:type="dxa"/>
              <w:bottom w:w="0" w:type="dxa"/>
              <w:right w:w="0" w:type="dxa"/>
            </w:tcMar>
            <w:vAlign w:val="center"/>
          </w:tcPr>
          <w:p>
            <w:pPr>
              <w:pStyle w:val="TableContents"/>
              <w:bidi w:val="0"/>
              <w:spacing w:before="0" w:after="283"/>
              <w:jc w:val="center"/>
              <w:rPr/>
            </w:pPr>
            <w:r>
              <w:rPr/>
              <w:t>72</w:t>
            </w:r>
          </w:p>
        </w:tc>
      </w:tr>
      <w:tr>
        <w:trPr/>
        <w:tc>
          <w:tcPr>
            <w:tcW w:w="1243" w:type="dxa"/>
            <w:tcBorders/>
            <w:tcMar>
              <w:top w:w="0" w:type="dxa"/>
              <w:left w:w="0" w:type="dxa"/>
              <w:bottom w:w="0" w:type="dxa"/>
              <w:right w:w="0" w:type="dxa"/>
            </w:tcMar>
            <w:vAlign w:val="center"/>
          </w:tcPr>
          <w:p>
            <w:pPr>
              <w:pStyle w:val="TableContents"/>
              <w:bidi w:val="0"/>
              <w:spacing w:before="0" w:after="283"/>
              <w:jc w:val="both"/>
              <w:rPr/>
            </w:pPr>
            <w:hyperlink w:anchor="ITEM_14_PRINCIPAL_ACCOUNTING_FEES_AND_SERVICES">
              <w:r>
                <w:rPr>
                  <w:rStyle w:val="InternetLink"/>
                </w:rPr>
                <w:t>ITEM 14.</w:t>
              </w:r>
            </w:hyperlink>
            <w:r>
              <w:rPr/>
              <w:t xml:space="preserve"> </w:t>
            </w:r>
          </w:p>
        </w:tc>
        <w:tc>
          <w:tcPr>
            <w:tcW w:w="8345"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ITEM_14_PRINCIPAL_ACCOUNTING_FEES_AND_SERVICES">
              <w:r>
                <w:rPr>
                  <w:rStyle w:val="InternetLink"/>
                </w:rPr>
                <w:t>Principal Accounting Fees and Services</w:t>
              </w:r>
            </w:hyperlink>
            <w:r>
              <w:rPr/>
              <w:t xml:space="preserve"> </w:t>
            </w:r>
          </w:p>
        </w:tc>
        <w:tc>
          <w:tcPr>
            <w:tcW w:w="617" w:type="dxa"/>
            <w:tcBorders/>
            <w:tcMar>
              <w:top w:w="0" w:type="dxa"/>
              <w:left w:w="0" w:type="dxa"/>
              <w:bottom w:w="0" w:type="dxa"/>
              <w:right w:w="0" w:type="dxa"/>
            </w:tcMar>
            <w:vAlign w:val="center"/>
          </w:tcPr>
          <w:p>
            <w:pPr>
              <w:pStyle w:val="TableContents"/>
              <w:bidi w:val="0"/>
              <w:spacing w:before="0" w:after="283"/>
              <w:jc w:val="center"/>
              <w:rPr/>
            </w:pPr>
            <w:r>
              <w:rPr/>
              <w:t>73</w:t>
            </w:r>
          </w:p>
        </w:tc>
      </w:tr>
      <w:tr>
        <w:trPr/>
        <w:tc>
          <w:tcPr>
            <w:tcW w:w="1243" w:type="dxa"/>
            <w:tcBorders/>
            <w:tcMar>
              <w:top w:w="0" w:type="dxa"/>
              <w:left w:w="0" w:type="dxa"/>
              <w:bottom w:w="0" w:type="dxa"/>
              <w:right w:w="0" w:type="dxa"/>
            </w:tcMar>
            <w:vAlign w:val="center"/>
          </w:tcPr>
          <w:p>
            <w:pPr>
              <w:pStyle w:val="TableContents"/>
              <w:bidi w:val="0"/>
              <w:spacing w:before="0" w:after="283"/>
              <w:jc w:val="left"/>
              <w:rPr/>
            </w:pPr>
            <w:r>
              <w:rPr/>
              <w:t> </w:t>
            </w:r>
          </w:p>
        </w:tc>
        <w:tc>
          <w:tcPr>
            <w:tcW w:w="8345"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center"/>
              <w:rPr/>
            </w:pPr>
            <w:r>
              <w:rPr>
                <w:b/>
              </w:rPr>
              <w:t>PART IV</w:t>
            </w:r>
            <w:r>
              <w:rPr/>
              <w:t xml:space="preserve"> </w:t>
            </w:r>
          </w:p>
        </w:tc>
      </w:tr>
      <w:tr>
        <w:trPr/>
        <w:tc>
          <w:tcPr>
            <w:tcW w:w="1243" w:type="dxa"/>
            <w:tcBorders/>
            <w:tcMar>
              <w:top w:w="0" w:type="dxa"/>
              <w:left w:w="0" w:type="dxa"/>
              <w:bottom w:w="0" w:type="dxa"/>
              <w:right w:w="0" w:type="dxa"/>
            </w:tcMar>
            <w:vAlign w:val="center"/>
          </w:tcPr>
          <w:p>
            <w:pPr>
              <w:pStyle w:val="TableContents"/>
              <w:bidi w:val="0"/>
              <w:spacing w:before="0" w:after="283"/>
              <w:jc w:val="left"/>
              <w:rPr/>
            </w:pPr>
            <w:r>
              <w:rPr/>
              <w:t> </w:t>
            </w:r>
          </w:p>
        </w:tc>
        <w:tc>
          <w:tcPr>
            <w:tcW w:w="8345" w:type="dxa"/>
            <w:tcBorders/>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243" w:type="dxa"/>
            <w:tcBorders/>
            <w:tcMar>
              <w:top w:w="0" w:type="dxa"/>
              <w:left w:w="0" w:type="dxa"/>
              <w:bottom w:w="0" w:type="dxa"/>
              <w:right w:w="0" w:type="dxa"/>
            </w:tcMar>
            <w:vAlign w:val="center"/>
          </w:tcPr>
          <w:p>
            <w:pPr>
              <w:pStyle w:val="TableContents"/>
              <w:bidi w:val="0"/>
              <w:spacing w:before="0" w:after="283"/>
              <w:jc w:val="both"/>
              <w:rPr/>
            </w:pPr>
            <w:hyperlink w:anchor="ITEM_15_EXHIBITS_AND_FINANCIAL_STATEMENT_SCHEDULES">
              <w:r>
                <w:rPr>
                  <w:rStyle w:val="InternetLink"/>
                </w:rPr>
                <w:t>ITEM 15.</w:t>
              </w:r>
            </w:hyperlink>
            <w:r>
              <w:rPr/>
              <w:t xml:space="preserve"> </w:t>
            </w:r>
          </w:p>
        </w:tc>
        <w:tc>
          <w:tcPr>
            <w:tcW w:w="8345" w:type="dxa"/>
            <w:tcBorders/>
            <w:tcMar>
              <w:top w:w="0" w:type="dxa"/>
              <w:left w:w="0" w:type="dxa"/>
              <w:bottom w:w="0" w:type="dxa"/>
              <w:right w:w="0" w:type="dxa"/>
            </w:tcMar>
            <w:vAlign w:val="center"/>
          </w:tcPr>
          <w:p>
            <w:pPr>
              <w:pStyle w:val="TableContents"/>
              <w:bidi w:val="0"/>
              <w:spacing w:before="0" w:after="283"/>
              <w:jc w:val="both"/>
              <w:rPr/>
            </w:pPr>
            <w:hyperlink w:anchor="ITEM_15_EXHIBITS_AND_FINANCIAL_STATEMENT_SCHEDULES">
              <w:r>
                <w:rPr>
                  <w:rStyle w:val="InternetLink"/>
                </w:rPr>
                <w:t>Exhibits, Financial Statement Schedules</w:t>
              </w:r>
            </w:hyperlink>
            <w:r>
              <w:rPr/>
              <w:t xml:space="preserve"> </w:t>
            </w:r>
          </w:p>
        </w:tc>
        <w:tc>
          <w:tcPr>
            <w:tcW w:w="617" w:type="dxa"/>
            <w:tcBorders/>
            <w:tcMar>
              <w:top w:w="0" w:type="dxa"/>
              <w:left w:w="0" w:type="dxa"/>
              <w:bottom w:w="0" w:type="dxa"/>
              <w:right w:w="0" w:type="dxa"/>
            </w:tcMar>
            <w:vAlign w:val="center"/>
          </w:tcPr>
          <w:p>
            <w:pPr>
              <w:pStyle w:val="TableContents"/>
              <w:bidi w:val="0"/>
              <w:spacing w:before="0" w:after="283"/>
              <w:jc w:val="center"/>
              <w:rPr/>
            </w:pPr>
            <w:r>
              <w:rPr/>
              <w:t>75</w:t>
            </w:r>
          </w:p>
        </w:tc>
      </w:tr>
      <w:tr>
        <w:trPr/>
        <w:tc>
          <w:tcPr>
            <w:tcW w:w="1243" w:type="dxa"/>
            <w:tcBorders/>
            <w:vAlign w:val="center"/>
          </w:tcPr>
          <w:p>
            <w:pPr>
              <w:pStyle w:val="TableContents"/>
              <w:bidi w:val="0"/>
              <w:spacing w:before="0" w:after="283"/>
              <w:jc w:val="left"/>
              <w:rPr/>
            </w:pPr>
            <w:hyperlink w:anchor="ITEM_16_FORM_10-K_SUMMARY">
              <w:r>
                <w:rPr>
                  <w:rStyle w:val="InternetLink"/>
                </w:rPr>
                <w:t>ITEM 16 </w:t>
              </w:r>
            </w:hyperlink>
            <w:r>
              <w:rPr/>
              <w:t>   </w:t>
            </w:r>
          </w:p>
        </w:tc>
        <w:tc>
          <w:tcPr>
            <w:tcW w:w="8345" w:type="dxa"/>
            <w:tcBorders/>
            <w:vAlign w:val="center"/>
          </w:tcPr>
          <w:p>
            <w:pPr>
              <w:pStyle w:val="TableContents"/>
              <w:bidi w:val="0"/>
              <w:spacing w:before="0" w:after="283"/>
              <w:jc w:val="both"/>
              <w:rPr/>
            </w:pPr>
            <w:hyperlink w:anchor="ITEM_16_FORM_10-K_SUMMARY">
              <w:r>
                <w:rPr>
                  <w:rStyle w:val="InternetLink"/>
                </w:rPr>
                <w:t>Form 10-K Summary</w:t>
              </w:r>
            </w:hyperlink>
          </w:p>
        </w:tc>
        <w:tc>
          <w:tcPr>
            <w:tcW w:w="617" w:type="dxa"/>
            <w:tcBorders/>
            <w:vAlign w:val="center"/>
          </w:tcPr>
          <w:p>
            <w:pPr>
              <w:pStyle w:val="TableContents"/>
              <w:bidi w:val="0"/>
              <w:spacing w:before="0" w:after="283"/>
              <w:jc w:val="center"/>
              <w:rPr/>
            </w:pPr>
            <w:r>
              <w:rPr/>
              <w:t>77</w:t>
            </w:r>
          </w:p>
        </w:tc>
      </w:tr>
      <w:tr>
        <w:trPr/>
        <w:tc>
          <w:tcPr>
            <w:tcW w:w="1243"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hyperlink w:anchor="SIGNATURES">
              <w:r>
                <w:rPr>
                  <w:rStyle w:val="InternetLink"/>
                </w:rPr>
                <w:t>Signatures</w:t>
              </w:r>
            </w:hyperlink>
          </w:p>
        </w:tc>
        <w:tc>
          <w:tcPr>
            <w:tcW w:w="617" w:type="dxa"/>
            <w:tcBorders/>
            <w:vAlign w:val="center"/>
          </w:tcPr>
          <w:p>
            <w:pPr>
              <w:pStyle w:val="TableContents"/>
              <w:bidi w:val="0"/>
              <w:spacing w:before="0" w:after="283"/>
              <w:jc w:val="center"/>
              <w:rPr/>
            </w:pPr>
            <w:r>
              <w:rPr/>
              <w:t>78</w:t>
            </w:r>
          </w:p>
        </w:tc>
      </w:tr>
      <w:tr>
        <w:trPr/>
        <w:tc>
          <w:tcPr>
            <w:tcW w:w="1243" w:type="dxa"/>
            <w:tcBorders/>
            <w:vAlign w:val="center"/>
          </w:tcPr>
          <w:p>
            <w:pPr>
              <w:pStyle w:val="TableContents"/>
              <w:bidi w:val="0"/>
              <w:spacing w:before="0" w:after="283"/>
              <w:jc w:val="left"/>
              <w:rPr/>
            </w:pPr>
            <w:r>
              <w:rPr/>
              <w:t> </w:t>
            </w:r>
          </w:p>
        </w:tc>
        <w:tc>
          <w:tcPr>
            <w:tcW w:w="8345" w:type="dxa"/>
            <w:tcBorders/>
            <w:vAlign w:val="center"/>
          </w:tcPr>
          <w:p>
            <w:pPr>
              <w:pStyle w:val="TableContents"/>
              <w:bidi w:val="0"/>
              <w:spacing w:before="0" w:after="283"/>
              <w:jc w:val="both"/>
              <w:rPr/>
            </w:pPr>
            <w:hyperlink w:anchor="WRAP_TECHNOLOGIES_INC">
              <w:r>
                <w:rPr>
                  <w:rStyle w:val="InternetLink"/>
                </w:rPr>
                <w:t>Financial Statements</w:t>
              </w:r>
            </w:hyperlink>
          </w:p>
        </w:tc>
        <w:tc>
          <w:tcPr>
            <w:tcW w:w="617" w:type="dxa"/>
            <w:tcBorders/>
            <w:vAlign w:val="center"/>
          </w:tcPr>
          <w:p>
            <w:pPr>
              <w:pStyle w:val="TableContents"/>
              <w:bidi w:val="0"/>
              <w:spacing w:before="0" w:after="283"/>
              <w:jc w:val="center"/>
              <w:rPr/>
            </w:pPr>
            <w:r>
              <w:rPr/>
              <w:t>F-1</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4"/>
        </w:rPr>
      </w:pPr>
      <w:r>
        <w:rPr>
          <w:rFonts w:ascii="Times New Roman" w:hAnsi="Times New Roman"/>
          <w:b/>
          <w:sz w:val="20"/>
        </w:rPr>
        <w:t>CAUTIONARY NOTE REGARDING FORWARD-LOOKING STATEMENTS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This Annual Report on Form 10-K (this "Annual Report") may contain or incorporate by reference forward-looking statements within the meaning of Section 27A of the Securities Act of 1933, as amended (the “Securities Act”), and Section 21E of the Securities Exchange Act of 1934, as amended (the “Exchange Act”). Such forward-looking statements are based upon management’s assumptions, expectations, projections, intentions and beliefs about future events. In some cases, predictive, future-tense or forward-looking words such as “intend,” “plan,” “predict,” “may,” “will,” “project,” “target,” “strategy,” “estimate,” “anticipate,” “believe,” “expect,” “continue,” “potential,” “opportunity,” “forecast,” “should” and similar expressions, whether in the negative or affirmative, that reflect our current views with respect to future events and operational, economic and financial performance are intended to identify such forward-looking statements, but are not the exclusive means of identifying such statements. Such forward-looking statements are only predictions, and actual results and the timing of certain events and circumstances may differ materially from those described by the forward-looking statements as a result of risks and uncertainties. Factors that could cause actual results to differ materially from the results anticipated in these forward-looking statements are described in this Annual Report, including under the section entitled “Risk Factors,” and in our other reports filed with the Securities and Exchange Commission (the “SEC”). We advise you to carefully review the reports and documents we file from time to time with the SEC, particularly our annual reports on Form 10-K, our quarterly reports on Form 10-Q and our current reports on Form 8-K. The Company cautions readers that the forward-looking statements included in, or incorporated by reference into, this Annual Report on Form 10-K represent our beliefs, expectations, estimates and assumptions only as of the date hereof and are not intended to give any assurance as to future results. New factors emerge from time to time, and it is not possible for us to predict all of these factors. Further, we cannot assess the effect of each such factor on our business or the extent to which any factor, or combination of factors, may cause actual results to be materially different from those contained in any forward-looking statement.</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Readers are cautioned not to place undue reliance on forward-looking statements because of the risks and uncertainties related to them and to the risk factors. We disclaim any obligation to update the forward-looking statements contained in, or incorporated by reference into, this Annual Report to reflect any new information or future events or circumstances or otherwise, except as required by the federal securities laws.</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RISK FACTOR SUMMARY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Below is a summary of the material risks that make an investment in our common stock, par value $0.0001 per share ("Common Stock"), speculative or risky. This summary does not address all of the risks that we face. Additional discussion of the risks summarized in this risk factor summary, and other risks that we face, can be found under the heading “Risk Factors” in Part I, Item 1A of this Annual Report on Form 10-K and should be carefully considered, together with other information in this Form 10-K and our other filings with the SEC, before making an investment decision regarding our Common Stock. </w:t>
      </w:r>
    </w:p>
    <w:p>
      <w:pPr>
        <w:pStyle w:val="TextBody"/>
        <w:bidi w:val="0"/>
        <w:spacing w:before="0" w:after="0"/>
        <w:jc w:val="left"/>
        <w:rPr/>
      </w:pPr>
      <w:r>
        <w:rPr/>
        <w:t> </w:t>
      </w:r>
    </w:p>
    <w:p>
      <w:pPr>
        <w:pStyle w:val="TextBody"/>
        <w:bidi w:val="0"/>
        <w:jc w:val="left"/>
        <w:rPr>
          <w:rFonts w:ascii="Times New Roman" w:hAnsi="Times New Roman"/>
          <w:b/>
          <w:sz w:val="20"/>
          <w:u w:val="single"/>
        </w:rPr>
      </w:pPr>
      <w:r>
        <w:rPr>
          <w:rFonts w:ascii="Times New Roman" w:hAnsi="Times New Roman"/>
          <w:b/>
          <w:sz w:val="20"/>
          <w:u w:val="single"/>
        </w:rPr>
        <w:t xml:space="preserve">Risks Relating to Business and Industry </w:t>
      </w:r>
    </w:p>
    <w:p>
      <w:pPr>
        <w:pStyle w:val="TextBody"/>
        <w:numPr>
          <w:ilvl w:val="0"/>
          <w:numId w:val="2"/>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We have a history of operating losses and may never achieve or sustain profitability.</w:t>
      </w:r>
    </w:p>
    <w:p>
      <w:pPr>
        <w:pStyle w:val="TextBody"/>
        <w:numPr>
          <w:ilvl w:val="0"/>
          <w:numId w:val="2"/>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 xml:space="preserve">We may need to raise additional capital, which may not be available on favorable terms or at all, and which may cause dilution to our stockholders. </w:t>
      </w:r>
    </w:p>
    <w:p>
      <w:pPr>
        <w:pStyle w:val="TextBody"/>
        <w:numPr>
          <w:ilvl w:val="0"/>
          <w:numId w:val="2"/>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 xml:space="preserve">We are substantially dependent on sales of our BolaWrap product line and may not achieve broad market acceptance. </w:t>
      </w:r>
    </w:p>
    <w:p>
      <w:pPr>
        <w:pStyle w:val="TextBody"/>
        <w:numPr>
          <w:ilvl w:val="0"/>
          <w:numId w:val="2"/>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 xml:space="preserve">We may not be successful in commercializing our Wrap Reality VR training platform in a highly competitive market. </w:t>
      </w:r>
    </w:p>
    <w:p>
      <w:pPr>
        <w:pStyle w:val="TextBody"/>
        <w:numPr>
          <w:ilvl w:val="0"/>
          <w:numId w:val="2"/>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 xml:space="preserve">We operate in a highly competitive market and may not be able to compete effectively against larger, better capitalized companies. </w:t>
      </w:r>
    </w:p>
    <w:p>
      <w:pPr>
        <w:pStyle w:val="TextBody"/>
        <w:numPr>
          <w:ilvl w:val="0"/>
          <w:numId w:val="2"/>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 xml:space="preserve">Negative publicity, including from incidents in which our products perform as designed, could harm our reputation and reduce demand for our products. </w:t>
      </w:r>
    </w:p>
    <w:p>
      <w:pPr>
        <w:pStyle w:val="TextBody"/>
        <w:numPr>
          <w:ilvl w:val="0"/>
          <w:numId w:val="2"/>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 xml:space="preserve">Our sales to government customers are subject to lengthy procurement cycles, budget constraints, and political and policy changes. </w:t>
      </w:r>
    </w:p>
    <w:p>
      <w:pPr>
        <w:pStyle w:val="TextBody"/>
        <w:numPr>
          <w:ilvl w:val="0"/>
          <w:numId w:val="2"/>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 xml:space="preserve">Our recent expansion into drone and counter-UAS technologies may not be successful and subjects us to additional risks. </w:t>
      </w:r>
    </w:p>
    <w:p>
      <w:pPr>
        <w:pStyle w:val="TextBody"/>
        <w:numPr>
          <w:ilvl w:val="0"/>
          <w:numId w:val="2"/>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 xml:space="preserve">Our drone and counter-UAS products are subject to evolving regulations that could delay approvals, increase costs, or limit deployment. </w:t>
      </w:r>
    </w:p>
    <w:p>
      <w:pPr>
        <w:pStyle w:val="TextBody"/>
        <w:numPr>
          <w:ilvl w:val="0"/>
          <w:numId w:val="2"/>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 xml:space="preserve">We are exposed to product liability claims because our products are used in dangerous situations that may result in serious injury or death. </w:t>
      </w:r>
    </w:p>
    <w:p>
      <w:pPr>
        <w:pStyle w:val="TextBody"/>
        <w:numPr>
          <w:ilvl w:val="0"/>
          <w:numId w:val="2"/>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 xml:space="preserve">We depend on a limited number of suppliers, including sole-source suppliers, and supply chain disruptions could harm our business. </w:t>
      </w:r>
    </w:p>
    <w:p>
      <w:pPr>
        <w:pStyle w:val="TextBody"/>
        <w:numPr>
          <w:ilvl w:val="0"/>
          <w:numId w:val="2"/>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 xml:space="preserve">Our operations and products are vulnerable to cybersecurity threats that could disrupt our business and harm our reputation. </w:t>
      </w:r>
    </w:p>
    <w:p>
      <w:pPr>
        <w:pStyle w:val="TextBody"/>
        <w:numPr>
          <w:ilvl w:val="0"/>
          <w:numId w:val="2"/>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 xml:space="preserve">The evolving regulatory framework for AI technologies could affect our products and increase our compliance costs. </w:t>
      </w:r>
    </w:p>
    <w:p>
      <w:pPr>
        <w:pStyle w:val="TextBody"/>
        <w:numPr>
          <w:ilvl w:val="0"/>
          <w:numId w:val="2"/>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 xml:space="preserve">Our international operations subject us to additional risks, including currency fluctuations, export controls, and geopolitical instability. </w:t>
      </w:r>
    </w:p>
    <w:p>
      <w:pPr>
        <w:pStyle w:val="TextBody"/>
        <w:numPr>
          <w:ilvl w:val="0"/>
          <w:numId w:val="2"/>
        </w:numPr>
        <w:tabs>
          <w:tab w:val="clear" w:pos="1134"/>
          <w:tab w:val="left" w:pos="709" w:leader="none"/>
        </w:tabs>
        <w:bidi w:val="0"/>
        <w:ind w:left="709" w:hanging="283"/>
        <w:jc w:val="left"/>
        <w:rPr>
          <w:rFonts w:ascii="Times New Roman" w:hAnsi="Times New Roman"/>
          <w:sz w:val="20"/>
        </w:rPr>
      </w:pPr>
      <w:r>
        <w:rPr>
          <w:rFonts w:ascii="Times New Roman" w:hAnsi="Times New Roman"/>
          <w:sz w:val="20"/>
        </w:rPr>
        <w:t xml:space="preserve">Our BolaWrap device is classified as a firearm and regulated by the ATF, subjecting us to significant regulatory requirements. </w:t>
      </w:r>
    </w:p>
    <w:p>
      <w:pPr>
        <w:pStyle w:val="TextBody"/>
        <w:bidi w:val="0"/>
        <w:jc w:val="left"/>
        <w:rPr>
          <w:rFonts w:ascii="Times New Roman" w:hAnsi="Times New Roman"/>
          <w:b/>
          <w:sz w:val="20"/>
          <w:u w:val="single"/>
        </w:rPr>
      </w:pPr>
      <w:r>
        <w:rPr>
          <w:rFonts w:ascii="Times New Roman" w:hAnsi="Times New Roman"/>
          <w:b/>
          <w:sz w:val="20"/>
          <w:u w:val="single"/>
        </w:rPr>
        <w:t xml:space="preserve">Risks Relating to Intellectual Property </w:t>
      </w:r>
    </w:p>
    <w:p>
      <w:pPr>
        <w:pStyle w:val="TextBody"/>
        <w:numPr>
          <w:ilvl w:val="0"/>
          <w:numId w:val="3"/>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Our patents and other intellectual property rights may not adequately protect our products from competition.</w:t>
      </w:r>
    </w:p>
    <w:p>
      <w:pPr>
        <w:pStyle w:val="TextBody"/>
        <w:numPr>
          <w:ilvl w:val="0"/>
          <w:numId w:val="3"/>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We may be unable to prevent the unauthorized disclosure of our trade secrets and proprietary information.</w:t>
      </w:r>
    </w:p>
    <w:p>
      <w:pPr>
        <w:pStyle w:val="TextBody"/>
        <w:numPr>
          <w:ilvl w:val="0"/>
          <w:numId w:val="3"/>
        </w:numPr>
        <w:tabs>
          <w:tab w:val="clear" w:pos="1134"/>
          <w:tab w:val="left" w:pos="709" w:leader="none"/>
        </w:tabs>
        <w:bidi w:val="0"/>
        <w:ind w:left="709" w:hanging="283"/>
        <w:jc w:val="left"/>
        <w:rPr>
          <w:rFonts w:ascii="Times New Roman" w:hAnsi="Times New Roman"/>
          <w:spacing w:val="0"/>
          <w:sz w:val="20"/>
        </w:rPr>
      </w:pPr>
      <w:r>
        <w:rPr>
          <w:rFonts w:ascii="Times New Roman" w:hAnsi="Times New Roman"/>
          <w:spacing w:val="0"/>
          <w:sz w:val="20"/>
        </w:rPr>
        <w:t>Third parties may assert that our products infringe their intellectual property rights, which could be costly to defend.</w:t>
      </w:r>
    </w:p>
    <w:p>
      <w:pPr>
        <w:pStyle w:val="TextBody"/>
        <w:bidi w:val="0"/>
        <w:jc w:val="left"/>
        <w:rPr>
          <w:rFonts w:ascii="Times New Roman" w:hAnsi="Times New Roman"/>
          <w:b/>
          <w:sz w:val="20"/>
          <w:u w:val="single"/>
        </w:rPr>
      </w:pPr>
      <w:r>
        <w:rPr>
          <w:rFonts w:ascii="Times New Roman" w:hAnsi="Times New Roman"/>
          <w:b/>
          <w:sz w:val="20"/>
          <w:u w:val="single"/>
        </w:rPr>
        <w:t xml:space="preserve">Risks Relating to Preferred Stock </w:t>
      </w:r>
    </w:p>
    <w:p>
      <w:pPr>
        <w:pStyle w:val="TextBody"/>
        <w:numPr>
          <w:ilvl w:val="0"/>
          <w:numId w:val="4"/>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 xml:space="preserve">Our Series A Convertible Preferred Stock, par value $0.0001 per share ("Series A Preferred Stock") contains anti-dilution and dividend provisions that may result in significant dilution to holders of our Common Stock. </w:t>
      </w:r>
    </w:p>
    <w:p>
      <w:pPr>
        <w:pStyle w:val="TextBody"/>
        <w:numPr>
          <w:ilvl w:val="0"/>
          <w:numId w:val="4"/>
        </w:numPr>
        <w:tabs>
          <w:tab w:val="clear" w:pos="1134"/>
          <w:tab w:val="left" w:pos="709" w:leader="none"/>
        </w:tabs>
        <w:bidi w:val="0"/>
        <w:ind w:left="709" w:hanging="283"/>
        <w:jc w:val="left"/>
        <w:rPr>
          <w:rFonts w:ascii="Times New Roman" w:hAnsi="Times New Roman"/>
          <w:sz w:val="20"/>
        </w:rPr>
      </w:pPr>
      <w:r>
        <w:rPr>
          <w:rFonts w:ascii="Times New Roman" w:hAnsi="Times New Roman"/>
          <w:sz w:val="20"/>
        </w:rPr>
        <w:t xml:space="preserve">Covenants in our financing documents may restrict our ability to obtain additional financing.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left"/>
        <w:rPr/>
      </w:pPr>
      <w:r>
        <w:rPr/>
        <w:t> </w:t>
      </w:r>
    </w:p>
    <w:p>
      <w:pPr>
        <w:pStyle w:val="TextBody"/>
        <w:bidi w:val="0"/>
        <w:jc w:val="left"/>
        <w:rPr>
          <w:rFonts w:ascii="Times New Roman" w:hAnsi="Times New Roman"/>
          <w:b/>
          <w:sz w:val="20"/>
          <w:u w:val="single"/>
        </w:rPr>
      </w:pPr>
      <w:r>
        <w:rPr>
          <w:rFonts w:ascii="Times New Roman" w:hAnsi="Times New Roman"/>
          <w:b/>
          <w:sz w:val="20"/>
          <w:u w:val="single"/>
        </w:rPr>
        <w:t xml:space="preserve">Risks Relating to Common Stock </w:t>
      </w:r>
    </w:p>
    <w:p>
      <w:pPr>
        <w:pStyle w:val="TextBody"/>
        <w:numPr>
          <w:ilvl w:val="0"/>
          <w:numId w:val="5"/>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 xml:space="preserve">The market price of our Common Stock has been and may continue to be volatile. </w:t>
      </w:r>
    </w:p>
    <w:p>
      <w:pPr>
        <w:pStyle w:val="TextBody"/>
        <w:numPr>
          <w:ilvl w:val="0"/>
          <w:numId w:val="5"/>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 xml:space="preserve">We have been and may in the future be subject to securities litigation, which is costly and diverts management's attention. </w:t>
      </w:r>
    </w:p>
    <w:p>
      <w:pPr>
        <w:pStyle w:val="TextBody"/>
        <w:numPr>
          <w:ilvl w:val="0"/>
          <w:numId w:val="5"/>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 xml:space="preserve">We may fail to meet Nasdaq's continued listing requirements, which could result in delisting of our Common Stock. </w:t>
      </w:r>
    </w:p>
    <w:p>
      <w:pPr>
        <w:pStyle w:val="TextBody"/>
        <w:numPr>
          <w:ilvl w:val="0"/>
          <w:numId w:val="5"/>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 xml:space="preserve">Future issuances of our Common Stock or securities convertible into Common Stock may dilute existing stockholders. </w:t>
      </w:r>
    </w:p>
    <w:p>
      <w:pPr>
        <w:pStyle w:val="TextBody"/>
        <w:numPr>
          <w:ilvl w:val="0"/>
          <w:numId w:val="5"/>
        </w:numPr>
        <w:tabs>
          <w:tab w:val="clear" w:pos="1134"/>
          <w:tab w:val="left" w:pos="709" w:leader="none"/>
        </w:tabs>
        <w:bidi w:val="0"/>
        <w:ind w:left="709" w:hanging="283"/>
        <w:jc w:val="left"/>
        <w:rPr>
          <w:rFonts w:ascii="Times New Roman" w:hAnsi="Times New Roman"/>
          <w:sz w:val="20"/>
        </w:rPr>
      </w:pPr>
      <w:r>
        <w:rPr>
          <w:rFonts w:ascii="Times New Roman" w:hAnsi="Times New Roman"/>
          <w:sz w:val="20"/>
        </w:rPr>
        <w:t xml:space="preserve">We have never paid dividends and do not expect to pay dividends for the foreseeable future. </w:t>
      </w:r>
    </w:p>
    <w:p>
      <w:pPr>
        <w:pStyle w:val="TextBody"/>
        <w:bidi w:val="0"/>
        <w:jc w:val="left"/>
        <w:rPr>
          <w:rFonts w:ascii="Times New Roman" w:hAnsi="Times New Roman"/>
          <w:b/>
          <w:sz w:val="20"/>
          <w:u w:val="single"/>
        </w:rPr>
      </w:pPr>
      <w:r>
        <w:rPr>
          <w:rFonts w:ascii="Times New Roman" w:hAnsi="Times New Roman"/>
          <w:b/>
          <w:sz w:val="20"/>
          <w:u w:val="single"/>
        </w:rPr>
        <w:t xml:space="preserve">General Risk Factors </w:t>
      </w:r>
    </w:p>
    <w:p>
      <w:pPr>
        <w:pStyle w:val="TextBody"/>
        <w:numPr>
          <w:ilvl w:val="0"/>
          <w:numId w:val="6"/>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 xml:space="preserve">Our disclosure controls and internal controls over financial reporting have inherent limitations. </w:t>
      </w:r>
    </w:p>
    <w:p>
      <w:pPr>
        <w:pStyle w:val="TextBody"/>
        <w:numPr>
          <w:ilvl w:val="0"/>
          <w:numId w:val="6"/>
        </w:numPr>
        <w:tabs>
          <w:tab w:val="clear" w:pos="1134"/>
          <w:tab w:val="left" w:pos="709" w:leader="none"/>
        </w:tabs>
        <w:bidi w:val="0"/>
        <w:ind w:left="709" w:hanging="283"/>
        <w:jc w:val="left"/>
        <w:rPr>
          <w:rFonts w:ascii="Times New Roman" w:hAnsi="Times New Roman"/>
          <w:sz w:val="20"/>
        </w:rPr>
      </w:pPr>
      <w:r>
        <w:rPr>
          <w:rFonts w:ascii="Times New Roman" w:hAnsi="Times New Roman"/>
          <w:sz w:val="20"/>
        </w:rPr>
        <w:t xml:space="preserve">We incur significant costs as a result of operating as a public company. </w:t>
      </w:r>
    </w:p>
    <w:p>
      <w:pPr>
        <w:pStyle w:val="TextBody"/>
        <w:bidi w:val="0"/>
        <w:spacing w:before="0" w:after="0"/>
        <w:jc w:val="both"/>
        <w:rPr>
          <w:rFonts w:ascii="Times New Roman" w:hAnsi="Times New Roman"/>
          <w:sz w:val="24"/>
        </w:rPr>
      </w:pPr>
      <w:r>
        <w:rPr>
          <w:rFonts w:ascii="Times New Roman" w:hAnsi="Times New Roman"/>
          <w:b/>
          <w:sz w:val="20"/>
        </w:rPr>
        <w:t>Use of Market and Industry Data</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This Annual Report on Form 10-K includes market and industry data that we have obtained from third party sources, including industry publications, as well as industry data prepared by our management based on its knowledge of and experience in the industries in which we operate (including our management’s estimates and assumptions relating to such industries based on that knowledge). Management has developed its knowledge of such industries through its experience and participation in these industries. While our management believes the third-party sources referred to in this Annual Report on Form 10-K are reliable, neither we nor our management have independently verified any of the data from such sources referred to in this Annual Report or ascertained the underlying economic assumptions relied upon by such sources. Furthermore, references in this Annual Report to any publications, reports, surveys or articles prepared by third parties should not be construed as depicting the complete findings of the entire publication, report, survey or article. The information in any such publication, report, survey or article is not incorporated by reference in this Annual Report on Form 10-K.</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Forecasts and other forward-looking information obtained from these sources involve risks and uncertainties and are subject to change based on various factors, including those discussed in sections entitled “Cautionary Note Regarding Forward-Looking Statements,” “Item 1A. Risk Factors” and “Item 7. Management’s Discussion and Analysis of Financial Condition and Results of Operations” in this Annual Report.</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TRADEMARKS, TRADE NAMES AND SERVICE MARKS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Our trademarks include Wrap, the Wrap logo, BolaWrap®, Wrap Reality™, Intrensic, Evidence on A Cloud, WrapVision, WrapTactics, Non-Lethal Response and DFR-X, some of which are registered trademarks in the U.S. and certain other jurisdictions. They, along with our other common law trademarks, service marks or trade names appearing in this Annual Report are the property of the Company. Other trademarks, service marks or trade names appearing in this Annual Report are the property of their owners. We do not intend our use or display of other companies’ trade names or trademarks to imply a relationship with, or endorsement of or sponsorship of us by, any other companies. Solely for convenience, we have omitted the ® and ™ designations, as applicable, for the trademarks used in this Annual Report, but such references are not intended to indicate in any way that we will not assert, to the fullest extent under applicable law, our rights to these trademarks and trade names.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center"/>
        <w:rPr>
          <w:rFonts w:ascii="Times New Roman" w:hAnsi="Times New Roman"/>
          <w:sz w:val="24"/>
        </w:rPr>
      </w:pPr>
      <w:r>
        <w:rPr>
          <w:rFonts w:ascii="Times New Roman" w:hAnsi="Times New Roman"/>
          <w:b/>
          <w:sz w:val="20"/>
        </w:rPr>
        <w:t>PART I</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bookmarkStart w:id="4" w:name="ITEM_1_BUSINESS"/>
      <w:bookmarkEnd w:id="4"/>
      <w:r>
        <w:rPr>
          <w:rFonts w:ascii="Times New Roman" w:hAnsi="Times New Roman"/>
          <w:b/>
          <w:sz w:val="20"/>
        </w:rPr>
        <w:t>ITEM 1. BUSINESS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Overview</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We are a global public safety technology and services company focused on delivering integrated non-lethal solutions for law enforcement, corrections, defense, and other public safety organizations worldwide. Our mission is to enable safer outcomes by providing officers and agencies with the tools, training, and tactics to gain proactive, lawful control of encounters, reducing risk to both officers and subjects, while preserving tactical advantage.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We began sales of our first public safety product, the BolaWrap® 100 device, in late 2018. In the first quarter of 2022, we introduced the BolaWrap® 150, a next</w:t>
        <w:noBreakHyphen/>
        <w:t>generation, electronically deployed device that is more robust, smaller, lighter, and simpler to deploy than the BolaWrap 100, which has since been phased out. In December 2020, we acquired NSENA Inc. ("NSENA"), a provider of immersive virtual reality training for law enforcement utilizing proprietary software-enabled content and computer graphics simulation. This acquisition provided the foundation for Wrap Reality™, our virtual reality ("virtual reality" or “VR”) training platform designed for law enforcement simulation training and correctional reentry scenarios.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In August 2023, we acquired Intrensic, LLC, a Delaware limited liability company (“Intrensic”), which added body</w:t>
        <w:noBreakHyphen/>
        <w:t xml:space="preserve">worn camera ("body-worn cameras" or “BWC”) and digital evidence management ("digital evidence management" or “DEM”) capabilities to our portfolio.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During 2025, we continued our transition from a single-product company into a diversified public safety technology and services company delivering integrated non-lethal solutions that combine tools, training, and tactics. This transition included expanding our product portfolio, advancing our training and software platforms, entering adjacent defense and homeland security markets, and strengthening our commercial and leadership infrastructure. While we continued to incur operating losses during the year, we implemented cost containment initiatives and focused on aligning our operating structure with our near- and long-term strategic priorities. </w:t>
      </w:r>
      <w:r>
        <w:rPr>
          <w:rFonts w:ascii="Times New Roman" w:hAnsi="Times New Roman"/>
          <w:spacing w:val="0"/>
          <w:sz w:val="20"/>
        </w:rPr>
        <w:t>We expanded our product portfolio with the launch of WrapTactics™, a digital training platform designed to integrate human-factors awareness, decision-making under stress, and tactical proficiency agency-wide; and WrapVision™, a North America assembled body worn camera solution designed to meet federal procurement and data sovereignty requirements. We also advanced several counter unmanned aircraft system ("counter unmanned aircraft system" or “CUAS”) initiatives, including the MERLIN™ program, which apply our proprietary tether deployment technology to non-lethal drone interdiction and defense applications. These initiatives are intended to broaden our addressable market beyond traditional policing into defense, homeland security, and critical infrastructure protection, while maintaining our core focus on providing integrated tools, training, and tactics that give officers proactive, lawful control of encounters and support safer outcomes for officers, subjects and the communities they serve.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On September 19, 2025, we formed a new wholly-owned subsidiary of the Company, Wrap Federal, LLC (“Wrap Federal”), under the laws of the State of Delaware. Wrap Federal was established for the purpose of supporting U.S. federal government clients in the Department of Defense, Department of Homeland Security, and other federal agencies. We believe a continued focus on integrating our systems into existing federal frameworks supports our goal of becoming a fully integrated federal public safety and defense technology enterprise.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On February 18, 2025, we entered into an Asset Purchase Agreement with W1 Global, LLC (“W1”), a Delaware limited liability company (the “W1 Purchase Agreement”), dated as of February 18, 2025, pursuant to which, subject to the terms and conditions set forth therein, we acquired substantially all the assets of W1 used in, held for use in or relating to the business of advisory and investigative professional services, which were primarily the customer contracts assigned at the closing (collectively, the “Acquired Assets”), for a nominal purchase price. We acquired W1 to integrate technology enablement into its core offerings and expand into managed technology services supporting the BolaWrap go-to market strategy.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Following a third-quarter evaluation, the Company determined that W1’s investigative services were not essential to Wrap’s domestic or international expansion; however, customers strongly valued managed services related to policy and training. As a result, Wrap will continue focusing on technology enabled services in policy governance and training to advance the next era of non-lethal technology development, delivering an integrated response package that combines technology with the support, policy alignment, and governance needed for adoption at the state and federal levels.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b/>
          <w:sz w:val="20"/>
        </w:rPr>
      </w:pPr>
      <w:r>
        <w:rPr>
          <w:rFonts w:ascii="Times New Roman" w:hAnsi="Times New Roman"/>
          <w:b/>
          <w:sz w:val="20"/>
        </w:rPr>
        <w:t>Industry Background</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Public safety agencies worldwide operate under growing expectations for accountability, proportional use of force, and transparency in encounters with the public. The prevalence of body-worn cameras, bystander video, and real-time media coverage has created an environment in which officers are expected to demonstrate measured, defensible decision-making in dynamic and often unpredictable situations. At the same time, law enforcement encounters involving individuals in mental health crisis, substance-related impairment, or emotional disturbance continue to rise, placing additional demands on officers who must resolve these encounters safely while managing legal, tactical, and public perception risks.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These dynamics are driving demand across the public safety sector for tools, training, and operational frameworks that give officers the ability to gain proactive, lawful control of encounters earlier, before situations escalate to the point where higher-force options may be the only alternative. Traditional force options available to officers, including conducted energy weapons, chemical agents, impact projectiles, and batons, rely on pain compliance or neuromuscular incapacitation to gain control. While effective in certain circumstances, these tools carry inherent risks of injury and are often perceived by officers as too high a level of force to deploy early in an encounter, particularly when the subject has not yet become physically combative. This creates an operational gap between verbal commands and pain-compliance tools in which officers frequently have limited options.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Our BolaWrap product line is designed to address this gap by giving officers a non-lethal option that creates a controlled interruption through sight, sound, and sensation, providing time, space, and tactical advantage to manage the encounter before contact distance collapses, and without relying on pain compliance. We believe the adoption of non-lethal tools like BolaWrap can reduce the frequency and severity of use-of-force incidents, potentially lowering the legal, financial, and reputational costs associated with excessive force claims, settlements, and related litigation. More broadly, we believe that equipping officers with integrated non-lethal solutions that combine tools, training, and tactics can improve community trust and strengthen the relationship between public safety agencies and the communities they 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Our goal is to equip every public safety officer and agency with an integrated system of non-lethal tools, training, and tactics that they carry and apply every day, supporting safer outcomes for officers, subjects, and the public.</w:t>
      </w:r>
    </w:p>
    <w:p>
      <w:pPr>
        <w:pStyle w:val="TextBody"/>
        <w:bidi w:val="0"/>
        <w:spacing w:before="0" w:after="0"/>
        <w:jc w:val="both"/>
        <w:rPr/>
      </w:pPr>
      <w:r>
        <w:rPr/>
        <w:t>  </w:t>
      </w:r>
    </w:p>
    <w:p>
      <w:pPr>
        <w:pStyle w:val="TextBody"/>
        <w:bidi w:val="0"/>
        <w:spacing w:before="0" w:after="0"/>
        <w:jc w:val="both"/>
        <w:rPr>
          <w:rFonts w:ascii="Times New Roman" w:hAnsi="Times New Roman"/>
          <w:b/>
          <w:sz w:val="20"/>
        </w:rPr>
      </w:pPr>
      <w:r>
        <w:rPr>
          <w:rFonts w:ascii="Times New Roman" w:hAnsi="Times New Roman"/>
          <w:b/>
          <w:sz w:val="20"/>
        </w:rPr>
        <w:t>Markets and Customers</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We participate in multiple segments of the global public safety and defense technology markets. Our addressable markets include the non-lethal tools market, the law enforcement and public safety training market, the body-worn camera and digital evidence management market, and the emerging counter-unmanned aircraft system market. The following describes our principal market opportunities: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Domestic and International Law Enforcement: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Our products and services are primarily targeted at federal, state, and local law enforcement agencies in the United States. According to the Bureau of Justice Statistics, </w:t>
      </w:r>
      <w:r>
        <w:rPr>
          <w:rFonts w:ascii="Times New Roman" w:hAnsi="Times New Roman"/>
          <w:sz w:val="20"/>
          <w:shd w:fill="FFFFFF" w:val="clear"/>
        </w:rPr>
        <w:t>as of March 2025 th</w:t>
      </w:r>
      <w:r>
        <w:rPr>
          <w:rFonts w:ascii="Times New Roman" w:hAnsi="Times New Roman"/>
          <w:sz w:val="20"/>
        </w:rPr>
        <w:t xml:space="preserve">ere are more than 18,000 law enforcement agencies and approximately 900,000 full-time sworn law enforcement officers in the U.S., including over 100,000 full-time federal officers. Our product and service portfolio, including BolaWrap, WrapTactics, Wrap Reality, and WrapVision, is designed to serve the operational needs of these agencies across tools and training.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We have also identified an international market opportunity encompassing an estimated 12 million police officers across more than 190 countries. We have shipped our products to over 60 countries and maintain a network of international distributors. We anticipate that international markets will represent a meaningful portion of our sales over time, driven in part by the centralized procurement decision-making processes common in many countries with large national police forces. Conversely, the U.S. market is more fragmented, with a large number of smaller agencies and longer procurement and sales cycles. International sales may be uneven from period to period due to the timing of national-level purchase decisions and the relatively large size of individual orders.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Non-Lethal Tools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According to Straits Research, the global non-lethal weapons market was valued at approximately $9.9 billion in 2024 and is expected to grow to approximately $19.1 billion by 2033, representing a compound annual growth rate of 7.6%. We believe that BolaWrap occupies a distinct position within this market because it does not rely on pain compliance or neuromuscular incapacitation, differentiating it from most existing non-lethal force options and addressing the operational gap described above.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i/>
          <w:sz w:val="20"/>
        </w:rPr>
      </w:pPr>
      <w:r>
        <w:rPr>
          <w:rFonts w:ascii="Times New Roman" w:hAnsi="Times New Roman"/>
          <w:i/>
          <w:sz w:val="20"/>
        </w:rPr>
        <w:t xml:space="preserve">Correctional Facilities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According to the U.S. Bureau of Justice Statistics ("Census of State and Federal Correctional Facilities, 2019," published November 2022), there were approximately 240,000 correctional officers in over 1,000 federal and state correctional facilities in the United States. Most correctional facilities fall under federal, state, or local jurisdiction and we believe these facilities represent a meaningful market for our products and services, including the use of Wrap Reality for law enforcement and societal reentry training, WrapTactics for officer readiness and skill retention, BolaWrap for use within and around correctional environments, and WrapVision body-worn cameras and our digital evidence management platform to support transparency, incident documentation, and evidentiary requirements within correctional settings.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Law Enforcement Training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According to Coherent Market Insights, the U.S. law enforcement training market was valued at approximately $4.0 billion in 2025 and is expected to reach approximately $5.4 billion by 2032, representing a compound annual growth rate of 4.5%. The market is experiencing growing adoption of virtual reality and simulation-based training, as well as increased focus on decision-making, human-factors awareness, and use-of-force judgment. Our Wrap Reality VR platform and WrapTactics digital training subscription are designed to participate in this market, offering agencies both immersive scenario-based simulation and continuous, low-burden digital training that helps prevent skill decay and sustain tactical readiness between in-person training events.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Body-Worn Cameras and Digital Evidence Management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body-worn camera and digital evidence management markets are driven by growing government mandates, public expectations for transparency, and increasing adoption of cloud-based, AI-enabled evidence platforms. According to Mordor Intelligence, the global body-worn camera market was valued at approximately $2.9 billion in 2025 and is expected to reach approximately $4.1 billion by 2030, with law enforcement agencies representing the largest end-user segment. Separately, the global evidence management market was estimated at approximately $9.7 billion in 2025 and is expected to reach approximately $16.1 billion by 2030, representing a compound annual growth rate of 10.8%. Our WrapVision body-worn camera and cloud-based digital evidence management platform are designed to serve agencies seeking integrated accountability and evidence solutions that complement their non-lethal and training investments.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Counter-Unmanned Aircraft Systems (C-UAS)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According to MarketsandMarkets, the global counter-unmanned aircraft system market is estimated at approximately $6.6 billion in 2025 and is projected to reach approximately $20.3 billion by 2030, representing a compound annual growth rate of 25.1%. North America is projected to be the fastest-growing region, driven by defense spending, homeland security initiatives, and increasing drone-related threats to critical infrastructure. Through our MERLIN program, as well as additional research and development initiatives, we are applying our proprietary mechanical entanglement technology and modular cassette-based platform architecture to address non-lethal drone interdiction requirements across defense, homeland security, and critical-infrastructure protection missions. These programs remain in various stages of development and evaluation.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Private Security Firms and Guard Services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According to the Bureau of Labor Statistics, there were approximately 1.1 million privately employed security guards in the United States. They represent a broad range of individuals, including those employed by investigation and security services, hospitals, schools, local government, and others. We believe that the use of BolaWrap by security personnel could effectively provide a proactive, non-lethal option to gain control of encounters without relying on higher-force alternatives, potentially reducing the liability exposure of private security companies and their personnel. Currently, the Bureau of Alcohol, Tobacco, Firearms and Explosives ("ATF") classifications restrict the ease of transfer of BolaWrap to non-government security firms. We believe this classification is overly restrictive and we continue to work with the ATF and other regulatory bodies to pursue reclassification of our non-lethal products. It is important to note that countries in which we have international customers do not impose similar transfer or possession restrictions on non-lethal BolaWrap devices, and we believe this should be the future for BolaWrap in the United States.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Defense and Homeland Security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Through Wrap Federal, our wholly-owned subsidiary established in 2025, we have created a dedicated entity to support future engagement with U.S. federal government customers, including agencies within the Department of Defense, Department of Homeland Security, and other federal organizations. We believe our non-lethal tools, training platforms, body-worn camera and cloud-based digital evidence management platform and C-UAS technologies have potential applications across multiple defense and federal law enforcement use cases. The formation of Wrap Federal is intended to position us to more effectively navigate the procurement, compliance, and security requirements that are typical of federal government contracting as we seek to develop relationships within these markets.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6</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b/>
          <w:sz w:val="20"/>
        </w:rPr>
      </w:pPr>
      <w:r>
        <w:rPr>
          <w:rFonts w:ascii="Times New Roman" w:hAnsi="Times New Roman"/>
          <w:b/>
          <w:sz w:val="20"/>
        </w:rPr>
        <w:t>Products and Solutions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Our core product and service offerings are designed to provide officers and agencies with integrated non-lethal tools, training, and tactics that support safer outcomes, and sustained readiness across the public safety ecosystem. We focus our efforts on the following:</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BolaWrap®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Our BolaWrap product line is a handheld, non-lethal device designed to give officers a proactive tactical option by deploying a Kevlar® tether that entangles the arms and/or legs, limiting a subject's mobility and balance. The BolaWrap 150 employs electronic deployment, improved reliability, enhanced durability, and reduced weight compared to prior generations. Upon deployment, the device creates a controlled interruption through sight, sound, and sensation, giving officers time, space, and tactical advantage to intervene earlier and manage encounters before contact distance collapses. BolaWrap is sold with proprietary cassettes that are consumed upon each deployment and must be replaced, providing a recurring consumable revenue stream.</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i/>
          <w:sz w:val="20"/>
        </w:rPr>
        <w:t>Wrap Reality™ Virtual Reality Training</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Wrap Reality is an immersive VR training platform providing scenario-based training focused on human-factors awareness, decision making under stress, and use of force judgment. The platform is designed to build and sustain the cognitive and tactical skills officers need to recognize intervention points, manage distance and positioning, and apply proportional, lawful responses in dynamic environments. Wrap Reality supports law enforcement, corrections, and societal reentry training and offers a growing library of configurable scenarios, including 45 scenarios for law enforcement and corrections and 15 scenarios for societal reentry. Wrap Reality may be deployed on premises or through cloud enabled environments and supports data capture, replay, and performance review.</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i/>
          <w:sz w:val="20"/>
        </w:rPr>
        <w:t>WrapTactics™ Digital Training Platform</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Launched in 2025, WrapTactics is a subscription based digital training and performance platform aimed at delivering short form, scenario-based instruction focused on non-lethal response tactics, decision-making under stress, and follow-on lawful control techniques. The platform is designed to prevent skill decay by providing continuous, low-burden training that reinforces the tactical fundamentals (distance, positioning, timing, and force decision-making) that officers rely on in dynamic encounters. WrapTactics complements our hardware and VR offerings and supports recurring revenue opportunities through bundled training and service offerings.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i/>
          <w:sz w:val="20"/>
        </w:rPr>
        <w:t>WrapVision™ Body</w:t>
        <w:noBreakHyphen/>
        <w:t>Worn Camera and Digital Evidence Management</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WrapVision, launched in 2025, is a body-worn camera solution assembled in North America and designed to meet federal procurement and data-sovereignty requirements. WrapVision replaces our prior-generation Intrensic X2 camera hardware and serves as the front-end capture device within our digital evidence management ecosystem. Our cloud-based DEM platform provides unlimited video storage along with video and evidence uploading, search, retrieval, redaction, and evidence sharing capabilities, reducing the resources agencies require to manage digital evidence. Together, WrapVision and our DEM platform provide agencies with integrated accountability and transparency tools that complement our non-lethal and training solutions. WrapVision builds on the Intrensic acquisition and reflects our strategy to deliver integrated solutions for public safety.</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i/>
          <w:sz w:val="20"/>
        </w:rPr>
        <w:t>Counter-Unmanned Aircraft Systems (C-UAS) and Defense Applications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During 2025, we expanded research, development, and demonstration efforts applying our tether deployment technology to counter UAS applications. MERLIN is designed to leverage the same self-contained cassette architecture underlying the BolaWrap platform, adapting it for non-lethal drone interdiction capabilities across defense, homeland security, and critical-infrastructure protection missions. These initiatives remain in various stages of development and evaluation and are subject to government testing, funding, and procurement timelines.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7</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b/>
          <w:sz w:val="20"/>
        </w:rPr>
      </w:pPr>
      <w:r>
        <w:rPr>
          <w:rFonts w:ascii="Times New Roman" w:hAnsi="Times New Roman"/>
          <w:b/>
          <w:sz w:val="20"/>
        </w:rPr>
        <w:t xml:space="preserve">Sales, Marketing, and Distribution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Our sales, marketing, and training organizations work together to drive revenue growth by building market awareness of our integrated non-lethal solutions, generating qualified leads, developing a strong sales pipeline, and cultivating long-term relationships with customers and distribution partners. Our training capabilities not only support sales adoption but also generate revenue independently, as agencies place significant value on our professional training services.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Sales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Our primary target market is law enforcement agencies in the United States and internationally. The purchasing decision for our products and services is typically made by a group that may include agency leadership, procurement officials, training coordinators, use-of-force policy advisors, and in some cases political decision-makers such as city council members. The decision-making process can range from several weeks to over a year, influenced by budgetary constraints, policy review cycles, and multi-stakeholder approval requirements.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Our sales model has evolved from a single-product demonstration approach into a broader, solution-based engagement that integrates our full portfolio of non-lethal tools, training platforms, body-worn cameras, and digital evidence management capabilities. We leverage product demonstrations, field deployment footage captured on body-worn cameras, and integrated solution presentations to build the case for agency-wide adoption. Our goal is to convert initial engagement into long-term, multi-product customer relationships that include both product sales and recurring technology-enabled service subscriptions.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We generate revenue through two primary streams: product sales and technology-enabled services. Product sales include BolaWrap devices, cassettes, accessories, body-worn cameras, and Wrap Reality VR hardware and related equipment. Technology-enabled services include software subscriptions for WrapTactics and our digital evidence management platform, as well as managed services, policy support, and professional training services. We are focused on expanding our technology-enabled services revenue as we deepen customer relationships through programmatic training and service delivery models.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Distribution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We sell our products and services primarily through our internal sales team, supplemented by a network of distributors, resellers, and strategic partners. While we initially adopted a channel-first distribution model in 2019, we have since shifted to a direct sales approach as our primary go-to-market strategy, leveraging distribution partners and strategic relationships to extend our reach into markets and customer segments where local presence, specialized expertise, or established procurement relationships add value.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We maintain distribution coverage across all 50 U.S. states and have shipped our products to over 60 countries. Our domestic and international distribution agreements generally provide certain territorial rights, require minimum sales and follow-on performance commitments, and allow us to sell direct to customers where performance thresholds are not met or where direct engagement better serves the customer relationship.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We are also actively pursuing strategic partnerships with organizations that can extend our reach, enhance our technology integration capabilities, and strengthen our position across federal, defense, and international markets.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On October 2, 2025, we announced a strategic partnership with a government-focused technology aggregator, Carahsoft Technology Corp. (“Carahsoft”) to expand access to our products and services across federal, state, and local government agencies through established procurement vehicles. Under the agreement, Carahsoft will serve as Wrap's Master Government Aggregator, making our portfolio of technologies available to the public sector through Carahsoft's reseller partners and National Association of State Procurements Officials (NASPO) ValuePoint and OMNIA Partners contracts.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In November 2025, we partnered with a U.S.-based manufacturing and technology engineering firm to expand our domestic supply chain and support scalable, Made-in-America production of our non-lethal response and C-UAS platforms.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8</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i/>
          <w:sz w:val="20"/>
        </w:rPr>
      </w:pPr>
      <w:r>
        <w:rPr>
          <w:rFonts w:ascii="Times New Roman" w:hAnsi="Times New Roman"/>
          <w:i/>
          <w:sz w:val="20"/>
        </w:rPr>
        <w:t xml:space="preserve">Marketing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Prospective customers become aware of our solutions through a variety of channels, including social media, digital advertising, media coverage, press releases, web presence, direct sales outreach, and public relations efforts. We also leverage body-worn camera footage of successful field deployments to demonstrate the real-world effectiveness of our products, which serves as a powerful lead generation and credibility-building tool across our broader portfolio. Once a lead is generated, it is qualified by our inside sales team, and a sales representative or distribution partner engages with the prospective customer to discuss their operational needs and the solutions we offer.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We track our marketing and sales activities to provide visibility into lead flow, pipeline development, and conversion metrics. Our marketing team engages with law enforcement agencies, public safety personnel, and risk management organizations to educate them on the benefits of our integrated non-lethal solutions. We participate in select domestic and international trade shows, conferences, and industry events that we believe offer the highest return on our investment in market visibility and direct customer engagement.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Training, Demonstration, and Customer Success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We maintain a dedicated team focused on conducting demonstrations, delivering professional training, and supporting post-sale customer success. We offer in-person training, webinar-based instruction, and digital training through our WrapTactics platform. Training may occur before or after the initial purchase or deployment of our products. We believe that providing comprehensive training and demonstrations to law enforcement officers and agency trainers increases their support for purchasing, deploying, and sustaining the use of our products within their departments.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Our training model is anchored by the Wrap "Train the Trainer" program, established in October 2018. Under this program, our Master Instructors certify agency-level BolaWrap Instructors, who then train front-line officers in compliance with their department's policies. BolaWrap Instructors are typically sworn law enforcement officers who serve as department trainers, defensive tactics instructors, or tactical team members. They complete a certification course that includes a written examination and demonstrated proficiency in deploying the BolaWrap. Instructor certification is valid for two years and requires renewal.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Agencies that adopt BolaWrap typically incorporate it into their use-of-force policies as a proactive, non-lethal tool that officers may deploy early in an encounter to gain time, space, and tactical advantage before resorting to higher-force options. BolaWrap is generally classified at the lowest force level within agency policies, below pain-compliance tools such as chemical agents, impact projectiles, conducted energy weapons, and batons. Many departments that deploy BolaWrap agency-wide integrate it into their broader in-service training rotations, incorporating BolaWrap deployment into scenario-based exercises across a range of operational contexts, including encounters with individuals experiencing mental health crisis, warrant service, and apprehension scenarios.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We believe that our investment in training infrastructure, instructor certification, digital training delivery, and post-sale customer success creates a meaningful competitive advantage and a significant barrier to new competition. Our training and support capabilities are designed to serve agencies of all sizes and to deepen customer engagement over time through recurring training services and technology-enabled support.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9</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b/>
          <w:sz w:val="20"/>
        </w:rPr>
      </w:pPr>
      <w:r>
        <w:rPr>
          <w:rFonts w:ascii="Times New Roman" w:hAnsi="Times New Roman"/>
          <w:b/>
          <w:sz w:val="20"/>
        </w:rPr>
        <w:t xml:space="preserve">Manufacturing and Supply Chain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We believe that maintaining scalable, domestically based assembly and manufacturing capabilities is critical to the performance of our products, the growth of our business, and our ability to meet the procurement requirements of federal, defense, and international customers. We are committed to strengthening our domestic manufacturing footprint and supply chain as part of our broader strategy to support Made in America production across our product portfolio.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Manufacturing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Our assembly processes involve specialized systems, materials, and quality control procedures. We contract with third-party suppliers to produce various parts, components, and subassemblies, and we perform final assembly, testing, quality verification, and shipping at our manufacturing facility. We established initial production in Las Vegas in 2018 and relocated to a facility in Arizona in October 2019. In September 2025, we completed a move to a new facility in Norton, Virginia, which provides significantly expanded capacity compared to our prior location. The Norton facility supports our current production requirements and provides the ability to accommodate future growth as demand increases across our product lines. We have refined our internal processes to improve how we design, test, and qualify products, and we continue to implement rigorous manufacturing and quality processes to track production and field performance.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Our WrapVision body-worn camera is assembled in North America in alignment with our commitment to domestic production and federal data-sovereignty and procurement requirements. We also work with domestic research and development partners to support the advancement of our C-UAS and other emerging technology programs.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Suppliers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We have established relationships with key suppliers, and their timely and reliable delivery is important to our ability to meet customer demand. We source parts, components, and subassemblies from a combination of domestic and international suppliers and are actively working to increase the proportion of our supply chain that is U.S.-based. We periodically implement design and component changes to reduce product costs, improve reliability and manufacturability, and where possible, shift sourcing to domestic alternatives. We maintain finished goods inventory to support near-term customer demand and to reduce the impact of supply chain variability on order fulfillment. However, we remain subject to risks inherent in our supply chain, including component availability, increased lead times, cost fluctuations, and logistics constraints, which can affect our production schedules and have a negative impact on our financial performance. While we anticipate supply chain conditions to continue to stabilize, we recognize that future supplier shortages, logistics disruptions, or other supply chain challenges could have a material adverse effect on our operations and financial results. </w:t>
      </w:r>
    </w:p>
    <w:p>
      <w:pPr>
        <w:pStyle w:val="TextBody"/>
        <w:bidi w:val="0"/>
        <w:spacing w:before="0" w:after="0"/>
        <w:jc w:val="both"/>
        <w:rPr/>
      </w:pPr>
      <w:r>
        <w:rPr/>
        <w:t xml:space="preserve">  </w:t>
      </w:r>
    </w:p>
    <w:p>
      <w:pPr>
        <w:pStyle w:val="TextBody"/>
        <w:bidi w:val="0"/>
        <w:spacing w:before="0" w:after="0"/>
        <w:jc w:val="both"/>
        <w:rPr>
          <w:rFonts w:ascii="Times New Roman" w:hAnsi="Times New Roman"/>
          <w:b/>
          <w:sz w:val="20"/>
        </w:rPr>
      </w:pPr>
      <w:r>
        <w:rPr>
          <w:rFonts w:ascii="Times New Roman" w:hAnsi="Times New Roman"/>
          <w:b/>
          <w:sz w:val="20"/>
        </w:rPr>
        <w:t xml:space="preserve">Backlog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As of December 31, 2025, backlog was approximately $209 thousand, primarily related to larger agency orders scheduled for near term delivery. Backlog is subject to modification, rescheduling, or cancellation and is not necessarily indicative of future revenues. The amount of backlog at any point in time is dependent upon order timing, scheduled delivery dates to our customers and product lead times. Most orders are shipped shortly after order and backlog is typically associated with larger police agency orders. Because of our history of shipping shortly after order, we do not currently believe backlog at any period end is predictive of future order volume or revenues beyond the reported amount. Distributor and customer orders for future deliveries are generally subject to modification, rescheduling or in some instances, cancellation in the normal course of business.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10</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b/>
          <w:sz w:val="20"/>
        </w:rPr>
      </w:pPr>
      <w:r>
        <w:rPr>
          <w:rFonts w:ascii="Times New Roman" w:hAnsi="Times New Roman"/>
          <w:b/>
          <w:sz w:val="20"/>
        </w:rPr>
        <w:t xml:space="preserve">Competition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markets in which we operate are competitive and fragmented. We compete with providers of conducted energy devices, less-lethal weapons, training platforms, body-worn cameras, digital evidence management systems, and emerging defense technologies. Many of our competitors have substantially greater financial, technical, manufacturing, and marketing resources than we do.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We position BolaWrap as a non-lethal tool that is distinct from pain-compliance and neuromuscular incapacitation devices. Rather than relying on pain or incapacitation to achieve compliance, BolaWrap creates a controlled interruption through sight, sound, and sensation, giving officers a proactive, lawful option to gain time, space, and tactical advantage before contact distance collapses. While purchasing decisions may involve tradeoffs across use-of-force tools due to budgetary constraints, many agencies view BolaWrap as complementary rather than substitutive, addressing an operational gap where existing tools may represent too high a level of force to be deployed early in an encounter.</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Beyond BolaWrap, we are building an integrated system of tools, training, and tactics designed to address the broader operational needs of public safety agencies; spanning non-lethal response technology, scenario-based and human-factors training, body-worn cameras, and evidence management. In these areas, we compete with both legacy 2D simulator providers and newer VR-based platforms, as well as established body-worn camera and digital evidence management vendors. In the emerging counter-UAS market, we compete with a growing number of companies offering detection, electronic warfare, and kinetic interdiction solutions, though we believe our patented mechanical entanglement technology and modular cassette-based platform approach differentiate our offerings.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Competitive factors include safety, effectiveness, reliability, integration capabilities, regulatory acceptance, pricing, customer support, and training quality. </w:t>
      </w:r>
    </w:p>
    <w:p>
      <w:pPr>
        <w:pStyle w:val="TextBody"/>
        <w:bidi w:val="0"/>
        <w:spacing w:before="0" w:after="0"/>
        <w:jc w:val="both"/>
        <w:rPr/>
      </w:pPr>
      <w:r>
        <w:rPr/>
        <w:t> </w:t>
      </w:r>
    </w:p>
    <w:p>
      <w:pPr>
        <w:pStyle w:val="TextBody"/>
        <w:bidi w:val="0"/>
        <w:spacing w:before="0" w:after="0"/>
        <w:jc w:val="both"/>
        <w:rPr>
          <w:rFonts w:ascii="Times New Roman" w:hAnsi="Times New Roman"/>
          <w:b/>
          <w:sz w:val="20"/>
        </w:rPr>
      </w:pPr>
      <w:r>
        <w:rPr>
          <w:rFonts w:ascii="Times New Roman" w:hAnsi="Times New Roman"/>
          <w:b/>
          <w:sz w:val="20"/>
        </w:rPr>
        <w:t xml:space="preserve">Government Regulation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As a global public safety technology and services company, we are subject to a wide range of federal, state, local, and international laws and regulations governing our products, operations, and commercial activities. These regulations affect multiple aspects of our business, including product classification and licensing, manufacturing, export and import controls, data privacy and security, drone operations, defense procurement, and workplace safety and environmental compliance. Compliance with these requirements is critical to our ability to manufacture, market, and sell our products and services, and the costs of compliance, as well as any failure to comply, could affect our financial results and competitive position.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Firearms Classification and Licensing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Our BolaWrap products are classified as "Any Other Weapon" ("AOW") by the ATF. As a result, we are required to maintain a Federal Firearms License ("FFL") and Special Occupational Tax ("SOT") registration to manufacture and distribute these products. This classification requires that transfers of BolaWrap to end users comply with applicable ATF requirements, which in practice limits our ability to transfer products directly to private security firms and individual consumers without additional regulatory steps. Transfer, possession, and use restrictions on non-lethal devices such as BolaWrap vary by country, and we work with international distributors and legal advisors to ensure compliance with applicable local requirements in each market.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While the cost of maintaining our FFL and SOT licensing is not a significant financial burden, the classification constrains our competitive position relative to other non-lethal products that are not subject to the requirements of the National Firearms Act of 1934.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State and Local Regulations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Our products are also subject to state and local laws and regulations, which may vary by jurisdiction. Certain states impose restrictions on the possession, transfer, or use of devices classified under the ATF or similar state-level frameworks.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i/>
          <w:sz w:val="20"/>
        </w:rPr>
      </w:pPr>
      <w:r>
        <w:rPr>
          <w:rFonts w:ascii="Times New Roman" w:hAnsi="Times New Roman"/>
          <w:i/>
          <w:sz w:val="20"/>
        </w:rPr>
        <w:t xml:space="preserve">Export Controls and International Trade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Our international sales are subject to U.S. export control regulations, customs requirements, and international trade compliance obligations. Depending on the product and destination, our exports may be regulated under the International Traffic in Arms Regulations (ITAR) administered by the U.S. Department of State, the Export Administration Regulations (EAR) administered by the U.S. Department of Commerce, or both. Compliance with export control regulations adds time and administrative cost to our international sales process and may limit our ability to sell certain products in certain countries or to certain end users. We work with international distributors and trade compliance advisors to navigate applicable import and export regulations in each market.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Counter-UAS and Drone Regulations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Our C-UAS program, MERLIN, involves technologies that may be subject to regulation by multiple federal and international authorities. In the United States, drone operations are regulated by the Federal Aviation Administration ("FAA") under Title 14 of the Code of Federal Regulations, and counter-drone technologies are subject to evolving federal regulatory frameworks that govern which entities are authorized to detect, track, and mitigate unmanned aircraft. Our C-UAS products may also be subject to export control classifications and, if commercialized for defense applications, additional regulatory requirements applicable to defense articles and defense services. The regulatory environment for counter-UAS technology is evolving, and changes in federal law or FAA policy could affect the timeline and scope of commercialization of our C-UAS programs.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Data Privacy, Cybersecurity, and Evidence Management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Our body-worn camera and digital evidence management solutions involve the collection, storage, processing, and transmission of law enforcement data, including video, audio, and evidentiary records. These activities are subject to federal and state data protection, privacy, and information security requirements, including the Criminal Justice Information Services ("CJIS") Security Policy, which establishes security standards for any entity that accesses or manages criminal justice information. We are also subject to state-level privacy laws and, in our international markets, data protection regulations that may impose varying requirements on how law enforcement data is collected, stored, and shared. Compliance with these requirements may require ongoing investment in information security infrastructure, data handling procedures, and audit and certification processes.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Federal Procurement and Trade Compliance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As we pursue opportunities with U.S. federal government customers through Wrap Federal, our wholly-owned subsidiary, we are subject to procurement regulations and compliance requirements applicable to federal contractors. Our products are Trade Agreements Act (TAA) compliant, which is a requirement for products sold through federal procurement channels, including the General Services Administration (GSA). Federal contracting may subject us to additional regulatory requirements. </w:t>
      </w:r>
    </w:p>
    <w:p>
      <w:pPr>
        <w:pStyle w:val="TextBody"/>
        <w:bidi w:val="0"/>
        <w:spacing w:before="0" w:after="0"/>
        <w:jc w:val="both"/>
        <w:rPr/>
      </w:pPr>
      <w:r>
        <w:rPr/>
        <w:t> </w:t>
      </w:r>
    </w:p>
    <w:p>
      <w:pPr>
        <w:pStyle w:val="TextBody"/>
        <w:bidi w:val="0"/>
        <w:spacing w:before="0" w:after="0"/>
        <w:jc w:val="both"/>
        <w:rPr>
          <w:rFonts w:ascii="Times New Roman" w:hAnsi="Times New Roman"/>
          <w:b/>
          <w:sz w:val="20"/>
        </w:rPr>
      </w:pPr>
      <w:r>
        <w:rPr>
          <w:rFonts w:ascii="Times New Roman" w:hAnsi="Times New Roman"/>
          <w:b/>
          <w:sz w:val="20"/>
        </w:rPr>
        <w:t xml:space="preserve">Strategy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Our strategy is to build a diversified public safety technology platform centered on integrated non-lethal solutions that combine tools, training, and tactics to give officers and agencies proactive, lawful control of encounters while improving safety, transparency, and operational effectiveness. We are executing this strategy through a combination of expanding our core BolaWrap business, developing and scaling new product lines and service offerings, growing recurring revenue through subscription-based platforms, entering adjacent markets through dedicated federal and defense initiatives, and expanding our international presence.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Expanding BolaWrap Adoption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BolaWrap remains the foundation of our product portfolio and our primary customer acquisition tool. Our growth strategy for BolaWrap focuses on both acquiring new agency customers and expanding adoption within existing customers toward agency-wide deployment. Many agencies that have initially purchased BolaWrap for evaluation or limited deployment represent meaningful expansion opportunities as they integrate the device into their use-of-force policies, training programs, and standard-issue equipment. We support this expansion through professional training, instructor certification, policy integration assistance, and ongoing customer success engagement. We believe that broader deployment within agencies also drives recurring consumable revenue through cassette replenishment, replacement, and training use.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12</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i/>
          <w:sz w:val="20"/>
        </w:rPr>
      </w:pPr>
      <w:r>
        <w:rPr>
          <w:rFonts w:ascii="Times New Roman" w:hAnsi="Times New Roman"/>
          <w:i/>
          <w:sz w:val="20"/>
        </w:rPr>
        <w:t xml:space="preserve">Deepening Customer Relationships Through Programmatic Delivery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 central element of our strategy is shifting from selling individual products to delivering integrated programs that combine tools, training, and tactics into a sustained operational framework for agencies. Under this approach, we engage with agencies not only as a product supplier but as a long-term partner supporting their non-lethal operational capabilities. This model is designed to include BolaWrap hardware and consumables, WrapTactics digital training subscriptions, professional in-person training services, policy support, and where applicable, body-worn camera and evidence management solutions. We believe this programmatic approach increases customer retention, expands revenue per agency, and creates deeper, longer-term relationships that are more resilient than transactional product sales.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Growing the Body-Worn Camera and Digital Evidence Management Business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Through WrapVision, our body-worn camera, and our cloud-based digital evidence management platform, we are building a standalone product line that also complements our core non-lethal solutions portfolio. We believe our offering provides agencies with a cost-effective alternative to incumbent providers in a market where transparency mandates and evidence management requirements continue to drive adoption. WrapVision can be sold independently to agencies seeking an affordable, high-quality body-worn camera and evidence management solution, and it can also be offered alongside BolaWrap and WrapTactics as part of an integrated program. We believe our ability to offer agencies a single-vendor solution that addresses non-lethal tools, training, and accountability creates a differentiated competitive position, particularly among small and mid-sized agencies that may be underserved.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Advancing Counter-UAS Programs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Through our MERLIN program and related research and development initiatives, we are pursuing entry into the counter-unmanned aircraft system market. Our C-UAS strategy leverages our proprietary mechanical entanglement technology and modular cassette-based platform to offer a non-lethal approach to drone interdiction that does not rely on electronic jamming or kinetic destruction. We are pursuing government testing and evaluation opportunities, research and development partnerships, and internal technology advancement with the goal of positioning our C-UAS solutions for future procurement across defense, homeland security, and critical infrastructure protection applications. These programs remain in various stages of development and evaluation, and we expect continued investment in this area before material revenue is generated.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Expanding Federal and Defense Market Access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Through Wrap Federal, we have established a dedicated entity to support engagement with U.S. federal government customers, including agencies within the Department of Defense, Department of Homeland Security, and other federal organizations. Our non-lethal tools, training platforms, and C-UAS technologies have potential applications across multiple federal use cases, and we believe a dedicated federal subsidiary positions us to more effectively navigate the procurement, compliance, and security requirements specific to these customers as we seek to develop relationships within these markets.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Expanding International Sales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We intend to continue expanding our international presence across law enforcement and public safety markets worldwide. We maintain a network of international distributors. We see broad-based international interest in our solutions, with particular momentum in South America. International growth is supported by the centralized procurement dynamics in many countries, where national-level adoption decisions can result in large-scale deployments. We focus significant resources on supporting our international distribution partners through training, business development, and sales support.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Pursuing Strategic Acquisitions and Partnerships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We intend to continue evaluating strategic acquisitions, partnerships, and collaborations that complement our existing product and service offerings, expand our technology capabilities, strengthen our distribution network, or accelerate entry into new markets. Our acquisition of NSENA in 2020, which provided the foundation for our Wrap Reality virtual reality training platform and our acquisition of Intrensic in 2023, which provided the foundation for our WrapVision body-worn camera and digital evidence management platform, are examples of this approach. We also pursue strategic partnerships with organizations that extend our reach into federal, defense, and international markets.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13</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b/>
          <w:sz w:val="20"/>
        </w:rPr>
      </w:pPr>
      <w:r>
        <w:rPr>
          <w:rFonts w:ascii="Times New Roman" w:hAnsi="Times New Roman"/>
          <w:b/>
          <w:sz w:val="20"/>
        </w:rPr>
        <w:t xml:space="preserve">Warranties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Our products generally include a limited warranty that covers defects in materials and workmanship for up to one year from the date of purchase. Customers may also purchase extended warranty coverage for additional periods. Warranty terms vary by product and jurisdiction. </w:t>
      </w:r>
    </w:p>
    <w:p>
      <w:pPr>
        <w:pStyle w:val="TextBody"/>
        <w:bidi w:val="0"/>
        <w:spacing w:before="0" w:after="0"/>
        <w:jc w:val="both"/>
        <w:rPr/>
      </w:pPr>
      <w:r>
        <w:rPr/>
        <w:t> </w:t>
      </w:r>
    </w:p>
    <w:p>
      <w:pPr>
        <w:pStyle w:val="TextBody"/>
        <w:bidi w:val="0"/>
        <w:spacing w:before="0" w:after="0"/>
        <w:jc w:val="both"/>
        <w:rPr>
          <w:rFonts w:ascii="Times New Roman" w:hAnsi="Times New Roman"/>
          <w:b/>
          <w:sz w:val="20"/>
        </w:rPr>
      </w:pPr>
      <w:r>
        <w:rPr>
          <w:rFonts w:ascii="Times New Roman" w:hAnsi="Times New Roman"/>
          <w:b/>
          <w:sz w:val="20"/>
        </w:rPr>
        <w:t xml:space="preserve">Intellectual Property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We have a policy of protecting our intellectual property assets, which include issued domestic and international patents, pending patents, trademarks, copyrights, trade secrets, and contractual obligations. We enter into confidentiality and nondisclosure agreements with employees, consultants, and third parties to whom we disclose proprietary information. These agreements prohibit disclosure of confidential information both during and after the duration of the working relationship. However, we recognize that such agreements may not always prevent disclosure or provide adequate remedies for any breach. We rely on copyrights, trade secrets, and other proprietary rights to protect the content of our training services, including the Wrap Reality VR training software and content.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We believe that strong product offerings that are continually upgraded and enhanced, combined with factors such as innovation, technological expertise, and experienced personnel, will keep us competitive. Therefore, we seek patent and other intellectual property protection on important technological improvements that we make. Before filing for patents, we disclose key features to patent counsel and maintain these features as trade secrets prior to product introduction. However, patent applications may not result in issued patents covering all important claims, and there is a risk that they could be denied in their entirety.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As of December 31, 2025, we</w:t>
      </w:r>
      <w:r>
        <w:rPr>
          <w:rFonts w:ascii="Times New Roman" w:hAnsi="Times New Roman"/>
          <w:sz w:val="20"/>
          <w:shd w:fill="FFFFFF" w:val="clear"/>
        </w:rPr>
        <w:t xml:space="preserve"> held 93 issued patents and 149 pe</w:t>
      </w:r>
      <w:r>
        <w:rPr>
          <w:rFonts w:ascii="Times New Roman" w:hAnsi="Times New Roman"/>
          <w:sz w:val="20"/>
        </w:rPr>
        <w:t>nding patent applications with expiration dates ranging fro</w:t>
      </w:r>
      <w:r>
        <w:rPr>
          <w:rFonts w:ascii="Times New Roman" w:hAnsi="Times New Roman"/>
          <w:sz w:val="20"/>
          <w:shd w:fill="FFFFFF" w:val="clear"/>
        </w:rPr>
        <w:t>m 2032 to 2047 </w:t>
      </w:r>
      <w:r>
        <w:rPr>
          <w:rFonts w:ascii="Times New Roman" w:hAnsi="Times New Roman"/>
          <w:sz w:val="20"/>
        </w:rPr>
        <w:t xml:space="preserve">in the United States and internationally related to non-lethal systems, tethered-deployment technology, training platforms, and digital evidence management solutions. We enter into confidentiality and invention assignment agreements with employees, consultants, and third parties. Despite these efforts, there can be no assurance that our intellectual property rights will not be challenged, circumvented, or invalidated. </w:t>
      </w:r>
    </w:p>
    <w:p>
      <w:pPr>
        <w:pStyle w:val="TextBody"/>
        <w:bidi w:val="0"/>
        <w:spacing w:before="0" w:after="0"/>
        <w:jc w:val="both"/>
        <w:rPr/>
      </w:pPr>
      <w:r>
        <w:rPr/>
        <w:t> </w:t>
      </w:r>
    </w:p>
    <w:p>
      <w:pPr>
        <w:pStyle w:val="TextBody"/>
        <w:bidi w:val="0"/>
        <w:spacing w:before="0" w:after="0"/>
        <w:jc w:val="both"/>
        <w:rPr>
          <w:rFonts w:ascii="Times New Roman" w:hAnsi="Times New Roman"/>
          <w:b/>
          <w:sz w:val="20"/>
        </w:rPr>
      </w:pPr>
      <w:r>
        <w:rPr>
          <w:rFonts w:ascii="Times New Roman" w:hAnsi="Times New Roman"/>
          <w:b/>
          <w:sz w:val="20"/>
        </w:rPr>
        <w:t xml:space="preserve">Research and Development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We conduct research and development ("R&amp;D") on an ongoing basis to enhance our existing products, develop new applications for our core technologies, advance emerging technology programs, and improve manufacturing efficiency and product reliability. Our R&amp;D efforts are led by our internal engineering, software development, and product design team and are supplemented by specialized consultants and domestic research and development partners when additional expertise or capacity is required. Our R&amp;D activities span mechanical and electrical engineering, software development, materials science, manufacturing process improvement, and content development for our training platforms.</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BolaWrap Platform</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We are investing in next-generation BolaWrap development, including early-stage work on future device iterations and continued refinement of our cassette-based platform architecture. We also focus on manufacturing process improvements and design changes intended to reduce production costs, improve product reliability, and enhance manufacturability. We believe our modular cassette architecture provides a foundation for future product variants and expanded use-case applications.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Counter-UAS Technologies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 significant portion of our research and development effort is directed toward our counter-unmanned aircraft system programs, including MERLIN and related initiatives. This work focuses on advancing our proprietary mechanical entanglement technology and modular platform for non-lethal drone interdiction applications across defense, homeland security, and critical infrastructure protection missions. Our C-UAS development efforts are supported by domestic R&amp;D partners with specialized capabilities in areas relevant to these programs. All C-UAS research and development is currently company-sponsored.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14</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i/>
          <w:sz w:val="20"/>
        </w:rPr>
      </w:pPr>
      <w:r>
        <w:rPr>
          <w:rFonts w:ascii="Times New Roman" w:hAnsi="Times New Roman"/>
          <w:i/>
          <w:sz w:val="20"/>
        </w:rPr>
        <w:t xml:space="preserve">WrapTactics Training Platform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We are continuing to develop and enhance the WrapTactics platform, including expanding its content library, building out hybrid training capabilities that integrate digital delivery with in-person instructor certification, and improving platform functionality and user experience. We believe ongoing investment in WrapTactics is central to our strategy of delivering programmatic, subscription-based training that sustains officer readiness and generates recurring revenue.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WrapVision and Digital Evidence Management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Our WrapVision body-worn camera platform is stable and in active deployment. We continue to make enhancements to our cloud-based digital evidence management software to improve functionality, user experience, and integration with agency workflows. Development efforts in this area focus on incremental improvements and feature additions rather than fundamental platform redesign.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Wrap Reality Virtual Reality Training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Our Wrap Reality VR platform currently includes scenario libraries for law enforcement, corrections, and societal reentry applications. While our near-term training development investment is primarily focused on WrapTactics, we have plans to expand the Wrap Reality content library with additional scenarios and to continue enhancing the platform as virtual reality and simulation-based training adoption grows across public safety markets.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Future levels of research and development investment will vary depending on the timing of new product development milestones, the progression of our C-UAS programs, the availability of government-funded research opportunities, and the resources available to advance development across our product portfolio. We expect research and development to be a meaningful area of investment as we continue to expand our diversified public safety technology platforms. </w:t>
      </w:r>
    </w:p>
    <w:p>
      <w:pPr>
        <w:pStyle w:val="TextBody"/>
        <w:bidi w:val="0"/>
        <w:spacing w:before="0" w:after="0"/>
        <w:jc w:val="both"/>
        <w:rPr/>
      </w:pPr>
      <w:r>
        <w:rPr/>
        <w:t> </w:t>
      </w:r>
    </w:p>
    <w:p>
      <w:pPr>
        <w:pStyle w:val="TextBody"/>
        <w:bidi w:val="0"/>
        <w:spacing w:before="0" w:after="0"/>
        <w:jc w:val="both"/>
        <w:rPr>
          <w:rFonts w:ascii="Times New Roman" w:hAnsi="Times New Roman"/>
          <w:b/>
          <w:sz w:val="20"/>
        </w:rPr>
      </w:pPr>
      <w:r>
        <w:rPr>
          <w:rFonts w:ascii="Times New Roman" w:hAnsi="Times New Roman"/>
          <w:b/>
          <w:sz w:val="20"/>
        </w:rPr>
        <w:t xml:space="preserve">Seasonality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Our operating results are influenced by government budget cycles and procurement timing. Many U.S. law enforcement agencies operate on fiscal years ending June 30, while federal agencies operate on fiscal years ending September 30, which can result in higher purchasing activity in certain quarters. International purchasing patterns may also contribute to variability in quarterly results. </w:t>
      </w:r>
    </w:p>
    <w:p>
      <w:pPr>
        <w:pStyle w:val="TextBody"/>
        <w:bidi w:val="0"/>
        <w:spacing w:before="0" w:after="0"/>
        <w:jc w:val="both"/>
        <w:rPr/>
      </w:pPr>
      <w:r>
        <w:rPr/>
        <w:t> </w:t>
      </w:r>
    </w:p>
    <w:p>
      <w:pPr>
        <w:pStyle w:val="TextBody"/>
        <w:bidi w:val="0"/>
        <w:spacing w:before="0" w:after="0"/>
        <w:jc w:val="both"/>
        <w:rPr>
          <w:rFonts w:ascii="Times New Roman" w:hAnsi="Times New Roman"/>
          <w:b/>
          <w:sz w:val="20"/>
        </w:rPr>
      </w:pPr>
      <w:r>
        <w:rPr>
          <w:rFonts w:ascii="Times New Roman" w:hAnsi="Times New Roman"/>
          <w:b/>
          <w:sz w:val="20"/>
        </w:rPr>
        <w:t xml:space="preserve">Employees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As of December 31, 2025, we employed approximately 25 full-time employees. During 2025, we grew our workforce 32% compared to the end of the prior year, with additions concentrated in our research and development, sales and marketing divisions. In addition, we engage consultants and contractors from time to time to supplement our full-time personnel across sales, marketing, training, engineering, and other functions.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Our success depends on the continued service of our employees and on our ability to attract, retain, and motivate talented individuals across our organization. We are committed to fostering a work environment that supports professional development, encourages innovation, and aligns our team with the Company's mission of enabling safer outcomes in public safety. We believe our employees are critical to our ability to execute on our strategic priorities and we continue to invest in building the capabilities and culture necessary to support our growth.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Available Information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 xml:space="preserve">As a public company, we are required to file our annual reports on Form 10-K, quarterly reports on Form 10-Q, current reports on Form 8-K, proxy statements on Schedule 14A and other information (including any amendments) with the SEC. The SEC maintains an Internet site that contains reports, proxy and information statements, and other information regarding issuers that file electronically with the SEC. You can find our SEC filings at the SEC’s website at </w:t>
      </w:r>
      <w:r>
        <w:rPr>
          <w:rFonts w:ascii="Times New Roman" w:hAnsi="Times New Roman"/>
          <w:sz w:val="20"/>
          <w:u w:val="single"/>
        </w:rPr>
        <w:t>www.sec.gov</w:t>
      </w:r>
      <w:r>
        <w:rPr>
          <w:rFonts w:ascii="Times New Roman" w:hAnsi="Times New Roman"/>
          <w:sz w:val="20"/>
        </w:rPr>
        <w:t>.</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 xml:space="preserve">Our Internet address is </w:t>
      </w:r>
      <w:r>
        <w:rPr>
          <w:rFonts w:ascii="Times New Roman" w:hAnsi="Times New Roman"/>
          <w:sz w:val="20"/>
          <w:u w:val="single"/>
        </w:rPr>
        <w:t>www.wrap.com</w:t>
      </w:r>
      <w:r>
        <w:rPr>
          <w:rFonts w:ascii="Times New Roman" w:hAnsi="Times New Roman"/>
          <w:sz w:val="20"/>
        </w:rPr>
        <w:t xml:space="preserve">. Information contained on our website is not part of this Annual Report. Our SEC filings (including any amendments) are also made available free of charge on </w:t>
      </w:r>
      <w:r>
        <w:rPr>
          <w:rFonts w:ascii="Times New Roman" w:hAnsi="Times New Roman"/>
          <w:sz w:val="20"/>
          <w:u w:val="single"/>
        </w:rPr>
        <w:t>www.wrap.com</w:t>
      </w:r>
      <w:r>
        <w:rPr>
          <w:rFonts w:ascii="Times New Roman" w:hAnsi="Times New Roman"/>
          <w:sz w:val="20"/>
        </w:rPr>
        <w:t>, as soon as reasonably practicable after we electronically file such material with, or furnish it to, the SEC.</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15</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bookmarkStart w:id="5" w:name="ITEM_1A_RISK_FACTORS"/>
      <w:bookmarkEnd w:id="5"/>
      <w:r>
        <w:rPr>
          <w:rFonts w:ascii="Times New Roman" w:hAnsi="Times New Roman"/>
          <w:b/>
          <w:sz w:val="20"/>
        </w:rPr>
        <w:t>ITEM 1A. RISK FACTORS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shd w:fill="FFFFFF" w:val="clear"/>
        </w:rPr>
      </w:pPr>
      <w:r>
        <w:rPr>
          <w:rFonts w:ascii="Times New Roman" w:hAnsi="Times New Roman"/>
          <w:i/>
          <w:sz w:val="20"/>
          <w:shd w:fill="FFFFFF" w:val="clear"/>
        </w:rPr>
        <w:t>An investment in our Company involves a high degree of risk. In addition to the other information included in this Annual Report, you should carefully consider the following risk factors in evaluating an investment in our Company. You should consider these matters in conjunction with the other information included or incorporated by reference in this Annual Report. If any of the following risks actually occurs, our business, reputation, financial condition, results of operations, revenue, and future prospects could be negatively impacted. In that event, the market price of our Common Stock could decline, and you could lose part or all of your investment.</w:t>
      </w:r>
      <w:r>
        <w:rPr>
          <w:rFonts w:ascii="Times New Roman" w:hAnsi="Times New Roman"/>
          <w:sz w:val="24"/>
          <w:shd w:fill="FFFFFF" w:val="clear"/>
        </w:rPr>
        <w:t xml:space="preserve"> </w:t>
      </w:r>
    </w:p>
    <w:p>
      <w:pPr>
        <w:pStyle w:val="TextBody"/>
        <w:bidi w:val="0"/>
        <w:spacing w:before="0" w:after="0"/>
        <w:jc w:val="both"/>
        <w:rPr/>
      </w:pPr>
      <w:r>
        <w:rPr/>
        <w:t> </w:t>
      </w:r>
    </w:p>
    <w:p>
      <w:pPr>
        <w:pStyle w:val="TextBody"/>
        <w:bidi w:val="0"/>
        <w:spacing w:before="0" w:after="0"/>
        <w:jc w:val="center"/>
        <w:rPr>
          <w:rFonts w:ascii="Times New Roman" w:hAnsi="Times New Roman"/>
          <w:b/>
          <w:sz w:val="20"/>
        </w:rPr>
      </w:pPr>
      <w:r>
        <w:rPr>
          <w:rFonts w:ascii="Times New Roman" w:hAnsi="Times New Roman"/>
          <w:b/>
          <w:sz w:val="20"/>
        </w:rPr>
        <w:t>RISK FACTOR SUMMARY</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b/>
          <w:sz w:val="20"/>
        </w:rPr>
        <w:t>Risk Factors Relating to Our Business and Industry</w:t>
      </w:r>
      <w:r>
        <w:rPr>
          <w:rFonts w:ascii="Times New Roman" w:hAnsi="Times New Roman"/>
          <w:sz w:val="24"/>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b/>
          <w:i/>
          <w:sz w:val="20"/>
          <w:shd w:fill="FFFFFF" w:val="clear"/>
        </w:rPr>
        <w:t>We have a history of operating losses, expect additional losses and may not achieve or sustain profitability.</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We have a history of operating losses and expect to incur additional losses until we achieve sufficient revenue and operating margins to offset our operating costs. Our net loss for the years ended December 31, 2025 and 2024 was approximately $10.3 million and $5.9 million, respectively. The increase in net loss in 2025 was primarily attributable to lower non-cash income related to changes in the fair value of warrant liabilities compared to 2024, as well as continued operating losses incurred while we invested in product development, commercialization initiatives, and expansion of our technology platform, despite ongoing cost containment efforts. Our ability to achieve future profitability depends on a number of factors, many of which are outside of our control, and failure to achieve or sustain profitability may require us to raise additional capital, which could result in dilution to stockholders and have a material adverse effect on the market value of our Common Stock.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i/>
          <w:sz w:val="20"/>
          <w:shd w:fill="FFFFFF" w:val="clear"/>
        </w:rPr>
        <w:t>We may need additional capital to execute our business plan, and raising additional capital, if possible, by issuing additional equity securities may cause dilution to existing stockholders. In addition, raising additional capital by issuing additional debt instruments may restrict our operations.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Although we believe we have adequate financial resources to fund our operations and capital needs for at least the next twelve months, and that we may be able to generate funds from product sales during that time, existing working capital may not be sufficient to achieve profitable operations due to product introduction costs, operating losses and other factors. Principal factors affecting the availability of internally generated funds include:</w:t>
      </w:r>
      <w:r>
        <w:rPr>
          <w:rFonts w:ascii="Times New Roman" w:hAnsi="Times New Roman"/>
          <w:sz w:val="24"/>
        </w:rPr>
        <w:t xml:space="preserve"> </w:t>
      </w:r>
    </w:p>
    <w:p>
      <w:pPr>
        <w:pStyle w:val="TextBody"/>
        <w:bidi w:val="0"/>
        <w:jc w:val="both"/>
        <w:rPr/>
      </w:pPr>
      <w:r>
        <w:rPr/>
        <w:t xml:space="preserve">  </w:t>
      </w:r>
    </w:p>
    <w:p>
      <w:pPr>
        <w:pStyle w:val="TextBody"/>
        <w:numPr>
          <w:ilvl w:val="0"/>
          <w:numId w:val="7"/>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failure of product sales and services to meet planned projections;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8"/>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government spending levels impacting sales of our products;</w:t>
      </w:r>
      <w:r>
        <w:rPr>
          <w:rFonts w:ascii="Times New Roman" w:hAnsi="Times New Roman"/>
          <w:sz w:val="20"/>
        </w:rPr>
        <w:t xml:space="preserve"> </w:t>
      </w:r>
    </w:p>
    <w:p>
      <w:pPr>
        <w:pStyle w:val="TextBody"/>
        <w:bidi w:val="0"/>
        <w:jc w:val="both"/>
        <w:rPr/>
      </w:pPr>
      <w:r>
        <w:rPr/>
        <w:t xml:space="preserve">  </w:t>
      </w:r>
    </w:p>
    <w:p>
      <w:pPr>
        <w:pStyle w:val="TextBody"/>
        <w:numPr>
          <w:ilvl w:val="0"/>
          <w:numId w:val="9"/>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working capital requirements to support business growth;</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10"/>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our ability to integrate acquisitions;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11"/>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our ability to control spending;</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12"/>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our ability to collect accounts receivable; and</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13"/>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acceptance of our products and services in planned markets.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In the event we are required to raise additional capital through the issuance of equity or convertible debt securities, the percentage ownership of our stockholders could be diluted significantly, and such newly issued securities may have rights, preferences or privileges senior to those of our existing stockholders. In addition, the issuance of any equity securities could be at a discount to the market price.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If we incur debt financing, the payment of principal and interest on such indebtedness may limit funds available for our business activities, and we could be subject to covenants that restrict our ability to operate our business and make distributions to our stockholders. These restrictive covenants may include limitations on additional borrowing and specific restrictions on the use of our assets, as well as prohibitions on our ability to create liens, pay dividends, redeem stock or make investments. There is no assurance that any equity or debt financing transaction will be available on acceptable terms, if at all.</w:t>
      </w:r>
      <w:r>
        <w:rPr>
          <w:rFonts w:ascii="Times New Roman" w:hAnsi="Times New Roman"/>
          <w:sz w:val="24"/>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sz w:val="20"/>
        </w:rPr>
        <w:t>If we are unable to raise capital through a registered offering, we would be required to conduct our equity financing transactions on a private placement basis, which may be subject to pricing, size and other limitations imposed under the Nasdaq Capital Market ("Nasdaq Capital Market" or "Nasdaq") rules, or seek other sources of capital. The foregoing limitations on our financing approaches could have a material adverse effect on our results of operations, liquidity, and financial position.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16</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b/>
          <w:i/>
          <w:sz w:val="20"/>
          <w:shd w:fill="FFFFFF" w:val="clear"/>
        </w:rPr>
        <w:t>We expect to be dependent on sales of our BolaWrap product line for the foreseeable future, and if this product is not widely accepted, our growth prospects will be diminished.</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We expect to depend on sales of the BolaWrap product line and related cassettes for the foreseeable future. A lack of demand for this product, or its failure to achieve broader market acceptance, would significantly harm our growth prospects, operating results and financial condition. To execute our business plan successfully, we will need to execute on the following objectives, either on our own or with strategic collaborators:</w:t>
      </w:r>
      <w:r>
        <w:rPr>
          <w:rFonts w:ascii="Times New Roman" w:hAnsi="Times New Roman"/>
          <w:sz w:val="24"/>
        </w:rPr>
        <w:t xml:space="preserve"> </w:t>
      </w:r>
    </w:p>
    <w:p>
      <w:pPr>
        <w:pStyle w:val="TextBody"/>
        <w:bidi w:val="0"/>
        <w:jc w:val="both"/>
        <w:rPr/>
      </w:pPr>
      <w:r>
        <w:rPr/>
        <w:t xml:space="preserve">  </w:t>
      </w:r>
    </w:p>
    <w:p>
      <w:pPr>
        <w:pStyle w:val="TextBody"/>
        <w:numPr>
          <w:ilvl w:val="0"/>
          <w:numId w:val="14"/>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Grow our commercialization of the BolaWrap product, and develop additional future products and accessories for commercialization;</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15"/>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Maintain required regulatory approvals for our products in global market locations;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16"/>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Expand, and as required, enforce our intellectual property portfolio for the BolaWrap product and other future products;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17"/>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Maintain sales, distribution and marketing capabilities, and/or enter into strategic partnering arrangements to access such capabilities; and</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18"/>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Grow market acceptance for the BolaWrap product line and/or other future products.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shd w:fill="FFFFFF" w:val="clear"/>
        </w:rPr>
      </w:pPr>
      <w:r>
        <w:rPr>
          <w:rFonts w:ascii="Times New Roman" w:hAnsi="Times New Roman"/>
          <w:b/>
          <w:i/>
          <w:sz w:val="20"/>
          <w:shd w:fill="FFFFFF" w:val="clear"/>
        </w:rPr>
        <w:t>We face risks commercializing our virtual reality training platform and may be unsuccessful in growing revenues.</w:t>
      </w:r>
      <w:r>
        <w:rPr>
          <w:rFonts w:ascii="Times New Roman" w:hAnsi="Times New Roman"/>
          <w:sz w:val="24"/>
          <w:shd w:fill="FFFFFF" w:val="clear"/>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We continue to invest substantial funds in further developing and commercializing our Wrap Reality product line which is highly competitive. The commercial launch of the Wrap Reality Virtual Training product is in the early stages in a new marketplace for 3D Virtual Reality training that competes with a legacy 2D virtual training environment. We expect 2D virtual training companies to either try to buy out companies like ours or choose to build 3D Virtual reality to compete with us. As one of the only companies with both on premise 3D Virtual Reality and full cloud 3D Virtual Reality we plan to compete on both fronts; however, our ability to commercialize this 3D Virtual Reality product line may be influenced by many factors, including:</w:t>
      </w:r>
      <w:r>
        <w:rPr>
          <w:rFonts w:ascii="Times New Roman" w:hAnsi="Times New Roman"/>
          <w:sz w:val="24"/>
        </w:rPr>
        <w:t xml:space="preserve"> </w:t>
      </w:r>
    </w:p>
    <w:p>
      <w:pPr>
        <w:pStyle w:val="TextBody"/>
        <w:bidi w:val="0"/>
        <w:jc w:val="both"/>
        <w:rPr/>
      </w:pPr>
      <w:r>
        <w:rPr/>
        <w:t xml:space="preserve">  </w:t>
      </w:r>
    </w:p>
    <w:p>
      <w:pPr>
        <w:pStyle w:val="TextBody"/>
        <w:numPr>
          <w:ilvl w:val="0"/>
          <w:numId w:val="19"/>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our ability to continue to develop new products and new content;</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20"/>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our ability to obtain, set up and service new VR customers;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21"/>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our ability to achieve and maintain market acceptance;</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22"/>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the impact of competition; and</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23"/>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our ability to attract and retain talent.</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shd w:fill="FFFFFF" w:val="clear"/>
        </w:rPr>
      </w:pPr>
      <w:r>
        <w:rPr>
          <w:rFonts w:ascii="Times New Roman" w:hAnsi="Times New Roman"/>
          <w:b/>
          <w:i/>
          <w:sz w:val="20"/>
          <w:shd w:fill="FFFFFF" w:val="clear"/>
        </w:rPr>
        <w:t>We face competition from companies with greater financial, technical, sales, marketing and other resources, and, if we are unable to compete effectively with these competitors, our business could be harmed</w:t>
      </w:r>
      <w:r>
        <w:rPr>
          <w:rFonts w:ascii="Times New Roman" w:hAnsi="Times New Roman"/>
          <w:sz w:val="20"/>
          <w:shd w:fill="FFFFFF" w:val="clear"/>
        </w:rPr>
        <w:t>.</w:t>
      </w:r>
      <w:r>
        <w:rPr>
          <w:rFonts w:ascii="Times New Roman" w:hAnsi="Times New Roman"/>
          <w:sz w:val="24"/>
          <w:shd w:fill="FFFFFF" w:val="clear"/>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We face competition from other established companies. A number of our competitors have longer operating histories, larger customer bases, significantly greater financial, technological, sales, marketing and other resources than we do. As a result, our competitors may be able to respond more quickly than we can to new or changing opportunities, technologies, standards or client requirements, more quickly develop new products or devote greater resources to the promotion and sale of their products and services than we can. Likewise, their greater capabilities in these areas may enable them to better withstand periodic downturns in the global public safety industry and compete more effectively on the basis of price and production. In addition, new companies may enter the markets in which we compete, further increasing competition in the global public safety solutions industry.</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We believe that our ability to compete successfully depends on a number of factors, including the type and quality of our products and the strength of our brand names, as well as many factors beyond our control. We may not be able to compete successfully against current or future competitors, and increased competition may result in price reductions, reduced profit margins, loss of market share and an inability to generate cash flows that are sufficient to maintain or expand the development and marketing of new products, any of which would adversely impact our results of operations and financial condition.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17</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b/>
          <w:i/>
          <w:sz w:val="20"/>
          <w:shd w:fill="FFFFFF" w:val="clear"/>
        </w:rPr>
        <w:t>We are materially dependent on the acceptance of our product by the law enforcement market. If law enforcement agencies do not purchase our product or we do not meet their expectations, our revenue will be adversely affected and we may not be able to expand into other markets, or otherwise continue as a going concern.</w:t>
      </w:r>
      <w:r>
        <w:rPr>
          <w:rFonts w:ascii="Times New Roman" w:hAnsi="Times New Roman"/>
          <w:sz w:val="24"/>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sz w:val="20"/>
        </w:rPr>
        <w:t>A substantial number of law enforcement agencies may not purchase our product. In addition, if our product is not widely accepted by the law enforcement market or we do not meet their expectations, we may not be able to expand sales of our product into other markets. Law enforcement agencies may be influenced by claims or perceptions that our product is not effective or may be used in an abusive manner. Our reputation could be damaged if we do not meet customer expectations for performance, value and quality. Sales of our product to agencies may be delayed or limited by such claims or perceptions or to any negative publicity or damage to our reputation. We now receive earned media that is often positive and helps our sales and growth and having negative earned media will create the opposite effect.</w:t>
      </w:r>
      <w:r>
        <w:rPr>
          <w:rFonts w:ascii="Times New Roman" w:hAnsi="Times New Roman"/>
          <w:sz w:val="24"/>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b/>
          <w:i/>
          <w:sz w:val="20"/>
        </w:rPr>
      </w:pPr>
      <w:r>
        <w:rPr>
          <w:rFonts w:ascii="Times New Roman" w:hAnsi="Times New Roman"/>
          <w:b/>
          <w:i/>
          <w:sz w:val="20"/>
        </w:rPr>
        <w:t>Some components of our products pose potential safety risks, and our devices and related training products may be used in inherently dangerous situations, which expose us to personal injury and other liability claims that could harm our reputation and adversely affect our sales and financial condition.</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Our BolaWrap non-lethal devices and related training products including WrapTactics, WrapReady, and Wrap Reality are used by law enforcement, corrections, probation and other public-safety personnel in situations that may involve the use of force against individuals. Some of the components of our products contain elements that may pose potential safety risks. While our products are designed to provide officers with a proactive, non-lethal option to gain control of encounters earlier and reduce the risk of injury to both officers and subjects, there is always a chance that use could result in injury to those involved. In addition to these risks, there can be no assurance that accidents in the facilities that use our products will not occur. If an incident occurs in which a BolaWrap device or our training products are alleged to have malfunctioned, been defective, lacked adequate instructions or warnings or been insufficient to prevent injury, we may be subject to product liability claims, negligence claims, wrongful death claims, regulatory investigations, or other legal proceedings.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Even if we ultimately prevail, the cost of defending such claims could be substantial and could divert management attention and resources. Adverse judgments, settlements, increased insurance premiums, or negative publicity arising from such incidents could harm our reputation, reduce demand for our products and adversely affect our business, financial condition, and results of operations. </w:t>
      </w:r>
    </w:p>
    <w:p>
      <w:pPr>
        <w:pStyle w:val="TextBody"/>
        <w:bidi w:val="0"/>
        <w:spacing w:before="0" w:after="0"/>
        <w:jc w:val="both"/>
        <w:rPr/>
      </w:pPr>
      <w:r>
        <w:rPr/>
        <w:t>  </w:t>
      </w:r>
    </w:p>
    <w:p>
      <w:pPr>
        <w:pStyle w:val="TextBody"/>
        <w:bidi w:val="0"/>
        <w:spacing w:before="0" w:after="0"/>
        <w:jc w:val="both"/>
        <w:rPr>
          <w:rFonts w:ascii="Times New Roman" w:hAnsi="Times New Roman"/>
          <w:b/>
          <w:i/>
          <w:sz w:val="20"/>
        </w:rPr>
      </w:pPr>
      <w:r>
        <w:rPr>
          <w:rFonts w:ascii="Times New Roman" w:hAnsi="Times New Roman"/>
          <w:b/>
          <w:i/>
          <w:sz w:val="20"/>
        </w:rPr>
        <w:t xml:space="preserve">The effectiveness of our products depends on customer training, policies, and implementation practices, which we do not control.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effectiveness of our devices and training solutions depends significantly on how customers implement our products, including the adequacy of customer policies, supervision, instructor quality, training frequency and adherence to recommended procedures. Our training offerings including WrapTactics, WrapReady and Wrap Reality are designed to support proper deployment of our products, but customers may choose not to adopt, fully implement, or consistently follow our training or policy recommendations.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If customers fail to properly train personnel, implement appropriate policies, or integrate our products into their operational workflows, outcomes may differ from expectations and may result in incidents, reduced customer satisfaction, contract disputes, or non-renewals. Negative outcomes attributed to improper use or insufficient training could nevertheless harm our reputation and adversely affect demand for our products. </w:t>
      </w:r>
    </w:p>
    <w:p>
      <w:pPr>
        <w:pStyle w:val="TextBody"/>
        <w:bidi w:val="0"/>
        <w:spacing w:before="0" w:after="0"/>
        <w:jc w:val="both"/>
        <w:rPr/>
      </w:pPr>
      <w:r>
        <w:rPr/>
        <w:t>  </w:t>
      </w:r>
    </w:p>
    <w:p>
      <w:pPr>
        <w:pStyle w:val="TextBody"/>
        <w:bidi w:val="0"/>
        <w:spacing w:before="0" w:after="0"/>
        <w:jc w:val="both"/>
        <w:rPr>
          <w:rFonts w:ascii="Times New Roman" w:hAnsi="Times New Roman"/>
          <w:b/>
          <w:i/>
          <w:sz w:val="20"/>
        </w:rPr>
      </w:pPr>
      <w:r>
        <w:rPr>
          <w:rFonts w:ascii="Times New Roman" w:hAnsi="Times New Roman"/>
          <w:b/>
          <w:i/>
          <w:sz w:val="20"/>
        </w:rPr>
        <w:t xml:space="preserve">Our subscription-based revenue model may result in revenue volatility, delayed recognition and customer churn.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 portion of our revenue is derived from subscription and recurring arrangements, including WrapReady, WrapTactics, Wrap Reality and certain WrapVision services. Revenue from these arrangements is generally recognized over the contract term and may not align with the timing of sales efforts, bookings, or customer deployments. Implementations may be delayed due to customer procurement processes, IT and security reviews, staffing constraints, or integration timelines.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Additionally, many of our customers are governmental entities that depend on annual appropriations, grants or discretionary funding. Contracts may be canceled, reduced, or not renewed due to budget changes or shifting priorities. Any increase in customer churn, delays in deployment, or reductions in public-sector spending could cause fluctuations in revenue and adversely affect our financial results.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18</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The use of certain of our solutions may be perceived as, or determined by the courts to be, in violation of privacy rights and related laws. Any such perception or determination could adversely affect our financial results and results of operations.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Because of the nature of certain of our products, including those used to access, collect, review, store, share and support digital evidence, the general public could perceive that the use of our solutions may result in violations of individual privacy rights. In addition, certain courts or regulatory authorities could determine that the use of our software solutions violates privacy laws. Any such determination or perception by potential customers, the general public, government entities or judicial authorities could harm our reputation, may result in reduced usage or adoption rates of our platforms by our customers and adversely affect our reputation, revenue, financial condition and results of operations. While we dedicate resources to ensure our compliance with applicable privacy laws, we are responsible and liable for personal data which our customers entrust in our platforms and we process as part of the services we provide. We require our customers to comply with applicable privacy laws when using our products; however we may still be held responsible and even liable for the manner in which our customer uses such data, including if the customer uses the data in a way that is a violation of privacy related laws or any of our agreements. </w:t>
      </w:r>
    </w:p>
    <w:p>
      <w:pPr>
        <w:pStyle w:val="TextBody"/>
        <w:bidi w:val="0"/>
        <w:spacing w:before="0" w:after="0"/>
        <w:jc w:val="both"/>
        <w:rPr/>
      </w:pPr>
      <w:r>
        <w:rPr/>
        <w:t>  </w:t>
      </w:r>
    </w:p>
    <w:p>
      <w:pPr>
        <w:pStyle w:val="TextBody"/>
        <w:bidi w:val="0"/>
        <w:spacing w:before="0" w:after="0"/>
        <w:jc w:val="both"/>
        <w:rPr>
          <w:rFonts w:ascii="Times New Roman" w:hAnsi="Times New Roman"/>
          <w:b/>
          <w:i/>
          <w:sz w:val="20"/>
        </w:rPr>
      </w:pPr>
      <w:r>
        <w:rPr>
          <w:rFonts w:ascii="Times New Roman" w:hAnsi="Times New Roman"/>
          <w:b/>
          <w:i/>
          <w:sz w:val="20"/>
        </w:rPr>
        <w:t xml:space="preserve">Contracting with government entities, including police departments, can be complex, expensive, and time-consuming.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procurement process for government entities is in many ways more challenging than contracting in the private sector. We must comply with laws and regulations relating to the formation, administration, performance and pricing of contracts with government entities, including U.S. federal, state and local governmental bodies. These laws and regulations may impose added costs on our business or prolong or complicate our sales efforts, and failure to comply with these laws and regulations or other applicable requirements could lead to claims for damages from our customers, penalties, termination of contracts and other adverse consequences. Any such damages, penalties, disruptions or limitations in our ability to do business with government entities could have a material adverse effect on our business, operating results and financial condition.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Government entities often require highly specialized contract terms that may differ from our standard arrangements. Compliance with these special standards or satisfaction of such requirements could complicate our efforts to obtain business or increase the cost of doing so. Even if we do meet these special standards or requirements, the increased costs associated with providing our solutions to government customers could harm our margins. Additionally, even once we have secured a government contract, the renewal process can be lengthy and as time-consuming as the initial sale, and we may be providing our service for months past the contract expiration date without certainty if the renewal agreement will be signed or not.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Changes in the underlying regulatory conditions, political landscape or required procurement procedures that affect these types of customers could be introduced prior to the completion of our sales cycle, making it more difficult or costly to finalize a contract with a new customer or expand or renew an existing customer relationship. For example, customers may require a competitive bidding process with extended response deadlines, review or appeal periods, or customer attention may be diverted to other government matters, postponing the consideration of the purchase of our products. Such delays could harm our ability to provide our solutions efficiently and to grow or maintain our customer base. </w:t>
      </w:r>
    </w:p>
    <w:p>
      <w:pPr>
        <w:pStyle w:val="TextBody"/>
        <w:bidi w:val="0"/>
        <w:spacing w:before="0" w:after="0"/>
        <w:jc w:val="both"/>
        <w:rPr/>
      </w:pPr>
      <w:r>
        <w:rPr/>
        <w:t>  </w:t>
      </w:r>
    </w:p>
    <w:p>
      <w:pPr>
        <w:pStyle w:val="TextBody"/>
        <w:bidi w:val="0"/>
        <w:spacing w:before="0" w:after="0"/>
        <w:jc w:val="both"/>
        <w:rPr>
          <w:rFonts w:ascii="Times New Roman" w:hAnsi="Times New Roman"/>
          <w:b/>
          <w:i/>
          <w:sz w:val="20"/>
        </w:rPr>
      </w:pPr>
      <w:r>
        <w:rPr>
          <w:rFonts w:ascii="Times New Roman" w:hAnsi="Times New Roman"/>
          <w:b/>
          <w:i/>
          <w:sz w:val="20"/>
        </w:rPr>
        <w:t xml:space="preserve">Our recent expansion into drone and counter-UAS technologies may not be successful, and we may fail to achieve commercial adoption or generate meaningful revenue from these initiatives.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We have recently expanded beyond our core BolaWrap products into new areas such as drone payload systems, drone-first-responder technologies, and counter-unmanned aerial systems. These initiatives are in early stages, and their success depends on our ability to complete development, meet regulatory and technical standards, and achieve customer adoption. The markets for drone and C-UAS solutions are emerging, highly competitive, and subject to rapid technological change, and we face established and well-funded competitors. If our new products fail to perform as expected, experience development delays, or do not achieve meaningful market traction, our anticipated growth, brand reputation, and financial results could be materially adversely affected. There can be no assurance that our investments in these technologies will generate the expected returns or lead to sustainable revenue growth.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19</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 xml:space="preserve">Our business strategy depends heavily on government and law-enforcement customers, who are subject to lengthy procurement cycles, budget constraints, and shifting priorities.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We expect that much of the demand for our new drone and C-UAS solutions will come from U.S. and international government, defense, and law-enforcement agencies. These customers face complex approval processes, long evaluation periods, and budget limitations that can delay or reduce procurement decisions. Political and policy changes, including shifts in funding for public safety or defense, may reduce demand or delay adoption of new technologies like ours. Furthermore, changes in public perception regarding the use of drones or non-lethal force tools could impact purchasing decisions or restrict deployment. As a result, even strong interest from these customers may not translate into timely or predictable revenue, and any sustained reduction in public-sector demand could materially affect our results of operations. </w:t>
      </w:r>
    </w:p>
    <w:p>
      <w:pPr>
        <w:pStyle w:val="TextBody"/>
        <w:bidi w:val="0"/>
        <w:spacing w:before="0" w:after="0"/>
        <w:jc w:val="both"/>
        <w:rPr/>
      </w:pPr>
      <w:r>
        <w:rPr/>
        <w:t>  </w:t>
      </w:r>
    </w:p>
    <w:p>
      <w:pPr>
        <w:pStyle w:val="TextBody"/>
        <w:bidi w:val="0"/>
        <w:spacing w:before="0" w:after="0"/>
        <w:jc w:val="both"/>
        <w:rPr>
          <w:rFonts w:ascii="Times New Roman" w:hAnsi="Times New Roman"/>
          <w:b/>
          <w:i/>
          <w:sz w:val="20"/>
        </w:rPr>
      </w:pPr>
      <w:r>
        <w:rPr>
          <w:rFonts w:ascii="Times New Roman" w:hAnsi="Times New Roman"/>
          <w:b/>
          <w:i/>
          <w:sz w:val="20"/>
        </w:rPr>
        <w:t xml:space="preserve">Our drone and aerial-interdiction systems are subject to evolving regulatory, legal and liability risks that could restrict our operations or expose us to claims.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Our drone-based and counter-UAS technologies may be regulated by multiple federal and international authorities, including the FAA and U.S. export-control agencies. As these regulatory frameworks evolve, new restrictions, certification requirements, or licensing limitations could arise that delay product approvals, increase compliance costs or limit deployment opportunities. Because these systems are designed for public-safety and defense use, any operational incident, misuse, or unintended injury could lead to product-liability claims, investigations, or negative publicity. Any regulatory action, litigation, or reputational harm related to these risks could materially and adversely affect our business and financial condition. </w:t>
      </w:r>
    </w:p>
    <w:p>
      <w:pPr>
        <w:pStyle w:val="TextBody"/>
        <w:bidi w:val="0"/>
        <w:spacing w:before="0" w:after="0"/>
        <w:jc w:val="both"/>
        <w:rPr/>
      </w:pPr>
      <w:r>
        <w:rPr/>
        <w:t>  </w:t>
      </w:r>
    </w:p>
    <w:p>
      <w:pPr>
        <w:pStyle w:val="TextBody"/>
        <w:bidi w:val="0"/>
        <w:spacing w:before="0" w:after="0"/>
        <w:jc w:val="both"/>
        <w:rPr>
          <w:rFonts w:ascii="Times New Roman" w:hAnsi="Times New Roman"/>
          <w:b/>
          <w:i/>
          <w:sz w:val="20"/>
        </w:rPr>
      </w:pPr>
      <w:r>
        <w:rPr>
          <w:rFonts w:ascii="Times New Roman" w:hAnsi="Times New Roman"/>
          <w:b/>
          <w:i/>
          <w:sz w:val="20"/>
        </w:rPr>
        <w:t xml:space="preserve">We may face manufacturing and supply-chain challenges as we expand production of new technologies. To support our entry into drone-related markets, we are increasing production capacity, including at our new Virginia facility.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Scaling manufacturing for new and technically complex products requires reliable suppliers, quality control systems, and efficient production processes. We may face challenges securing critical components, many of which come from limited sources or may be subject to long lead times. Disruptions in the supply chain, cost increases, or quality issues could delay deliveries, increase expenses, and impact customer satisfaction. If we are unable to scale production effectively or control manufacturing costs, our margins, liquidity, and ability to meet demand could be adversely affected. </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b/>
          <w:i/>
          <w:sz w:val="20"/>
          <w:shd w:fill="FFFFFF" w:val="clear"/>
        </w:rPr>
        <w:t>We may incur significant and unpredictable warranty costs as our products are produced, sold, and used.</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We warrant our products to be free from defects in materials and workmanship for a period of up to one year from the date of purchase. Additional one-year warranties can be purchased by the customer. We may incur substantial and unpredictable warranty costs from post-production product or component failures. Future warranty costs could further adversely affect our financial position, results of operations and business prospects.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i/>
          <w:sz w:val="20"/>
          <w:shd w:fill="FFFFFF" w:val="clear"/>
        </w:rPr>
        <w:t>We could incur charges for excess or obsolete inventory and incur production costs for improvements or model changes.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While we strive to effectively manage our inventory, rapidly changing technology, and uneven customer demand may result in short product cycles and the value of our inventory may be adversely affected by changes in technology that affect our ability to sell the products in our inventory. If we do not effectively forecast and manage our inventory, we may need to write off inventory as excess or obsolete, which in turn can adversely affect cost of sales and gross profit.</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We have experienced, and may in the future experience, improvement and model changes and unusual production costs associated with implementing production for our products. We currently have no reserve for slow moving or obsolete inventory but may incur future charges for obsolete or excess inventory.</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20</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b/>
          <w:i/>
          <w:sz w:val="20"/>
          <w:shd w:fill="FFFFFF" w:val="clear"/>
        </w:rPr>
        <w:t>Our international operations could be harmed by factors including</w:t>
      </w:r>
      <w:r>
        <w:rPr>
          <w:rFonts w:ascii="Times New Roman" w:hAnsi="Times New Roman"/>
          <w:sz w:val="24"/>
          <w:shd w:fill="FFFFFF" w:val="clear"/>
        </w:rPr>
        <w:t> </w:t>
      </w:r>
      <w:r>
        <w:rPr>
          <w:rFonts w:ascii="Times New Roman" w:hAnsi="Times New Roman"/>
          <w:b/>
          <w:i/>
          <w:sz w:val="20"/>
          <w:shd w:fill="FFFFFF" w:val="clear"/>
        </w:rPr>
        <w:t>natural disasters, fluctuations in currency exchange rates, and changes in regulations that govern international transactions.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We sell our products worldwide and have exported to multiple countries. We expect exports to continue to be a significant part of our future business. The risks inherent in international trade may reduce our international sales or impede growth and harm our business and the businesses of our customers and our suppliers. These risks include, among other things:</w:t>
      </w:r>
      <w:r>
        <w:rPr>
          <w:rFonts w:ascii="Times New Roman" w:hAnsi="Times New Roman"/>
          <w:sz w:val="24"/>
        </w:rPr>
        <w:t xml:space="preserve"> </w:t>
      </w:r>
    </w:p>
    <w:p>
      <w:pPr>
        <w:pStyle w:val="TextBody"/>
        <w:bidi w:val="0"/>
        <w:jc w:val="both"/>
        <w:rPr/>
      </w:pPr>
      <w:r>
        <w:rPr/>
        <w:t xml:space="preserve">  </w:t>
      </w:r>
    </w:p>
    <w:p>
      <w:pPr>
        <w:pStyle w:val="TextBody"/>
        <w:numPr>
          <w:ilvl w:val="0"/>
          <w:numId w:val="24"/>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Changes in tariff regulations;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25"/>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Foreign currency exchange rate fluctuations;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26"/>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Establishing and maintaining relationships with local distributors, agents and dealers;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27"/>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Lengthy shipping times and accounts receivable payment cycles;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28"/>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Import and export control and licensing requirements;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29"/>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Compliance with a variety of US laws, ATF regulations, US Department of Commerce regulations and the Foreign Corrupt Practices Act, by us or key subcontractors or agents;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30"/>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Compliance with a variety of foreign laws and regulations, including unexpected changes in taxation and regulatory requirements;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31"/>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Greater difficulty in safeguarding intellectual property abroad than in the US; and</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32"/>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Difficulty in staffing and managing geographically diverse operations.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These and other risks may preclude or curtail international sales or increase the relative price of our products compared to those manufactured in other countries, reducing the demand for our products. Failure to comply with US and international governmental laws and regulations applicable to international business, such as the Foreign Corrupt Practices Act or US export control regulations, could have an adverse impact on our business with the US and international governments.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i/>
          <w:sz w:val="20"/>
          <w:shd w:fill="FFFFFF" w:val="clear"/>
        </w:rPr>
        <w:t>Global economic weakness and uncertainty, geopolitical conflict, war, and civil unrest, could adversely affect our revenues, gross margins and expenses.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Our business may be impacted by global economic conditions, which have been volatile in recent years. Geopolitical conflict, such as the current conflict in Ukraine, and related international economic sanctions and their impact may exacerbate this volatility. Specifically, our revenues and gross margins depend significantly on global economic conditions and the demand by foreign governments and agencies for the BolaWrap and Wrap Reality in many of our target markets. Economic weakness and uncertainty in these markets have resulted, and may result in the future, in decreased revenue attributable to these markets, gross margin, earnings or growth rates, and difficulty managing inventory levels. Sustained uncertainty about global economic conditions and geopolitical events may adversely affect demand for the BolaWrap and could cause demand to differ materially from our expectations as foreign governments and agencies curtail or delay spending. Economic weakness and uncertainty also make it more difficult for us to make accurate forecasts of revenues, gross margins and expenses.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left"/>
        <w:rPr>
          <w:rFonts w:ascii="Times New Roman" w:hAnsi="Times New Roman"/>
          <w:b/>
          <w:i/>
          <w:sz w:val="20"/>
          <w:shd w:fill="FFFFFF" w:val="clear"/>
        </w:rPr>
      </w:pPr>
      <w:r>
        <w:rPr>
          <w:rFonts w:ascii="Times New Roman" w:hAnsi="Times New Roman"/>
          <w:b/>
          <w:i/>
          <w:sz w:val="20"/>
          <w:shd w:fill="FFFFFF" w:val="clear"/>
        </w:rPr>
        <w:t xml:space="preserve">Public health crises could adversely affect our business, financial condition and results of operations.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Our business could be adversely impacted by the effects of future pandemics, epidemics or infectious disease outbreaks. The extent to which future pandemics will in the future impact our financial conditions and results of operations, or those of our third-party suppliers, will depend on future developments, which are highly uncertain and cannot be predicted with confidence at this time, including the continued duration of the outbreak in the markets we target.</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Substantially all our employees are located in the US. In addition to our employees, we rely on (i) distributors, agents, and third-party logistics providers in connection with product sales and distribution and (ii) raw material and component suppliers in the U.S., Canada, Europe and Asia. If we, or any of these third-party partners encounter any disruptions to our or their respective operations or facilities, or if we or any of these third-party partners were to shut down for any reason, including by pandemic, fire, natural disaster, such as a hurricane, tornado or severe storm, power outage, systems failure, labor dispute, or other unforeseen disruption, then we or they may be prevented or delayed from effectively operating our or their business, respectively. Any losses or damages we incur could have a material adverse effect on our financial results and our ability to conduct business as expected.</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shd w:fill="FFFFFF" w:val="clear"/>
        </w:rPr>
      </w:pPr>
      <w:r>
        <w:rPr>
          <w:rFonts w:ascii="Times New Roman" w:hAnsi="Times New Roman"/>
          <w:b/>
          <w:i/>
          <w:sz w:val="20"/>
          <w:shd w:fill="FFFFFF" w:val="clear"/>
        </w:rPr>
        <w:t>We anticipate that a significant portion of our revenue in the short-term will be generated from international sales, which may adversely affect our ability to timely collect accounts receivable.</w:t>
      </w:r>
      <w:r>
        <w:rPr>
          <w:rFonts w:ascii="Times New Roman" w:hAnsi="Times New Roman"/>
          <w:sz w:val="24"/>
          <w:shd w:fill="FFFFFF" w:val="clear"/>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During the year ended December 31, 20</w:t>
      </w:r>
      <w:r>
        <w:rPr>
          <w:rFonts w:ascii="Times New Roman" w:hAnsi="Times New Roman"/>
          <w:sz w:val="20"/>
          <w:shd w:fill="FFFFFF" w:val="clear"/>
        </w:rPr>
        <w:t>25, we generated approximately 43%</w:t>
      </w:r>
      <w:r>
        <w:rPr>
          <w:rFonts w:ascii="Times New Roman" w:hAnsi="Times New Roman"/>
          <w:sz w:val="24"/>
          <w:shd w:fill="FFFFFF" w:val="clear"/>
        </w:rPr>
        <w:t xml:space="preserve"> </w:t>
      </w:r>
      <w:r>
        <w:rPr>
          <w:rFonts w:ascii="Times New Roman" w:hAnsi="Times New Roman"/>
          <w:sz w:val="20"/>
          <w:shd w:fill="FFFFFF" w:val="clear"/>
        </w:rPr>
        <w:t>of our revenue from international sales. Due principally to the longer sales cycle, procurement delays and regulatory issues associated with domestic sales versus international sales, we currently anticipate that a significant portion of our sales in the year ending December 31, 2026 will be generated from international orders.</w:t>
      </w:r>
      <w:r>
        <w:rPr>
          <w:rFonts w:ascii="Times New Roman" w:hAnsi="Times New Roman"/>
          <w:sz w:val="24"/>
          <w:shd w:fill="FFFFFF" w:val="clear"/>
        </w:rPr>
        <w:t> </w:t>
      </w:r>
      <w:r>
        <w:rPr>
          <w:rFonts w:ascii="Times New Roman" w:hAnsi="Times New Roman"/>
          <w:sz w:val="20"/>
          <w:shd w:fill="FFFFFF" w:val="clear"/>
        </w:rPr>
        <w:t>In the event we are u</w:t>
      </w:r>
      <w:r>
        <w:rPr>
          <w:rFonts w:ascii="Times New Roman" w:hAnsi="Times New Roman"/>
          <w:sz w:val="20"/>
        </w:rPr>
        <w:t>nable to timely collect account receivables associated with international sales, or timing of such international sales is delayed, our financial condition could be adversely and materially affected.</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shd w:fill="FFFFFF" w:val="clear"/>
        </w:rPr>
      </w:pPr>
      <w:r>
        <w:rPr>
          <w:rFonts w:ascii="Times New Roman" w:hAnsi="Times New Roman"/>
          <w:b/>
          <w:i/>
          <w:sz w:val="20"/>
          <w:shd w:fill="FFFFFF" w:val="clear"/>
        </w:rPr>
        <w:t>If we are unable to manage our projected growth, our growth prospects may be limited, and our future profitability may be adversely affected.</w:t>
      </w:r>
      <w:r>
        <w:rPr>
          <w:rFonts w:ascii="Times New Roman" w:hAnsi="Times New Roman"/>
          <w:sz w:val="24"/>
          <w:shd w:fill="FFFFFF" w:val="clear"/>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We intend to continue to expand our sales and marketing and our manufacturing capability. Rapid expansion may strain our staffing, financial and other resources. If we are unable to manage our growth, our business, operating results, and financial condition could be adversely affected. Our systems, procedures, controls, and management resources may not be adequ</w:t>
      </w:r>
      <w:r>
        <w:rPr>
          <w:rFonts w:ascii="Times New Roman" w:hAnsi="Times New Roman"/>
          <w:sz w:val="20"/>
          <w:shd w:fill="FFFFFF" w:val="clear"/>
        </w:rPr>
        <w:t>ate to support our future growing operations, and we have started to upgrade them and will continue to do so in 2026. We are wo</w:t>
      </w:r>
      <w:r>
        <w:rPr>
          <w:rFonts w:ascii="Times New Roman" w:hAnsi="Times New Roman"/>
          <w:sz w:val="20"/>
        </w:rPr>
        <w:t>rking to continually improve our operational, financial, and other internal systems to manage our growth effectively, and any failure to do so may lead to inefficiencies and redundancies, and result in reduced growth prospects and profitability.</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i/>
          <w:sz w:val="20"/>
          <w:shd w:fill="FFFFFF" w:val="clear"/>
        </w:rPr>
        <w:t>We may face personal injury and other liability claims that harm our reputation and adversely affect our sales and financial condition.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Our products are designed to give officers a proactive, non-lethal option that can reduce the risk of injury to both officers and subjects in dynamic encounters. There is always a chance that use could result in injury to those involved. Our product may cause or be associated with such injuries. A person injured in a confrontation or otherwise in connection with the use of our product may bring legal action against us to recover damages based on theories including personal injury, wrongful death, negligent design, dangerous product, or inadequate warning. We may also be subject to lawsuits involving allegations of misuse of our product. If successful, personal injury, misuse, and other claims could have a material adverse effect on our operating results and financial condition. Although we carry product liability insurance, significant litigation could also result in a diversion of management’s attention and resources, negative publicity, and an award of monetary damages in excess of our insurance coverage.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shd w:fill="FFFFFF" w:val="clear"/>
        </w:rPr>
      </w:pPr>
      <w:r>
        <w:rPr>
          <w:rFonts w:ascii="Times New Roman" w:hAnsi="Times New Roman"/>
          <w:b/>
          <w:i/>
          <w:sz w:val="20"/>
          <w:shd w:fill="FFFFFF" w:val="clear"/>
        </w:rPr>
        <w:t>The nature of our business may result in undesirable press coverage or other negative publicity.</w:t>
      </w:r>
      <w:r>
        <w:rPr>
          <w:rFonts w:ascii="Times New Roman" w:hAnsi="Times New Roman"/>
          <w:sz w:val="24"/>
          <w:shd w:fill="FFFFFF" w:val="clear"/>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Our solutions are used to assist law enforcement and first responders in volatile encounters. Even when our device works as intended, incidents can lead to injury, loss of life and other negative outcomes, and such events are likely to receive negative publicity even if not directly caused by BolaWrap. If our product fails to perform as intended during an encounter, related adverse outcomes may receive negative media attention. At times, body or dash camera images or other images of use of our product may become a matter of public record due to legal or other obligations (for example, because of public-records requests or subpoenas to provide information or to testify in court), and we may receive negative media attention as a result.</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We may be subject to criticism and unflattering media coverage regarding the effectiveness of our non-lethal solutions and the cost of our solutions to our customers, or the appropriateness of use on persons in crisis or the mentally ill. Such negative publicity could have an adverse impact on new sales, which would adversely impact our financial results and prospects.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shd w:fill="FFFFFF" w:val="clear"/>
        </w:rPr>
      </w:pPr>
      <w:r>
        <w:rPr>
          <w:rFonts w:ascii="Times New Roman" w:hAnsi="Times New Roman"/>
          <w:b/>
          <w:i/>
          <w:sz w:val="20"/>
          <w:shd w:fill="FFFFFF" w:val="clear"/>
        </w:rPr>
        <w:t>Our future success is dependent on our ability to expand sales, and our inability to grow our sales force or maintain and grow distributors would negatively affect our sales.</w:t>
      </w:r>
      <w:r>
        <w:rPr>
          <w:rFonts w:ascii="Times New Roman" w:hAnsi="Times New Roman"/>
          <w:sz w:val="24"/>
          <w:shd w:fill="FFFFFF" w:val="clear"/>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Our distribution strategy is to pursue sales through multiple channels with an emphasis on direct sales, as well as independent distributors, domestically and internationally. Our inability to recruit and retain sales personnel and maintain and add police equipment distributors who can successfully sell our products could adversely affect our sales. If we do not competitively price our products, provide high quality bug free products and solutions, meet the requirements of any end-users, provide adequate marketing support, or comply with the terms of any distribution arrangements, such distributors may fail to aggressively market our product or may terminate their relationships with us. These developments would likely have a material adverse effect on our sales. Our reliance on the sales of our products by distributors for a large portion of our sales also makes it more difficult to predict our revenue, cash flow and operating results.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22</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b/>
          <w:i/>
          <w:sz w:val="20"/>
          <w:shd w:fill="FFFFFF" w:val="clear"/>
        </w:rPr>
        <w:t>We</w:t>
      </w:r>
      <w:r>
        <w:rPr>
          <w:rFonts w:ascii="Times New Roman" w:hAnsi="Times New Roman"/>
          <w:sz w:val="24"/>
          <w:shd w:fill="FFFFFF" w:val="clear"/>
        </w:rPr>
        <w:t xml:space="preserve"> </w:t>
      </w:r>
      <w:r>
        <w:rPr>
          <w:rFonts w:ascii="Times New Roman" w:hAnsi="Times New Roman"/>
          <w:b/>
          <w:i/>
          <w:sz w:val="20"/>
          <w:shd w:fill="FFFFFF" w:val="clear"/>
        </w:rPr>
        <w:t>expect to expend significant resources to generate sales due to our lengthy sales cycle, and such efforts may not result in the level of sales or revenue we expect.</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Generally, law enforcement agencies consider a wide range of issues before committing to purchase a product, including product benefits, training time and costs, the cost to use our product in addition to, or in place of, other less lethal products, time in market, product reliability and budget constraints. The length of our sales cycle may range from 30 days to a year or more. We may incur substantial selling costs and expend significant effort in connection with the evaluation of our product by potential customers before they place an order if they place an order at all. If these potential customers do not purchase our product, we will have expended significant resources without corresponding revenue.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i/>
          <w:sz w:val="20"/>
          <w:shd w:fill="FFFFFF" w:val="clear"/>
        </w:rPr>
        <w:t>Most of our intended end-users are subject to budgetary and political constraints that may delay or prevent sales.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Most of our intended end-user customers are government agencies at all levels. These agencies often do not set their own budgets and therefore have little control over the amount of money they can spend. In addition, these agencies experience political pressure that may dictate the way they spend money. As a result, even if an agency wants to acquire our product, it may be unable to purchase our product due to budgetary or political constraints. Some government agency orders may also be canceled or substantially delayed due to budgetary, political, or other scheduling delays, which frequently occur in connection with the acquisition of products by such agencies.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shd w:fill="FFFFFF" w:val="clear"/>
        </w:rPr>
      </w:pPr>
      <w:r>
        <w:rPr>
          <w:rFonts w:ascii="Times New Roman" w:hAnsi="Times New Roman"/>
          <w:b/>
          <w:i/>
          <w:sz w:val="20"/>
          <w:shd w:fill="FFFFFF" w:val="clear"/>
        </w:rPr>
        <w:t>Our dependence on third-party suppliers for key components of our products makes us vulnerable to price increases, inflation, recession, and supply shortages that could delay shipment of our products and reduce our sales or margins.</w:t>
      </w:r>
      <w:r>
        <w:rPr>
          <w:rFonts w:ascii="Times New Roman" w:hAnsi="Times New Roman"/>
          <w:sz w:val="24"/>
          <w:shd w:fill="FFFFFF" w:val="clear"/>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We depend on certain domestic and foreign suppliers for the delivery of components used in the assembly of our product</w:t>
      </w:r>
      <w:r>
        <w:rPr>
          <w:rFonts w:ascii="Times New Roman" w:hAnsi="Times New Roman"/>
          <w:sz w:val="20"/>
          <w:shd w:fill="FFFFFF" w:val="clear"/>
        </w:rPr>
        <w:t>. During the year ended December 31, 2025,</w:t>
      </w:r>
      <w:r>
        <w:rPr>
          <w:rFonts w:ascii="Times New Roman" w:hAnsi="Times New Roman"/>
          <w:sz w:val="24"/>
          <w:shd w:fill="FFFFFF" w:val="clear"/>
        </w:rPr>
        <w:t> </w:t>
      </w:r>
      <w:r>
        <w:rPr>
          <w:rFonts w:ascii="Times New Roman" w:hAnsi="Times New Roman"/>
          <w:sz w:val="20"/>
          <w:shd w:fill="FFFFFF" w:val="clear"/>
        </w:rPr>
        <w:t>71%</w:t>
      </w:r>
      <w:r>
        <w:rPr>
          <w:rFonts w:ascii="Times New Roman" w:hAnsi="Times New Roman"/>
          <w:sz w:val="24"/>
        </w:rPr>
        <w:t xml:space="preserve"> </w:t>
      </w:r>
      <w:r>
        <w:rPr>
          <w:rFonts w:ascii="Times New Roman" w:hAnsi="Times New Roman"/>
          <w:sz w:val="20"/>
        </w:rPr>
        <w:t>of our supply chain is from domestic U.S. suppliers. Our reliance on third-party suppliers creates risks related to our potential inability to obtain an adequate supply of components or sub-assemblies and reduced control over pricing and timing of delivery of components and subassemblies. Specifically, we depend on suppliers of sub-assemblies, electronic components, injection molded plastic parts, and other miscellaneous custom parts for our product, some from sole source suppliers. We are still subject to the risk of shortages and long lead times in the supply of these components and the risk that our suppliers discontinue or modify components used in our products. In addition, the lead times associated with certain components are lengthy and preclude rapid changes in quantities or changes for bugs or enhancements. Delays in our suppliers’ abilities, especially any sole suppliers, to provide us with necessary materials and components may delay production or may require us to seek alternative supply sources. Any delay in receiving supplies could impair our ability to deliver products to our customers and, accordingly, could have a material adverse effect on our business, results of operations and financial condition.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We have recently experienced, and in the future are likely to experience, disruption of the supply of some of our parts, components, and assemblies that we obtain from suppliers.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We do not have any long-term supply agreements with any suppliers. We actively monitor and attempt to mitigate supply chain risk, but there can be no assurance that our mitigation plans will be effective to prevent disruptions that may arise from shortages of materials that we use in the production of our products. Any interruption of supply for any material components of our products could significantly delay production and shipment of our products and have a material adverse effect on our revenue, profitability, and financial condition.</w:t>
      </w:r>
    </w:p>
    <w:p>
      <w:pPr>
        <w:pStyle w:val="TextBody"/>
        <w:bidi w:val="0"/>
        <w:spacing w:before="0" w:after="0"/>
        <w:jc w:val="both"/>
        <w:rPr/>
      </w:pPr>
      <w:r>
        <w:rPr/>
        <w:t> </w:t>
      </w:r>
    </w:p>
    <w:p>
      <w:pPr>
        <w:pStyle w:val="TextBody"/>
        <w:bidi w:val="0"/>
        <w:spacing w:before="0" w:after="0"/>
        <w:jc w:val="both"/>
        <w:rPr>
          <w:rFonts w:ascii="Times New Roman" w:hAnsi="Times New Roman"/>
          <w:b/>
          <w:i/>
          <w:sz w:val="20"/>
        </w:rPr>
      </w:pPr>
      <w:r>
        <w:rPr>
          <w:rFonts w:ascii="Times New Roman" w:hAnsi="Times New Roman"/>
          <w:b/>
          <w:i/>
          <w:sz w:val="20"/>
        </w:rPr>
        <w:t xml:space="preserve">Market and economic conditions may negatively impact our business, financial condition and share price.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Concerns over inflation, geopolitical issues, the U.S. financial markets and a declining real estate market, unstable global credit markets and financial conditions, and volatile oil prices have led to periods of significant economic instability, diminished liquidity and credit availability, declines in consumer confidence and discretionary spending, diminished expectations for the global economy and expectations of slower global economic growth going forward, increased unemployment rates, and increased credit defaults in recent years. Our general business strategy may be adversely affected by any such economic downturns, volatile business environments and continued unstable or unpredictable economic and market conditions. If these conditions continue to deteriorate or do not improve, it may make any necessary debt or equity financing more difficult to complete, more costly, and more dilutive. In addition, there is a risk that one or more of our current and future service providers, manufacturers, suppliers, hospitals and other medical facilities, our third-party payors, and other partners could be negatively affected by difficult economic times, which could adversely affect our ability to attain our operating goals on schedule and on budget or meet our business and financial objectives.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23</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b/>
          <w:i/>
          <w:sz w:val="20"/>
          <w:shd w:fill="FFFFFF" w:val="clear"/>
        </w:rPr>
        <w:t>We may not be able to successfully integrate acquisitions in the future, and we may not be able to realize revenue enhancements or other synergies from such acquisitions.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In November 2022, we acquired the rights to certain software assets and services to drive the rapid enhancement of our Wrap Reality Cloud platform, and in August 2023 we acquired Intrensic, which included a Body-Worn Camera and Digital Evidence Management solution. However, our ability to successfully implement our business plan and achieve targeted financial results and other benefits including, among other things, greater market presence and development, and enhancements to our product portfolio and customer base, is dependent on our ability to successfully identify, consummate and integrate acquisitions we may acquire in the future. We may not realize the intended benefits of the acquisition of other businesses in the future as rapidly as, or to the extent, anticipated by our management. There can be no assurance that we will be able to successfully integrate any other acquired businesses, products or technologies without substantial expense, delay or other operational or financial problems. Acquisitions involve several risks, some or all of which could have a material adverse effect on our acquired businesses, products or technologies. Furthermore, there can be no assurance that any acquired business, product, or technology will be profitable or achieve anticipated revenues and income. Our failure to manage our acquisition and integration strategy successfully could have a material adverse effect on our business, results of operations and financial condition. The process of integrating an acquired business involves risks, including but not limited to:</w:t>
      </w:r>
      <w:r>
        <w:rPr>
          <w:rFonts w:ascii="Times New Roman" w:hAnsi="Times New Roman"/>
          <w:sz w:val="24"/>
        </w:rPr>
        <w:t xml:space="preserve"> </w:t>
      </w:r>
    </w:p>
    <w:p>
      <w:pPr>
        <w:pStyle w:val="TextBody"/>
        <w:bidi w:val="0"/>
        <w:jc w:val="both"/>
        <w:rPr/>
      </w:pPr>
      <w:r>
        <w:rPr/>
        <w:t xml:space="preserve">  </w:t>
      </w:r>
    </w:p>
    <w:p>
      <w:pPr>
        <w:pStyle w:val="TextBody"/>
        <w:numPr>
          <w:ilvl w:val="0"/>
          <w:numId w:val="33"/>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Demands on management related to changes in the size and possible locations of our businesses and employees;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34"/>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Diversion of management's attention from the management of daily operations;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35"/>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Difficulties in the assimilation of different corporate cultures, employees and business practices;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36"/>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Retaining the loyalty and business of the employees or customers of acquired businesses;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37"/>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Retaining employees that may be vital to the integration of acquired businesses or to the future prospects of the combined businesses;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38"/>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Difficulties and unanticipated expense related to the integration of departments, information technology systems, including accounting systems, technologies, books and records, and procedures, and maintaining uniform standards, such as internal accounting controls, procedures, and policies;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39"/>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Costs and expense associated with any undisclosed or potential liabilities; and</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40"/>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The use of more cash or other financial resources on integration and implementation activities than we expect.</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Failure to successfully integrate any acquired business in the future may result in reduced levels of revenue, earnings, or operating efficiency than might have been achieved if we had not acquired such businesses.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In addition, the acquisition of any future businesses could result in additional debt and related interest expense, contingent liabilities, and amortization expense related to intangible assets, as well as the issuance of our Common Stock, which could have a material adverse effect on our financial condition, operating results, and cash flow.</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i/>
          <w:sz w:val="20"/>
          <w:shd w:fill="FFFFFF" w:val="clear"/>
        </w:rPr>
        <w:t>Government regulation of our products may adversely affect sales.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Our BolaWrap device is classified as a firearm and the BolaWrap 150 is also classified as an AOW. Both firearms and explosive devices are regulated by the US Bureau of Alcohol, Tobacco, Firearms and Explosives involving substantial regulatory compliance. ATF regulations are enforced by surveillance and inspection of federal firearms licensees (“</w:t>
      </w:r>
      <w:r>
        <w:rPr>
          <w:rFonts w:ascii="Times New Roman" w:hAnsi="Times New Roman"/>
          <w:i/>
          <w:sz w:val="20"/>
        </w:rPr>
        <w:t>FFLs</w:t>
      </w:r>
      <w:r>
        <w:rPr>
          <w:rFonts w:ascii="Times New Roman" w:hAnsi="Times New Roman"/>
          <w:sz w:val="24"/>
        </w:rPr>
        <w:t>”</w:t>
      </w:r>
      <w:r>
        <w:rPr>
          <w:rFonts w:ascii="Times New Roman" w:hAnsi="Times New Roman"/>
          <w:sz w:val="20"/>
        </w:rPr>
        <w:t>). If the ATF finds a violation, it can institute a wide range of enforcement actions, ranging from warnings to more severe sanctions such as fines, penalties, suspension or withdrawal of regulatory approvals, product recalls, seizure of products, operating restrictions or total shutdown of production, and criminal prosecution. Any such actions could have a material adverse impact on our operations.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federal firearms laws impose strict controls over the possession and transfers of firearms, which may impact our ability to transfer devices to customers. Because the ATF has classified our devices as AOWs, we must register our devices with the ATF at the time of manufacture. Before we may transfer our registered devices to any customer, including a government agency, we must obtain approval from the ATF. The ATF processing time for transfer applications varies significantly, depending on the prospective transferee. Applications to transfer AOWs to U.S., state or local government entities are usually processed in 1-3 weeks, while transfers to private, non-licensed individuals require a longer processing time because of the required background investigation of the transferee. These types of transfers may take 6-8 months or longer.</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24</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sz w:val="20"/>
        </w:rPr>
        <w:t>The federal firearms laws prohibit interstate transfers of firearms to non-licensed persons or entities. Consequently, we are prohibited from transferring our devices directly to a non-government, non-licensed individual or entity in a different state. To accomplish such a transfer, we must first obtain ATF approval to transfer the device to another FFL dealer in the end-user’s state. After that transfer is completed, the FFL dealer must obtain ATF approval to transfer the device to the non-government, non-licensed individual. The ATF may deny any transfer application if such transfer would violate state law or when the transferee is prohibited from possessing a firearm.</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Our device may face state restrictions, especially regarding sales to private security agencies. Our product sales may be significantly affected by international, federal, state and local regulations. Failure to comply with regulations could also result in the imposition of fines, penalties and other actions that could adversely impact our financial position, cash flows and operating results.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Our product is also controlled by the US Department of Commerce for exports directly from the US. Consequently, we need to obtain export licenses from the DOC for the export of our products from the US. Compliance with or future changes in US export regulations could significantly and adversely affect any future international sales.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shipment of some of our components and our products involve conformity to regulations governing the transport of “dangerous goods.” Failure to comply with shipping regulations could result in the imposition of fines, penalties and other actions that could adversely impact our financial position, cash flows and operating results.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Certain foreign jurisdictions may restrict the importation or sale of our products, limiting our international sales opportunities.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i/>
          <w:sz w:val="20"/>
          <w:shd w:fill="FFFFFF" w:val="clear"/>
        </w:rPr>
        <w:t>Our products, including the BolaWrap 150, are protected by limited patent and other intellectual property protection. If we are unable to protect our intellectual property, we may lose a competitive advantage or incur substantial litigation costs to protect our rights.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Our future success depends in part upon our proprietary technology. We currently own 32-issued US patents related to the BolaWrap technology and have 8 US patents pending. We have filed foreign patent applications in the European Union (up to 39 countries) and 23 other countries and reserved our rights to file additional foreign patents. Our protective measures taken thus far, including our issued patents, pending patents, issued and pending trademarks and trade secret laws, may prove inadequate to protect our proprietary rights. To date we have a total of </w:t>
      </w:r>
      <w:r>
        <w:rPr>
          <w:rFonts w:ascii="Times New Roman" w:hAnsi="Times New Roman"/>
          <w:sz w:val="20"/>
          <w:shd w:fill="FFFFFF" w:val="clear"/>
        </w:rPr>
        <w:t xml:space="preserve">84 </w:t>
      </w:r>
      <w:r>
        <w:rPr>
          <w:rFonts w:ascii="Times New Roman" w:hAnsi="Times New Roman"/>
          <w:sz w:val="20"/>
        </w:rPr>
        <w:t>issued domestic and international patents. During 2025 we filed 7 patent application</w:t>
      </w:r>
      <w:r>
        <w:rPr>
          <w:rFonts w:ascii="Times New Roman" w:hAnsi="Times New Roman"/>
          <w:sz w:val="20"/>
          <w:shd w:fill="FFFFFF" w:val="clear"/>
        </w:rPr>
        <w:t>s all </w:t>
      </w:r>
      <w:r>
        <w:rPr>
          <w:rFonts w:ascii="Times New Roman" w:hAnsi="Times New Roman"/>
          <w:sz w:val="20"/>
        </w:rPr>
        <w:t>of which were US filings. We feel the significant investment in patent protection in the US and abroad creates a significant amount of IP and value in Wrap. However, there can be no assurance we will be granted any patent rights from pending patents. The scope of any possible patent rights may not prevent others from developing and selling competing products. The validity and breadth of claims covered in any possible patents involve complex legal and factual questions, and the resolution of such claims may be highly uncertain, lengthy, and expensive. In addition, any patents, if granted, may be held invalid upon challenge, or others may claim rights in or ownership of our patents.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Furthermore, the issuance of a patent, while presumed valid and enforceable,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We may not be able to prevent the unauthorized disclosure or use of our technical knowledge or trade secrets by consultants, vendors, former employees and current employees.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Our intellectual property may be challenged, deemed unenforceable, invalidated or circumvented. We will be able to protect our intellectual property rights from unauthorized use by third parties only to the extent that these rights (and the products and services they cover) are protected by valid and enforceable patents, copyrights or trademarks, or are effectively maintained as trade secrets.</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Any patents we obtain may be challenged by re-examination or otherwise invalidated or eventually found unenforceable. A third-party may submit prior art, or we may become involved in opposition, derivation, reexamination, inter partes review, post-grant review, supplemental examination, or interference proceedings challenging our patent rights or development partners. The costs of defending or enforcing our proprietary rights in these proceedings can be substantial, and the outcome can be uncertain. An adverse determination in any such submission or proceeding could reduce the scope of, or invalidate, our patent rights, allow third parties to commercialize our technology or products and compete directly with us, or reduce our ability to manufacture or commercialize products. Furthermore, if the scope or strength of protection provided by our patents and patent applications is threatened, it could discourage companies from collaborating with us to license, develop or commercialize current or future products, or to settle any infringement litigation. The ownership of our proprietary rights could also be challenged.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25</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particularly in litigation in countries other than the U.S. that do not provide an extensive discovery procedure. Any litigation to enforce or defend our patent rights, if any,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Both the patent application process and the process of managing patent disputes can be time consuming and expensive. If we were to initiate legal proceedings against a third party to enforce a patent relating to one of our products, the defendant in such litigation could counterclaim that the asserted patents are invalid and/or unenforceable. In patent litigation in the U.S., defendant counterclaims alleging invalidity or unenforceability are common, as are validity challenges by the defendant against the subject patent or related patents before the U.S. Patent and Trademark Office ("USPTO"). Grounds for a validity challenge could be an alleged failure to meet any of several statutory patentability requirements, including lack of novelty, obviousness, non-enablement, failure to meet the written description requirement, indefiniteness, and/or failure to claim patentable subject matter. Grounds for an unenforceability assertion could be an allegation that someone connected to prosecution of the patents at issue intentionally withheld material information from the USPTO or made a material misleading statement during prosecution. Additional grounds for an unenforceability assertion include an allegation of misuse or anticompetitive use of patent rights, and an allegation of incorrect inventorship with deceptive intent. Third parties may also raise similar claims before the USPTO, even outside the context of litigation. The outcome of any assertion of invalidity and/or unenforceability is unpredictable. If a defendant or third party were to prevail on a legal assertion of invalidity and/or unenforceability, we would lose at least part, and perhaps all, of the claims of the challenged patents. Such a loss of patent protection could have a material adverse impact on our business.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We may not be able to protect our intellectual property rights throughout the world.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Patent rights are territorial, and patent protection extends only to those countries where we have issued patents.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As part of ordinary course prosecution and maintenance activities, we determine whether to seek patent protection outside the U.S. and in which countries. This also applies to patents we have acquired or in-licensed from third parties. In some cases, this means that we, or our predecessors in interest or licensors of patents within our portfolio, have sought patent protection in a limited number of countries for patents covering our product candidates. Competitors may use our technologies in jurisdictions where we have not obtained or are unable to adequately enforce patent protection to develop their own products and further, may export otherwise infringing products to territories where we have patent protection, but enforcement is generally not as strong as that in the United States. These products may compete with our products and our patents or other intellectual property rights may not be effective or sufficient to prevent them from competing.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the reproduction of our manufacturing or other know-how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26</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Europe, a new unitary patent system, which took effect on June 1, 2023, may significantly impact European patent enforcement actions, including those granted before the introduction of the new system. Under the new system, Applicants can, upon grant of a patent, opt for that patent to become a Unitary Patent which will be subject to the jurisdiction of a new Unitary Patent Court (UPC). Patents granted before the implementation of the new system can be opted out of UPC jurisdiction, remaining as national patents in the UPC countries. Patents that remain under the jurisdiction of the UPC may be challenged in a single UPC-based revocation proceeding that, if successful, could invalidate the patent in all countries who are signatories to the UPC. Further, because the UPC is a fairly new court system and there is little precedent for the court’s laws, there is increased uncertainty regarding the outcome of any patent litigation. We are unable to predict what impact the new patent regime may have on our ability to exclude competitors in the European market. In addition to changes in patent laws, patent procedures, and geopolitical dynamics, such as Russia’s incursion into Ukraine, may also impact our ability to obtain and enforce patents in particular jurisdictions. If we are unable to obtain and enforce patents or other IP rights as needed in particular markets, our ability to exclude competitors or stop other violations of our IP in those markets may be reduced.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If we are unable to maintain effective proprietary rights for our technologies or commercial products, we may not be able to compete effectively in our markets.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Moreover, if any of our trade secrets were to be lawfully obtained or independently developed by a competitor, we would have no right to prevent such competitor from using that technology or information to compete with us, which could harm our competitive position.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Although we expect all of our employees and consultants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Additionally, if the steps taken to maintain our trade secrets are deemed inadequate, we may have insufficient recourse against third parties for misappropriating such trade secrets. In addition, others may independently discover our trade secrets and proprietary information.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Further, the laws of some foreign countries do not protect proprietary rights to the same extent or in the same manner as the laws of the U.S. As a result, we may encounter significant problems in protecting and defending our intellectual property both in the U.S. and abroad. If we are unable to prevent material disclosure of the intellectual property related to our technologies to third parties, we will not be able to establish or maintain a competitive advantage in our market, which could materially adversely affect our business, financial condition and results of operations.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Our competitive position may be seriously damaged if our products are found to infringe on the intellectual property rights of others.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We may not have identified all patents, published applications or published literature that affect our business either by blocking our ability to commercialize our products, by preventing the patentability of one or more aspects of our products to us, or by covering the same or similar technologies that may affect our ability to market our products. For example, we may not have conducted a patent clearance search sufficient to identify potentially obstructing third party patent rights. Moreover, patent applications in the United States are maintained in confidence for up to 18 months after their filing. In some cases, however, patent applications remain confidential in the USPTO, for the entire time prior to issuance as a U.S. patent. Patent applications filed in countries outside of the United States are not typically published until at least 18 months from their first filing date. Similarly, publication of discoveries in the scientific or patent literature often lags behind actual discoveries. We cannot be certain that we were the first to invent, or the first to file, patent applications covering our products. We also may not know if our competitors filed patent applications for technology covered by our pending applications or if we were the first to invent the technology that is the subject of our patent applications. Competitors may have filed patent applications or received patents and may obtain additional patents and proprietary rights that block or compete with our patents.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27</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Our product may infringe or may be alleged to infringe existing patents or patents that may be granted in the future. Pending patent applications which have been published can, subject to certain limitations, be later amended in a manner that could cover our technologies, our products, or the use of our products. As a result, we may become party to, or threatened with, future adversarial proceedings or litigation regarding patents with respect to our products and technology.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products. Our failure to identify and correctly interpret relevant patents may negatively impact our ability to develop and market our products.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Furthermore, other companies and our competitors may currently own or obtain patents or other proprietary rights that might prevent, limit or interfere with our ability to make, use or sell our products. Any intellectual property infringement claims made against us, with or without merit, could be costly and time-consuming to defend and divert our management’s attention from our business. In the event of a successful claim of infringement against us and if we are unable to license the allegedly infringed technology, our business and operating results could be adversely affected. Any litigation or claims, whether or not valid, could result in substantial costs and diversion of our resources. An adverse result from intellectual property litigation could force us to do one or more of the following:</w:t>
      </w:r>
      <w:r>
        <w:rPr>
          <w:rFonts w:ascii="Times New Roman" w:hAnsi="Times New Roman"/>
          <w:sz w:val="24"/>
        </w:rPr>
        <w:t xml:space="preserve"> </w:t>
      </w:r>
    </w:p>
    <w:p>
      <w:pPr>
        <w:pStyle w:val="TextBody"/>
        <w:bidi w:val="0"/>
        <w:jc w:val="both"/>
        <w:rPr/>
      </w:pPr>
      <w:r>
        <w:rPr/>
        <w:t xml:space="preserve">  </w:t>
      </w:r>
    </w:p>
    <w:p>
      <w:pPr>
        <w:pStyle w:val="TextBody"/>
        <w:numPr>
          <w:ilvl w:val="0"/>
          <w:numId w:val="41"/>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Cease selling, incorporating, or using products or services that incorporate the challenged intellectual property;</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42"/>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Obtain a license from the holder of the infringed intellectual property right, which license may not be available on reasonable terms, if at all; and</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43"/>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Redesign products or services that incorporate the disputed technology.</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If we are forced to take any of the foregoing actions, we could face substantial costs and shipment delays, and our business could be materially harmed. Although we carry general liability insurance, our insurance may not cover potential claims of this type or be adequate to indemnify us for all liability that may be imposed.</w:t>
      </w:r>
      <w:r>
        <w:rPr>
          <w:rFonts w:ascii="Times New Roman" w:hAnsi="Times New Roman"/>
          <w:sz w:val="24"/>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If we are sued for patent infringement, we would need to demonstrate that our products or technology either do not infringe the patent claims of the relevant patent or that the patent claims are invalid, and we may not be able to do this. If we are found to infringe a third party’s patent, we could be required to obtain a license from such third party to continue developing and marketing our products and technology or we may elect to enter into such a license in order to settle litigation or in order to resolve disputes prior to litigation. However, we may not be able to obtain any required license on commercially reasonable terms or at all. Even if we are able to obtain a license, it could be non-exclusive, thereby giving our competitors access to the same technologies licensed to us and could require us to make substantial royalty payments. We could also be forced, including by court order, to cease commercializing the infringing technology or product. A finding of infringement could prevent us from commercializing our product or force us to cease some of our business operations, which could materially harm our business. Claims that we have misappropriated confidential information or trade secrets of third parties could have a similar negative impact on our business. Any such claims or infringement or misappropriation are likely to be expensive to defend, and some of our competitors may be able to sustain the costs of complex patent litigation more effectively than us if they have substantially greater resources. Moreover, even if we are successful in defending any infringement proceedings we may incur substantial costs and divert management’s time and attention. There could also be public announcements of the results of the hearing, motions or other interim proceedings or developments. If securities analysts or investors perceive those results to be negative, it could cause the price of shares of our Common Stock to decline.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Furthermore, because of the substantial amount of discovery required in connection with intellectual property litigations in general, there is a risk that some of our confidential information could be compromised by disclosure during intellectual property litigation or proceeding.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Most of our competitors are larger than we are and have substantially greater resources. They are, therefore, likely to be able to sustain the costs of complex intellectual property litigation or proceedings more effectively than we can because of their greater financial resources and more mature and developed intellectual property portfolios. Accordingly, despite our efforts, we may not be able to prevent third parties from infringing, misappropriating or otherwise violating our intellectual property.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28</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In addition, it is possible that others may seek indemnity from us if our products are found or alleged to infringe the intellectual property rights of others. Any such claim for indemnity could result in substantial expense to us that could harm our operating results. </w:t>
      </w:r>
    </w:p>
    <w:p>
      <w:pPr>
        <w:pStyle w:val="TextBody"/>
        <w:bidi w:val="0"/>
        <w:spacing w:before="0" w:after="0"/>
        <w:jc w:val="both"/>
        <w:rPr/>
      </w:pPr>
      <w:r>
        <w:rPr/>
        <w:t>  </w:t>
      </w:r>
    </w:p>
    <w:p>
      <w:pPr>
        <w:pStyle w:val="TextBody"/>
        <w:bidi w:val="0"/>
        <w:spacing w:before="0" w:after="0"/>
        <w:jc w:val="both"/>
        <w:rPr>
          <w:rFonts w:ascii="Times New Roman" w:hAnsi="Times New Roman"/>
          <w:b/>
          <w:i/>
          <w:sz w:val="20"/>
        </w:rPr>
      </w:pPr>
      <w:r>
        <w:rPr>
          <w:rFonts w:ascii="Times New Roman" w:hAnsi="Times New Roman"/>
          <w:b/>
          <w:i/>
          <w:sz w:val="20"/>
        </w:rPr>
        <w:t xml:space="preserve">Obtaining and maintaining patent protection depends on compliance with various procedures, document submissions, fee payments and other requirements imposed by governmental patent agencies, and our patent protection could be reduced or eliminated in case of non-compliance with these requirements.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Periodic maintenance fees, renewal fees, annuity fees and various other governmental fees on patents and/or applications will be due to be paid by us to the relevant patent agencies in several stages over the lifetime of the patents and/or applications. The relevant patent agencies require compliance with a number of procedural, documentary, fee payment and other provisions during the patent application process. In many cases, an inadvertent lapse can be cured by payment of a late fee or by other means in accordance with the applicable rules. However, there are situations in which the failure to comply with the relevant requirements can result in the abandonment or lapse of the patent or patent application, resulting in partial or complete loss of patent rights in the relevant jurisdiction. In such an event, our competitors might be able to use our technologies and know-how which could have a material adverse effect on our business, prospects, financial condition and results of operations.</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sz w:val="20"/>
        </w:rPr>
        <w:t>In addition, it is possible that others may seek indemnity from us if our products are found or alleged to infringe the intellectual property rights of others. Any such claim for indemnity could result in substantial expense to us that could harm our operating results.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i/>
          <w:sz w:val="20"/>
          <w:shd w:fill="FFFFFF" w:val="clear"/>
        </w:rPr>
        <w:t>Competition in the law enforcement market could reduce our sales, make our products obsolete or inferior and prevent us from achieving profitability.</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law enforcement market is highly competitive, and adoption of new policing tools and innovative training solutions may take time, Law enforcement adherence to currently used products may also slow adaptation to new policing tools. We face competition from numerous larger, better capitalized, more experienced and more widely known companies that make less-lethal weapons and other law enforcement products. One or more of our competitors may have developed or may succeed in developing technologies and products that are more effective than any of ours, rendering our technology and products obsolete or noncompetitive. Increased competition could result in reduced sales, greater pricing pressure, lower gross margins, and prevent us from achieving profitability.</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i/>
          <w:sz w:val="20"/>
          <w:shd w:fill="FFFFFF" w:val="clear"/>
        </w:rPr>
        <w:t>Foreign currency fluctuations may reduce our competitiveness and sales in international markets.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relative change in currency values creates fluctuations in product pricing for future potential international customers. These changes in international end-user costs may result in lost orders and reduce the competitiveness of our products in certain international markets. These changes may also negatively affect the financial condition of some international customers and reduce or eliminate their future orders of our products.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i/>
          <w:sz w:val="20"/>
          <w:shd w:fill="FFFFFF" w:val="clear"/>
        </w:rPr>
        <w:t>Our business is dependent on the ability to attract and retain key personnel.</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We are dependent on our ability to retain and motivate our high-quality personnel, especially managers, sales and skilled engineering and manufacturing personnel. Competition for such personnel is intense, and we may not be able to attract, assimilate or retain other highly qualified managerial, sales and technical personnel in the future. The inability to attract and retain the necessary managerial, sales and technical personnel could cause our business, operating results or financial condition to suffer.</w:t>
      </w:r>
    </w:p>
    <w:p>
      <w:pPr>
        <w:pStyle w:val="TextBody"/>
        <w:bidi w:val="0"/>
        <w:spacing w:before="0" w:after="0"/>
        <w:jc w:val="both"/>
        <w:rPr/>
      </w:pPr>
      <w:r>
        <w:rPr/>
        <w:t> </w:t>
      </w:r>
    </w:p>
    <w:p>
      <w:pPr>
        <w:pStyle w:val="TextBody"/>
        <w:bidi w:val="0"/>
        <w:spacing w:before="0" w:after="0"/>
        <w:jc w:val="both"/>
        <w:rPr>
          <w:rFonts w:ascii="Times New Roman" w:hAnsi="Times New Roman"/>
          <w:b/>
          <w:i/>
          <w:sz w:val="20"/>
        </w:rPr>
      </w:pPr>
      <w:r>
        <w:rPr>
          <w:rFonts w:ascii="Times New Roman" w:hAnsi="Times New Roman"/>
          <w:b/>
          <w:i/>
          <w:sz w:val="20"/>
        </w:rPr>
        <w:t xml:space="preserve">A failure in or breach of our or our operational or security systems or infrastructure, or those of third parties with which we do business, including as a result of cyberattacks, could disrupt our businesses, result in the disclosure or misuse of confidential or proprietary information, damage our reputation, increase our costs and cause losses.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Information security risks have significantly increased in recent years in part because of the proliferation of new technologies, the use of the Internet and telecommunications technologies to conduct operations, and the increased sophistication and activities of organized crime, hackers, terrorists and other external parties, including foreign state actors. Our operations and certain of our products rely on the secure processing, transmission and storage of confidential, proprietary and other information in our computer systems and networks. We rely on our digital technologies, computer and email systems, software, and networks to conduct our operations. Our technologies, systems, networks are likely to be the target of, cyberattacks, computer viruses, malicious code, phishing attacks or information security breaches that could result in the unauthorized release, gathering, monitoring, misuse, loss or destruction of our or our customers’ confidential, proprietary and other information, or otherwise disrupt our or our customers’ or other third parties’ business operations.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29</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We may suffer material losses relating to cyberattacks or other information security breaches. Our risk and exposure to these matters remain heightened because of, among other things, the evolving nature of these threats, the continued uncertain global economic environment, threats of cyberterrorism, and system and customer account conversions. As a result, cybersecurity and the continued development and enhancement of our controls, processes and practices designed to protect our systems, computers, software, data and networks from attack, damage or unauthorized access remain a priority for us. As cyber threats continue to evolve, we may be required to expend significant additional financial, technical and operational resources to continue to modify or enhance our protective measures or to investigate and remediate any information security vulnerabilities.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In addition, we also face the risk of operational failure, termination or capacity constraints of any of the third parties with which we do business or that facilitate our and our subsidiaries’ business activities. Any such failure, termination or constraint could adversely affect our and our subsidiaries’ ability to provide our services and products, service the customers, manage the exposure to risk or expand our businesses and could have an adverse impact on our liquidity, financial condition and results of operations.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Disruptions or failures in the physical infrastructure or operating systems that support our business, or cyberattacks could result in the loss of business opportunities, significant disruptions to our operations and business, misappropriation of our confidential information and/or that of our customers, or damage to our computers or systems and those of our customers and/or counterparties, and could result in violations of applicable privacy laws and other laws, litigation exposure, regulatory fines, penalties or intervention, loss of confidence in our security measures, reputational damage, reimbursement or other compensatory costs, and additional compliance costs.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The regulatory framework for artificial intelligence (“AI”) technologies is rapidly evolving as many federal, state and foreign government bodies and agencies have introduced or are currently considering additional laws and regulations. In addition, existing laws and regulations may be interpreted in ways that would affect the use of AI in our business.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w:t>
      </w:r>
    </w:p>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We incorporate AI solutions into our Body Worn Camera and Digital Evidence Management solutions, services, and features, and these applications are important in our operations. The regulatory framework for AI technologies is rapidly evolving as many federal, state and foreign government bodies and agencies have introduced or are currently considering additional laws and regulations. In addition, existing laws and regulations may be interpreted in ways that would affect the use of AI in our business. As a result, implementation standards and enforcement practices are likely to remain uncertain for the foreseeable future, and we cannot yet determine the impact future laws, regulations, standards, or market perception of their requirements may have on our business and may not always be able to anticipate how to respond to these laws or regulations.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Certain existing legal regimes (e.g., relating to data privacy) regulate certain aspects of AI technologies, and new laws regulating AI technologies recently entered into force in the United States and Europe. In the United States, former Biden administration issued a broad Executive Order on the Safe, Secure and Trustworthy Development and Use of Artificial Intelligence (the “2023 AI Order”), which sets out principles intended to guide AI design and deployment for the public and private sectors and signals the increase in governmental involvement and regulation over AI technologies. This executive order was revoked by President Trump on January 23, 2025. Subsequently, on January 23, 2025, the President issued Executive Order on Removing Barriers to American Leadership in Artificial Intelligence, which directed relevant agencies to develop an action plan to assure global dominance by the United States in artificial intelligence, and to examine any actions taken in connection with the 2023 AI Order, which are incongruent with Trump’s order.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In addition, agencies such as the Department of Commerce and the Federal Trade Commission have issued proposed rules governing the use and development of AI technologies. Legislation related to AI technologies has also been introduced at the federal level and is advancing at the state level. Such additional regulations may impact our ability to develop, use, and commercialize AI technologies offered by our service providers and within our products and services in the future.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On May 21, 2024, the European Union legislators approved the EU Artificial Intelligence Act (the “EU AI Act”), which establishes a comprehensive, risk-based governance framework for artificial intelligence in the EU market. The EU AI Act entered into force on August 2, 2024, and the majority of the substantive requirements will apply from August 2, 2026. The EU AI Act, and developing interpretation and application of the GDPR in respect of automated decision making, together with developing guidance and/or decisions in this area, may affect our use of AI technologies and our ability to provide, improve or commercialize our business, require additional compliance measures and changes to our operations and processes, result in increased compliance costs and potential increases in civil claims against us, and could adversely affect our business, operations and financial condition.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30</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 xml:space="preserve">It is possible that further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business and the way in which we use AI technologies. We may need to expend resources to adjust our system in certain jurisdictions if the laws, regulations, or decisions are not consistent across jurisdictions.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materially and adversely affect our business, financial condition, results of operations, and prospects. Further, a number of aspects of intellectual property protection in the field of AI are currently under development and there is uncertainty and ongoing litigation in different jurisdictions as to the degree and extent of protection warranted for AI and relevant system input and outputs. If we fail to obtain protection for our intellectual property rights within our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given the long history of development of AI technologies, other parties may have (or in the future may obtain) patents or other proprietary rights that would prevent, limit or interfere with our ability to make, use or sell our own AI technologies.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Risk Factors Relating to Our Financial Statements and Operating Results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i/>
          <w:sz w:val="20"/>
        </w:rPr>
        <w:t>We cannot predict our future operating results. Our quarterly and annual results will likely be subject to fluctuations caused by many factors, any of which could result in our failure to achieve our expectations.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jc w:val="both"/>
        <w:rPr>
          <w:rFonts w:ascii="Times New Roman" w:hAnsi="Times New Roman"/>
          <w:sz w:val="20"/>
        </w:rPr>
      </w:pPr>
      <w:r>
        <w:rPr>
          <w:rFonts w:ascii="Times New Roman" w:hAnsi="Times New Roman"/>
          <w:sz w:val="20"/>
        </w:rPr>
        <w:t>We currently expect that the BolaWrap product will be the primary source of our revenue in 2026. We expect our revenue to vary significantly due to several factors. Many of these factors are beyond our control. Any one or more of these factors, including those listed below, could cause us to fail to achieve our revenue expectations. These factors include, among others:</w:t>
      </w:r>
    </w:p>
    <w:p>
      <w:pPr>
        <w:pStyle w:val="TextBody"/>
        <w:numPr>
          <w:ilvl w:val="0"/>
          <w:numId w:val="44"/>
        </w:numPr>
        <w:tabs>
          <w:tab w:val="clear" w:pos="1134"/>
          <w:tab w:val="left" w:pos="709" w:leader="none"/>
        </w:tabs>
        <w:bidi w:val="0"/>
        <w:spacing w:before="0" w:after="0"/>
        <w:ind w:left="709" w:hanging="283"/>
        <w:jc w:val="left"/>
        <w:rPr>
          <w:rFonts w:ascii="Times New Roman" w:hAnsi="Times New Roman"/>
          <w:color w:val="000000"/>
          <w:sz w:val="20"/>
        </w:rPr>
      </w:pPr>
      <w:r>
        <w:rPr>
          <w:rFonts w:ascii="Times New Roman" w:hAnsi="Times New Roman"/>
          <w:color w:val="000000"/>
          <w:sz w:val="20"/>
        </w:rPr>
        <w:t xml:space="preserve">Our ability to develop, manufacture, ship and supply product to customers; </w:t>
      </w:r>
    </w:p>
    <w:p>
      <w:pPr>
        <w:pStyle w:val="TextBody"/>
        <w:numPr>
          <w:ilvl w:val="0"/>
          <w:numId w:val="44"/>
        </w:numPr>
        <w:tabs>
          <w:tab w:val="clear" w:pos="1134"/>
          <w:tab w:val="left" w:pos="709" w:leader="none"/>
        </w:tabs>
        <w:bidi w:val="0"/>
        <w:spacing w:before="0" w:after="0"/>
        <w:ind w:left="709" w:hanging="283"/>
        <w:jc w:val="left"/>
        <w:rPr>
          <w:rFonts w:ascii="Times New Roman" w:hAnsi="Times New Roman"/>
          <w:color w:val="000000"/>
          <w:sz w:val="20"/>
        </w:rPr>
      </w:pPr>
      <w:r>
        <w:rPr>
          <w:rFonts w:ascii="Times New Roman" w:hAnsi="Times New Roman"/>
          <w:color w:val="000000"/>
          <w:sz w:val="20"/>
        </w:rPr>
        <w:t xml:space="preserve">Market acceptance of, and changes in demand for, our products; </w:t>
      </w:r>
    </w:p>
    <w:p>
      <w:pPr>
        <w:pStyle w:val="TextBody"/>
        <w:numPr>
          <w:ilvl w:val="0"/>
          <w:numId w:val="44"/>
        </w:numPr>
        <w:tabs>
          <w:tab w:val="clear" w:pos="1134"/>
          <w:tab w:val="left" w:pos="709" w:leader="none"/>
        </w:tabs>
        <w:bidi w:val="0"/>
        <w:spacing w:before="0" w:after="0"/>
        <w:ind w:left="709" w:hanging="283"/>
        <w:jc w:val="left"/>
        <w:rPr>
          <w:rFonts w:ascii="Times New Roman" w:hAnsi="Times New Roman"/>
          <w:color w:val="000000"/>
          <w:sz w:val="20"/>
        </w:rPr>
      </w:pPr>
      <w:r>
        <w:rPr>
          <w:rFonts w:ascii="Times New Roman" w:hAnsi="Times New Roman"/>
          <w:color w:val="000000"/>
          <w:sz w:val="20"/>
        </w:rPr>
        <w:t xml:space="preserve">Gains or losses of significant customers, distributors, or strategic relationships; </w:t>
      </w:r>
    </w:p>
    <w:p>
      <w:pPr>
        <w:pStyle w:val="TextBody"/>
        <w:numPr>
          <w:ilvl w:val="0"/>
          <w:numId w:val="44"/>
        </w:numPr>
        <w:tabs>
          <w:tab w:val="clear" w:pos="1134"/>
          <w:tab w:val="left" w:pos="709" w:leader="none"/>
        </w:tabs>
        <w:bidi w:val="0"/>
        <w:spacing w:before="0" w:after="0"/>
        <w:ind w:left="709" w:hanging="283"/>
        <w:jc w:val="left"/>
        <w:rPr>
          <w:rFonts w:ascii="Times New Roman" w:hAnsi="Times New Roman"/>
          <w:color w:val="000000"/>
          <w:sz w:val="20"/>
        </w:rPr>
      </w:pPr>
      <w:r>
        <w:rPr>
          <w:rFonts w:ascii="Times New Roman" w:hAnsi="Times New Roman"/>
          <w:color w:val="000000"/>
          <w:sz w:val="20"/>
        </w:rPr>
        <w:t xml:space="preserve">Unpredictable volume and timing of customer orders; </w:t>
      </w:r>
    </w:p>
    <w:p>
      <w:pPr>
        <w:pStyle w:val="TextBody"/>
        <w:numPr>
          <w:ilvl w:val="0"/>
          <w:numId w:val="44"/>
        </w:numPr>
        <w:tabs>
          <w:tab w:val="clear" w:pos="1134"/>
          <w:tab w:val="left" w:pos="709" w:leader="none"/>
        </w:tabs>
        <w:bidi w:val="0"/>
        <w:spacing w:before="0" w:after="0"/>
        <w:ind w:left="709" w:hanging="283"/>
        <w:jc w:val="left"/>
        <w:rPr>
          <w:rFonts w:ascii="Times New Roman" w:hAnsi="Times New Roman"/>
          <w:color w:val="000000"/>
          <w:sz w:val="20"/>
        </w:rPr>
      </w:pPr>
      <w:r>
        <w:rPr>
          <w:rFonts w:ascii="Times New Roman" w:hAnsi="Times New Roman"/>
          <w:color w:val="000000"/>
          <w:sz w:val="20"/>
        </w:rPr>
        <w:t xml:space="preserve">The availability, pricing, and timeliness of delivery of components in our supply chain for our products; </w:t>
      </w:r>
    </w:p>
    <w:p>
      <w:pPr>
        <w:pStyle w:val="TextBody"/>
        <w:numPr>
          <w:ilvl w:val="0"/>
          <w:numId w:val="44"/>
        </w:numPr>
        <w:tabs>
          <w:tab w:val="clear" w:pos="1134"/>
          <w:tab w:val="left" w:pos="709" w:leader="none"/>
        </w:tabs>
        <w:bidi w:val="0"/>
        <w:spacing w:before="0" w:after="0"/>
        <w:ind w:left="709" w:hanging="283"/>
        <w:jc w:val="left"/>
        <w:rPr>
          <w:rFonts w:ascii="Times New Roman" w:hAnsi="Times New Roman"/>
          <w:color w:val="000000"/>
          <w:sz w:val="20"/>
        </w:rPr>
      </w:pPr>
      <w:r>
        <w:rPr>
          <w:rFonts w:ascii="Times New Roman" w:hAnsi="Times New Roman"/>
          <w:color w:val="000000"/>
          <w:sz w:val="20"/>
        </w:rPr>
        <w:t xml:space="preserve">Fluctuations in the availability of manufacturing capacity or manufacturing yields and related manufacturing costs; </w:t>
      </w:r>
    </w:p>
    <w:p>
      <w:pPr>
        <w:pStyle w:val="TextBody"/>
        <w:numPr>
          <w:ilvl w:val="0"/>
          <w:numId w:val="44"/>
        </w:numPr>
        <w:tabs>
          <w:tab w:val="clear" w:pos="1134"/>
          <w:tab w:val="left" w:pos="709" w:leader="none"/>
        </w:tabs>
        <w:bidi w:val="0"/>
        <w:spacing w:before="0" w:after="0"/>
        <w:ind w:left="709" w:hanging="283"/>
        <w:jc w:val="left"/>
        <w:rPr>
          <w:rFonts w:ascii="Times New Roman" w:hAnsi="Times New Roman"/>
          <w:color w:val="000000"/>
          <w:sz w:val="20"/>
        </w:rPr>
      </w:pPr>
      <w:r>
        <w:rPr>
          <w:rFonts w:ascii="Times New Roman" w:hAnsi="Times New Roman"/>
          <w:color w:val="000000"/>
          <w:sz w:val="20"/>
        </w:rPr>
        <w:t xml:space="preserve">Timing of new technological advances, product announcements or introductions by us and by our competitors; </w:t>
      </w:r>
    </w:p>
    <w:p>
      <w:pPr>
        <w:pStyle w:val="TextBody"/>
        <w:numPr>
          <w:ilvl w:val="0"/>
          <w:numId w:val="44"/>
        </w:numPr>
        <w:tabs>
          <w:tab w:val="clear" w:pos="1134"/>
          <w:tab w:val="left" w:pos="709" w:leader="none"/>
        </w:tabs>
        <w:bidi w:val="0"/>
        <w:spacing w:before="0" w:after="0"/>
        <w:ind w:left="709" w:hanging="283"/>
        <w:jc w:val="left"/>
        <w:rPr>
          <w:rFonts w:ascii="Times New Roman" w:hAnsi="Times New Roman"/>
          <w:color w:val="000000"/>
          <w:sz w:val="20"/>
        </w:rPr>
      </w:pPr>
      <w:r>
        <w:rPr>
          <w:rFonts w:ascii="Times New Roman" w:hAnsi="Times New Roman"/>
          <w:color w:val="000000"/>
          <w:sz w:val="20"/>
        </w:rPr>
        <w:t xml:space="preserve">Unpredictable warranty costs associated with our products; </w:t>
      </w:r>
    </w:p>
    <w:p>
      <w:pPr>
        <w:pStyle w:val="TextBody"/>
        <w:numPr>
          <w:ilvl w:val="0"/>
          <w:numId w:val="44"/>
        </w:numPr>
        <w:tabs>
          <w:tab w:val="clear" w:pos="1134"/>
          <w:tab w:val="left" w:pos="709" w:leader="none"/>
        </w:tabs>
        <w:bidi w:val="0"/>
        <w:spacing w:before="0" w:after="0"/>
        <w:ind w:left="709" w:hanging="283"/>
        <w:jc w:val="left"/>
        <w:rPr>
          <w:rFonts w:ascii="Times New Roman" w:hAnsi="Times New Roman"/>
          <w:color w:val="000000"/>
          <w:sz w:val="20"/>
        </w:rPr>
      </w:pPr>
      <w:r>
        <w:rPr>
          <w:rFonts w:ascii="Times New Roman" w:hAnsi="Times New Roman"/>
          <w:color w:val="000000"/>
          <w:sz w:val="20"/>
        </w:rPr>
        <w:t xml:space="preserve">Budgetary cycles and order delays by customers or production delays by us or our suppliers; </w:t>
      </w:r>
    </w:p>
    <w:p>
      <w:pPr>
        <w:pStyle w:val="TextBody"/>
        <w:numPr>
          <w:ilvl w:val="0"/>
          <w:numId w:val="44"/>
        </w:numPr>
        <w:tabs>
          <w:tab w:val="clear" w:pos="1134"/>
          <w:tab w:val="left" w:pos="709" w:leader="none"/>
        </w:tabs>
        <w:bidi w:val="0"/>
        <w:spacing w:before="0" w:after="0"/>
        <w:ind w:left="709" w:hanging="283"/>
        <w:jc w:val="left"/>
        <w:rPr>
          <w:rFonts w:ascii="Times New Roman" w:hAnsi="Times New Roman"/>
          <w:color w:val="000000"/>
          <w:sz w:val="20"/>
        </w:rPr>
      </w:pPr>
      <w:r>
        <w:rPr>
          <w:rFonts w:ascii="Times New Roman" w:hAnsi="Times New Roman"/>
          <w:color w:val="000000"/>
          <w:sz w:val="20"/>
        </w:rPr>
        <w:t xml:space="preserve">Regulatory changes affecting the marketability of our products; </w:t>
      </w:r>
    </w:p>
    <w:p>
      <w:pPr>
        <w:pStyle w:val="TextBody"/>
        <w:numPr>
          <w:ilvl w:val="0"/>
          <w:numId w:val="44"/>
        </w:numPr>
        <w:tabs>
          <w:tab w:val="clear" w:pos="1134"/>
          <w:tab w:val="left" w:pos="709" w:leader="none"/>
        </w:tabs>
        <w:bidi w:val="0"/>
        <w:spacing w:before="0" w:after="0"/>
        <w:ind w:left="709" w:hanging="283"/>
        <w:jc w:val="left"/>
        <w:rPr>
          <w:rFonts w:ascii="Times New Roman" w:hAnsi="Times New Roman"/>
          <w:color w:val="000000"/>
          <w:sz w:val="20"/>
        </w:rPr>
      </w:pPr>
      <w:r>
        <w:rPr>
          <w:rFonts w:ascii="Times New Roman" w:hAnsi="Times New Roman"/>
          <w:color w:val="000000"/>
          <w:sz w:val="20"/>
        </w:rPr>
        <w:t xml:space="preserve">General economic conditions that could affect the timing of customer orders and capital spending and result in order cancellations or rescheduling </w:t>
      </w:r>
    </w:p>
    <w:p>
      <w:pPr>
        <w:pStyle w:val="TextBody"/>
        <w:numPr>
          <w:ilvl w:val="0"/>
          <w:numId w:val="44"/>
        </w:numPr>
        <w:tabs>
          <w:tab w:val="clear" w:pos="1134"/>
          <w:tab w:val="left" w:pos="709" w:leader="none"/>
        </w:tabs>
        <w:bidi w:val="0"/>
        <w:spacing w:before="0" w:after="0"/>
        <w:ind w:left="709" w:hanging="283"/>
        <w:jc w:val="left"/>
        <w:rPr>
          <w:rFonts w:ascii="Times New Roman" w:hAnsi="Times New Roman"/>
          <w:color w:val="000000"/>
          <w:sz w:val="20"/>
        </w:rPr>
      </w:pPr>
      <w:r>
        <w:rPr>
          <w:rFonts w:ascii="Times New Roman" w:hAnsi="Times New Roman"/>
          <w:color w:val="000000"/>
          <w:sz w:val="20"/>
        </w:rPr>
        <w:t xml:space="preserve">General political conditions in this country and in various other parts of the world that could affect spending for the products that we intend to offer; and </w:t>
      </w:r>
    </w:p>
    <w:p>
      <w:pPr>
        <w:pStyle w:val="TextBody"/>
        <w:numPr>
          <w:ilvl w:val="0"/>
          <w:numId w:val="44"/>
        </w:numPr>
        <w:tabs>
          <w:tab w:val="clear" w:pos="1134"/>
          <w:tab w:val="left" w:pos="709" w:leader="none"/>
        </w:tabs>
        <w:bidi w:val="0"/>
        <w:ind w:left="709" w:hanging="283"/>
        <w:jc w:val="left"/>
        <w:rPr>
          <w:rFonts w:ascii="Times New Roman" w:hAnsi="Times New Roman"/>
          <w:color w:val="000000"/>
          <w:sz w:val="20"/>
        </w:rPr>
      </w:pPr>
      <w:r>
        <w:rPr>
          <w:rFonts w:ascii="Times New Roman" w:hAnsi="Times New Roman"/>
          <w:color w:val="000000"/>
          <w:sz w:val="20"/>
        </w:rPr>
        <w:t xml:space="preserve">Seasonality of purchasing timeframes and procurement delays impact sales. </w:t>
      </w:r>
    </w:p>
    <w:p>
      <w:pPr>
        <w:pStyle w:val="TextBody"/>
        <w:bidi w:val="0"/>
        <w:spacing w:before="0" w:after="0"/>
        <w:jc w:val="both"/>
        <w:rPr>
          <w:rFonts w:ascii="Times New Roman" w:hAnsi="Times New Roman"/>
          <w:sz w:val="24"/>
        </w:rPr>
      </w:pPr>
      <w:r>
        <w:rPr>
          <w:rFonts w:ascii="Times New Roman" w:hAnsi="Times New Roman"/>
          <w:sz w:val="20"/>
        </w:rPr>
        <w:t>Some or all of these factors could adversely affect demand for our products and, therefore, adversely affect our future operating results. As a result of these and other factors, we believe that period-to-period comparisons of our operating results may not be meaningful in the near term, and accordingly you should not rely upon our performance in a particular period as indicative of our performance in any future period.</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b/>
          <w:i/>
          <w:sz w:val="20"/>
        </w:rPr>
        <w:t>Our expenses may vary from period to period, which could affect quarterly results and our stock price.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If we incur additional expenses in a quarter in which we do not experience increased revenue, our results of operations will be adversely affected, and we may incur larger losses than anticipated for that quarter. Factors that could cause our expense to fluctuate from period to period include:</w:t>
      </w:r>
      <w:r>
        <w:rPr>
          <w:rFonts w:ascii="Times New Roman" w:hAnsi="Times New Roman"/>
          <w:sz w:val="24"/>
        </w:rPr>
        <w:t xml:space="preserve"> </w:t>
      </w:r>
    </w:p>
    <w:p>
      <w:pPr>
        <w:pStyle w:val="TextBody"/>
        <w:bidi w:val="0"/>
        <w:jc w:val="both"/>
        <w:rPr/>
      </w:pPr>
      <w:r>
        <w:rPr/>
        <w:t xml:space="preserve">  </w:t>
      </w:r>
    </w:p>
    <w:p>
      <w:pPr>
        <w:pStyle w:val="TextBody"/>
        <w:numPr>
          <w:ilvl w:val="0"/>
          <w:numId w:val="45"/>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The timing and extent of our research and development efforts;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46"/>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Investments and costs of maintaining or protecting our intellectual property;</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47"/>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Marketing and sales efforts to promote our products and technologies;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48"/>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The timing of personnel and consultant hiring; and</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49"/>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Supply chain and inventory cost variations.</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Most of our operating expenses are relatively fixed in the short term. We may be unable to rapidly adjust spending to compensate for any unexpected sales shortfalls, which could harm our quarterly operating results and our stock price. We do not have the ability to predict future operating results with any certainty.</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Risk Factors Related to Our Series A and Series B Preferred Stock</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i/>
          <w:sz w:val="20"/>
        </w:rPr>
        <w:t xml:space="preserve">The Certificate of Designations for the Series A Preferred Stock provides for dividends to be issued in the form of shares of Common Stock at a conversion price that varies with the trading price of our Common Stock, and it contains </w:t>
      </w:r>
      <w:r>
        <w:rPr>
          <w:rFonts w:ascii="Times New Roman" w:hAnsi="Times New Roman"/>
          <w:sz w:val="24"/>
        </w:rPr>
        <w:t>“</w:t>
      </w:r>
      <w:r>
        <w:rPr>
          <w:rFonts w:ascii="Times New Roman" w:hAnsi="Times New Roman"/>
          <w:b/>
          <w:i/>
          <w:sz w:val="20"/>
        </w:rPr>
        <w:t>full ratchet</w:t>
      </w:r>
      <w:r>
        <w:rPr>
          <w:rFonts w:ascii="Times New Roman" w:hAnsi="Times New Roman"/>
          <w:sz w:val="24"/>
        </w:rPr>
        <w:t xml:space="preserve">” </w:t>
      </w:r>
      <w:r>
        <w:rPr>
          <w:rFonts w:ascii="Times New Roman" w:hAnsi="Times New Roman"/>
          <w:b/>
          <w:i/>
          <w:sz w:val="20"/>
        </w:rPr>
        <w:t>anti-dilution provisions applicable to the dividend conversion price and the conversion price for voluntary conversions of Series A Preferred Stock into Common Stock. These features may result in a greater number of shares of Common Stock being issued upon conversions than if the conversions were effected at the conversion price in effect at the time of this offering. Sales of these shares will dilute the interests of other security holders and may depress the price of our Common Stock and make it difficult for us to raise additional capital.</w:t>
      </w:r>
      <w:r>
        <w:rPr>
          <w:rFonts w:ascii="Times New Roman" w:hAnsi="Times New Roman"/>
          <w:sz w:val="24"/>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Series A Certificate of Designations (as defined herein) for our Series A Preferred Stock provides for the payment of dividends to the holder of our Series A Preferred Stock in cash or shares of Common Stock, or a combination thereof, at the Company’s option. If the Company elects to pay any dividends in shares of Common Stock, the conversion price used to calculate the number of shares issuable will equal to the lower of (i) the then applicable conversion price and (ii) 85% of the arithmetic average of the three (3) lowest closing prices of the Common Stock during the twenty (20) consecutive trading day period ending on the trading day immediately preceding the dividend payment date, subject to a floor price. The Series A Certificate of Designations also contains “full ratchet” anti-dilution provisions applicable to the conversion prices used in voluntary conversions of Series A Preferred Stock by the holders thereof and by the Company in paying any dividends in shares of Common Stock, which provisions require the lowering of the applicable conversion price, as then in effect, to the purchase price of equity or equity-linked securities issued in subsequent offerings. If in the future, while any of our Series A Preferred Stock is outstanding, we issue securities at an effective Common Stock purchase price that is less than the applicable conversion price of our Series A Preferred Stock, as then in effect, we will be required, subject to certain limitations and adjustments as provided in the Series A Certificate of Designations for the Series A Preferred Stock, to further reduce the relevant conversion price, which will result in a greater number of shares of Common Stock being issuable upon conversion of the Series A Preferred Stock or upon the payment of dividends to the holders of the Series A Preferred Stock in shares of Common Stock, which in turn will have a greater dilutive effect on our stockholders. The potential for such additional issuances may depress the price of our Common Stock regardless of our business performance. We may find it more difficult to raise additional equity capital while any of our Series A Preferred Stock is outstanding.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Further, it is possible that we will not have a sufficient number of available shares to satisfy the conversion of the Series A Preferred Stock or the payment of dividends to the holders of the Series A Preferred Stock in shares of Common Stock if we enter into a future transaction that reduces the applicable conversion price. If we do not have a sufficient number of available shares for any Series A Preferred Stock conversions, we will be required to increase our authorized shares, which may not be possible and will be time-consuming and expensive.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32</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b/>
          <w:i/>
          <w:sz w:val="20"/>
        </w:rPr>
        <w:t>The Series A Preferred Stock provides for the payment of dividends in cash or in shares of our Common Stock, or a combination thereof, and we may not be permitted to pay such dividends in cash, which will require us to have shares of Common Stock available to pay the dividends.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Each share of the Series A Preferred Stock is entitled to receive cumulative dividends at the rate per share of 8% per annum of the stated value per share. The dividends are payable in cash, out of any funds legally available for such purpose, or shares of Common Stock, or a combination thereof, at the Company’s option. The conversion price used to calculate the number of shares of Common Stock issuable in connection with a given dividend payment is subject to reduction if in the future we issue securities for less than the conversion price of our Series A Preferred Stock, as then in effect. This may have the effect of increasing the number of shares we would be obligated to issue in order to make a dividend payment in shares of Common Stock. We will not be permitted to pay the dividend in cash unless we are legally permitted to do so under Delaware law. As such, we may rely on having available shares of Common Stock to pay such dividends, which will result in dilution to our stockholders. If we do not have such available shares, we may not be able to satisfy our dividend obligations.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The Certificate of Designations of the Series B Convertible Preferred Stock provides for the payment of cumulative dividends in shares of our Common Stock which will require us to have shares of Common Stock available to pay the dividends.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Each share of the Series B Convertible Preferred Stock, par value $0.0001 per share ("Series B Preferred Stock") is entitled to receive dividends as and when declared by the Board of Directors of the Company (the "Board"), from time to time, in its sole discretion, which dividends shall be paid by the Company out of funds legally available therefor, payable, subject to the conditions and other terms hereof, in cash, in securities of the Company, or using assets as determined by the Board on the stated value of such preferred share in accordance with the terms of the Series B Certificate of Designations (as defined herein). As such, we may rely on having available shares of Common Stock to pay such dividends, which will result in dilution to our stockholders. If we do not have such available shares, we may not be able to satisfy our obligations as related to these dividends pursuant to the terms of the Series B Certificate of Designations.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The Series B Warrants contain certain anti-dilution provisions, which may dilute the interests of our stockholders, depress the price of our Common Stock, and make it difficult for us to raise additional capital.</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Certain events may reduce the exercise price of the warrants issued concurrently with the Series B Preferred Stock (the "Series B Warrants"), which in turn may lead to further dilution to the holders of our Common Stock. In addition, the perceived risk of dilution may cause our stockholders to be more inclined to sell their Common Stock, which may in turn depress the price of shares of our Common Stock regardless of our business performance. We may also find it more difficult to raise additional equity capital while any of the shares of Series B Preferred Stock and the Series B Warrants remain outstanding. Under the Series B Purchase Agreement (as defined herein), we are subject to certain covenants that may make it difficult to procure additional financing.</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33</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left"/>
        <w:rPr>
          <w:rFonts w:ascii="Times New Roman" w:hAnsi="Times New Roman"/>
          <w:sz w:val="24"/>
        </w:rPr>
      </w:pPr>
      <w:r>
        <w:rPr>
          <w:rFonts w:ascii="Times New Roman" w:hAnsi="Times New Roman"/>
          <w:sz w:val="20"/>
          <w:u w:val="single"/>
        </w:rPr>
        <w:t>Risk Factors Relating to Our Common Stock</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4"/>
        </w:rPr>
      </w:pPr>
      <w:r>
        <w:rPr>
          <w:rFonts w:ascii="Times New Roman" w:hAnsi="Times New Roman"/>
          <w:b/>
          <w:i/>
          <w:sz w:val="20"/>
        </w:rPr>
        <w:t>Our stock price is volatile and may continue to be volatile or may decline regardless of our operating performance, resulting in substantial losses for investors.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4"/>
        </w:rPr>
      </w:pPr>
      <w:r>
        <w:rPr>
          <w:rFonts w:ascii="Times New Roman" w:hAnsi="Times New Roman"/>
          <w:sz w:val="20"/>
        </w:rPr>
        <w:t>The market price of our Common Stock has fluctuated significantly to date and in the future may fluctuate significantly in response to numerous factors, many of which are beyond our control, including the factors listed below and other factors described in this “Risk Factors” section:</w:t>
      </w:r>
      <w:r>
        <w:rPr>
          <w:rFonts w:ascii="Times New Roman" w:hAnsi="Times New Roman"/>
          <w:sz w:val="24"/>
        </w:rPr>
        <w:t xml:space="preserve"> </w:t>
      </w:r>
    </w:p>
    <w:p>
      <w:pPr>
        <w:pStyle w:val="TextBody"/>
        <w:bidi w:val="0"/>
        <w:spacing w:before="0" w:after="283"/>
        <w:jc w:val="left"/>
        <w:rPr/>
      </w:pPr>
      <w:r>
        <w:rPr/>
        <w:t xml:space="preserve">  </w:t>
      </w:r>
    </w:p>
    <w:p>
      <w:pPr>
        <w:pStyle w:val="TextBody"/>
        <w:numPr>
          <w:ilvl w:val="0"/>
          <w:numId w:val="50"/>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Actual or anticipated fluctuations in our operating results;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51"/>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Failure of securities analysts to initiate or maintain coverage of our Company, changes in financial estimates by any securities analysts who follow our Company, or our failure to meet these estimates or the expectations of investors;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52"/>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Rating changes by any securities analysts who follow our Company;</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53"/>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Changes in the availability of federal funding to support local law enforcement efforts, or local budgets;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54"/>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International budget changes or changeover in government leadership;</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55"/>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Announcements by us of significant technical innovations, acquisitions, strategic partnerships, joint ventures or capital commitments;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56"/>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Changes in operating performance and stock market valuations of other security product companies generally;</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57"/>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Price and volume fluctuations in the overall stock market, including as a result of trends in the economy as a whole;</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58"/>
        </w:numPr>
        <w:tabs>
          <w:tab w:val="clear" w:pos="1134"/>
          <w:tab w:val="left" w:pos="1429" w:leader="none"/>
        </w:tabs>
        <w:bidi w:val="0"/>
        <w:ind w:left="1429" w:right="0" w:hanging="283"/>
        <w:jc w:val="left"/>
        <w:rPr>
          <w:rFonts w:ascii="Times New Roman" w:hAnsi="Times New Roman"/>
          <w:sz w:val="20"/>
        </w:rPr>
      </w:pPr>
      <w:r>
        <w:rPr>
          <w:rFonts w:ascii="Times New Roman" w:hAnsi="Times New Roman"/>
          <w:color w:val="000000"/>
          <w:sz w:val="20"/>
        </w:rPr>
        <w:t>Announcements of merger or acquisition transactions;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59"/>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Changes in our Board or management and key personnel;</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60"/>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Sales of large blocks of our Common Stock, including sales by our founders, executive officers, directors and significant stockholders;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61"/>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Lawsuits threatened or filed against us;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62"/>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Short sales, hedging and other derivative transactions involving our capital stock;</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63"/>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General economic conditions in the US and abroad; and</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64"/>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Other events or factors, including those resulting from war, incidents of terrorism or responses to these events.</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In addition, stock markets have experienced extreme price and volume fluctuations that have affected and continue to affect the market prices of equity securities of many security and technology companies. Stock prices of many security and technology companies have fluctuated in a manner unrelated or disproportionate to the operating performance of those companies. Stock prices of nanocap securities and small cap securities have fluctuated even more than medium and large cap companies in recent years.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34</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b/>
          <w:i/>
          <w:sz w:val="20"/>
        </w:rPr>
        <w:t>We have been, and in the future may be, subject to securities litigation, which has and may be expensive and has and could divert management attention.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Our share price is volatile, and in the past companies that have experienced volatility in the market price of their stock have been subject to securities class action litigation.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Lawsuits of this nature divert financial and management resources that would otherwise be used to benefit our operations and defending the lawsuits may result in substantial costs. Any lawsuit to which we or our directors or officers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Any of these results could adversely affect our business.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In addition, we may be the target of securities-related litigation in the future. Such litigation may divert our management’s attention and resources, result in substantial costs, and have an adverse effect on our business, results of operations and financial condition. We maintain director and officer insurance that we regard as reasonably adequate to protect us from potential claims; however, we cannot assure you that it will. Further, if we are subject to future litigation, the costs of insurance may increase, and the availability of coverage may decrease. As a result, we may not be able to maintain our current levels of insurance at a reasonable cost, or at all, which might make it more difficult to attract qualified candidates to serve as executive officers or directors of the Company.</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b/>
          <w:i/>
          <w:sz w:val="20"/>
        </w:rPr>
        <w:t>Our officers and directors are among our largest stockholders and may have certain personal interests that may affect the Company.</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Management and certain directors owned more than 10% of our Common Stock as of December 31, 2025. As a result, our management and certain directors, acting individually or as a group, have the potential ability to exert influence on the outcome of issues requiring approval by our stockholders.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i/>
          <w:sz w:val="20"/>
        </w:rPr>
        <w:t>Sales of a substantial number of shares of our Common Stock may adversely affect the market price of our Common Stock.</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Sales or distributions of a substantial number of shares of our Common Stock in the public market, or the perception that such sales could occur, could adversely affect the market price of our Common Stock. Many of the outstanding shares of our Common Stock, other than the shares held by executive officers and directors, are eligible for immediate resale in the public market. Substantial selling of our Common Stock could adversely affect the market price of our Common Stock.</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i/>
          <w:sz w:val="20"/>
        </w:rPr>
        <w:t>Our Common Stock could be delisted from the Nasdaq Stock Market.</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Nasdaq’s continued listing standards for our Common Stock require, among other things, that we maintain a closing bid price for our Common Stock of at least $1.00, and either (A) stockholders’ equity of $2.5 million; (B) market value of listed securities of $35 million; or (C) net income from continuing operations of $500,000 in the most recently completed fiscal year or in two of the last three most recently completed fiscal years, and that we timely file all required reports with the SEC or risk delisting, which would have a material adverse effect on our business.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A delisting of our Common Stock from the Nasdaq Capital Market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suppliers, customers and employees and fewer business development opportunities.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There is no assurance that we will maintain compliance with such minimum listing requirements. If our Common Stock were delisted from Nasdaq, trading of our Common Stock would most likely take place on an over-the-counter market established for unlisted securities, such as the OTCQB or the Pink Market maintained by OTC Markets Group Inc. An investor would likely find it less convenient to sell, or to obtain accurate quotations in seeking to buy, our Common Stock on an over-the-counter market, and many investors would likely not buy or sell our Common Stock due to difficulty in accessing over-the-counter markets, policies preventing them from trading in securities not listed on a national exchange or other reasons. In addition, as a delisted security, our Common Stock would be subject to SEC rules as a “penny stock,” which impose additional disclosure requirements on broker-dealers. The regulations relating to penny stocks, coupled with the typically higher cost per trade to the investor of penny stocks due to factors such as broker commissions generally representing a higher percentage of the price of a penny stock than of a higher-priced stock, would further limit the ability of investors to trade in our common stock. For these reasons and others, delisting would adversely affect the liquidity, trading volume and price of our Common Stock, causing the value of an investment in us to decrease and having an adverse effect on our business, financial condition and results of operations, including our ability to attract and retain qualified employees and to raise capital</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35</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b/>
          <w:i/>
          <w:sz w:val="20"/>
        </w:rPr>
        <w:t>We may issue additional shares of Common Stock in the future. The issuance of additional shares of Common Stock may reduce the value of your Common Stock.</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We may issue additional shares of Common Stock without further action by our stockholders. Moreover, the economic and voting interests of each stockholder will be diluted as a result of any such issuances. Although the number of shares of Common Stock that stockholders presently own will not decrease, such shares will represent a smaller percentage of the total shares that will be outstanding after the issuance of additional shares. The issuance of additional shares of Common Stock may cause the market price of our Common Stock to decline.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i/>
          <w:sz w:val="20"/>
        </w:rPr>
        <w:t>Sales of shares of Common Stock issuable upon the exercise of any future options or warrants and vesting of restricted stock units may lower the price of our Common Stock.</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As of</w:t>
      </w:r>
      <w:r>
        <w:rPr>
          <w:rFonts w:ascii="Times New Roman" w:hAnsi="Times New Roman"/>
          <w:sz w:val="20"/>
          <w:shd w:fill="FFFFFF" w:val="clear"/>
        </w:rPr>
        <w:t xml:space="preserve"> December 31, 2025, </w:t>
      </w:r>
      <w:r>
        <w:rPr>
          <w:rFonts w:ascii="Times New Roman" w:hAnsi="Times New Roman"/>
          <w:sz w:val="20"/>
        </w:rPr>
        <w:t>we had outstanding options and unvested stock units of 6</w:t>
      </w:r>
      <w:r>
        <w:rPr>
          <w:rFonts w:ascii="Times New Roman" w:hAnsi="Times New Roman"/>
          <w:sz w:val="20"/>
          <w:shd w:fill="FFFFFF" w:val="clear"/>
        </w:rPr>
        <w:t>.4 million shares</w:t>
      </w:r>
      <w:r>
        <w:rPr>
          <w:rFonts w:ascii="Times New Roman" w:hAnsi="Times New Roman"/>
          <w:sz w:val="24"/>
          <w:shd w:fill="FFFFFF" w:val="clear"/>
        </w:rPr>
        <w:t xml:space="preserve"> </w:t>
      </w:r>
      <w:r>
        <w:rPr>
          <w:rFonts w:ascii="Times New Roman" w:hAnsi="Times New Roman"/>
          <w:sz w:val="20"/>
          <w:shd w:fill="FFFFFF" w:val="clear"/>
        </w:rPr>
        <w:t>o</w:t>
      </w:r>
      <w:r>
        <w:rPr>
          <w:rFonts w:ascii="Times New Roman" w:hAnsi="Times New Roman"/>
          <w:sz w:val="20"/>
        </w:rPr>
        <w:t>f our Common Stock. The issuance of shares of Common Stock issuable upon the exercise of options or issuance from restricted stock units or the exercise of warrants that may be outstanding in the future could cause substantial dilution to existing holders of our Common Stock, and the sale of those shares in the market could cause the market price of our Common Stock to decline. The potential dilution from the issuance of these shares could negatively affect the terms on which we are able to obtain equity financing.</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i/>
          <w:sz w:val="20"/>
        </w:rPr>
        <w:t>We may issue preferred stock in the future, and the terms of the preferred stock may reduce the value of your Common Stock.</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We are authorized to issue up to 5.0 million shares of preferred stock in one or more series in which 10,000 shares have been designated as Series A Preferred Stock and 4,500 shares have been designated as Series B Preferred Stock. Our Board may determine the terms of future preferred stock offerings without further action by our stockholders. If we issue additional shares of preferred stock, it could affect your rights or reduce the value of your Common Stock. In particular, specific rights granted to future holders of preferred stock could be used to restrict our ability to merge with or sell our assets to a third party. Preferred stock terms may include voting rights, preferences as to dividends and liquidation, conversion and redemption rights and sinking fund provisions.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i/>
          <w:sz w:val="20"/>
        </w:rPr>
        <w:t>We incur substantial costs as a result of being a public company.</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As a public company, we incur significant levels of legal, accounting, insurance, exchange listing fees and other expenses that we did not incur as a private company. We are subject to the reporting requirements of the Exchange Act, the Sarbanes-Oxley Act of 2002 ("Sarbanes-Oxley Act"), the Dodd-Frank Wall Street Reform and Consumer Protection Act, the listing requirements of the Nasdaq Capital Market and other applicable securities rules and regulations. Compliance with these rules and regulations increases our legal and financial compliance costs, makes some activities more difficult, time-consuming or costly and increases demand on our systems and resources as compared to when we operated as a private company.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need to hire more corporate employees in the future or engage outside consultants to comply with these requirements, which would increase our costs and expenses.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As a result of disclosure of information in this report and in the filings that we are required to make as a public company, our business, operating results, and financial condition have become more visible, which has resulted in, and may in the future result in threatened or actual litigation, increased competition due to this insight, including by key competitors and other third parties. If any such claims are successful, our business, operating results and financial condition could be adversely affected, and even if the claims do not result in litigation or are resolved in our favor, these claims, and the time and resources necessary to resolve them, could divert the resources of our management and adversely affect our business, operating results and financial condition.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36</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b/>
          <w:i/>
          <w:sz w:val="20"/>
        </w:rPr>
      </w:pPr>
      <w:r>
        <w:rPr>
          <w:rFonts w:ascii="Times New Roman" w:hAnsi="Times New Roman"/>
          <w:b/>
          <w:i/>
          <w:sz w:val="20"/>
        </w:rPr>
        <w:t>The payment of dividends will be at the discretion of our Board.</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sz w:val="20"/>
        </w:rPr>
        <w:t>We have never declared dividends on our Common Stock, and currently do not anticipate that we will do so in the foreseeable future. The declaration and amount of future dividends, if any, will be determined by our Board and will depend on our financial condition, earnings, capital requirements, financial covenants, regulatory constraints, industry practice and other factors our Board deems relevant. In addition, so long as any shares of Series A Preferred Stock are outstanding, as they are at this time, we are not able to declare or pay any cash dividend or distribution on any of our capital stock (other than as required by the Series A Certificate of Designations) without the prior written consent of the Required Holders (as defined in the Series A Certificate of Designations).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General Risk Factors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b/>
          <w:i/>
          <w:sz w:val="20"/>
        </w:rPr>
      </w:pPr>
      <w:r>
        <w:rPr>
          <w:rFonts w:ascii="Times New Roman" w:hAnsi="Times New Roman"/>
          <w:b/>
          <w:i/>
          <w:sz w:val="20"/>
        </w:rPr>
        <w:t>Our disclosure controls and procedures may not prevent or detect all acts of fraud.</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sz w:val="20"/>
        </w:rPr>
        <w:t>Our disclosure controls and procedures are designed to reasonably assure that information required to be disclosed in reports filed or submitted under the Exchange Act is accumulated and communicated to management and is recorded, processed, summarized and reported within the time periods specified in the SEC’s rules and forms. Our management expects that our disclosure controls and procedures and internal controls and procedures, no matter how well conceived and operated, can provide only reasonable, not absolute, assurance that the objectives of the control system are met. Because of the inherent limitations in all control systems, they cannot provide absolute assurance that all control issues and instances of fraud, if any, within our company have been prevented or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an unauthorized override of the controls. The design of any system of controls also is based in part upon certain assumptions about the likelihood of future events, and we cannot assure that any design will succeed in achieving its stated goals under all potential future conditions. Accordingly, because of the inherent limitations in a cost-effective control system, misstatements due to error or fraud may occur and not be detected.</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pPr>
      <w:r>
        <w:rPr/>
        <w:t> </w:t>
      </w:r>
      <w:r>
        <w:rPr>
          <w:rFonts w:ascii="Times New Roman" w:hAnsi="Times New Roman"/>
          <w:b/>
          <w:i/>
          <w:sz w:val="20"/>
        </w:rPr>
        <w:t>Failure to maintain an effective system of internal control over financial reporting could harm stockholder and business confidence in our financial reporting, our ability to obtain financing and other aspects of our business.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Maintaining an effective system of internal control over financial reporting is necessary for us to provide reliable financial reports. Section 404 of the Sarbanes-Oxley Act and the related rules and regulations promulgated by the SEC require us to include in our Form 10-K a report by management regarding the effectiveness of our internal control over financial reporting. The report includes, among other things, an assessment of the effectiveness of our internal control over financial reporting as of the end of the respective fiscal year, including a statement as to whether or not our internal control over financial reporting is effective. This assessment must include disclosure of any material weaknesses in our internal control over financial reporting identified by management. While our management has concluded that our internal control over financial reporting was effective as of December 31, 2025, it is possible that material weaknesses will be identified in the future. In addition, components of our internal control over financial reporting may require improvement from time to time. If management is unable to assert that our internal control over financial reporting is effective in any future period, investors may lose confidence in the accuracy and completeness of our financial reports, which could have an adverse effect on the Company’s stock price.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37</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bookmarkStart w:id="6" w:name="ITEM_1B_Unresolved_Staff_Comments"/>
      <w:bookmarkEnd w:id="6"/>
      <w:r>
        <w:rPr>
          <w:rFonts w:ascii="Times New Roman" w:hAnsi="Times New Roman"/>
          <w:b/>
          <w:sz w:val="20"/>
        </w:rPr>
        <w:t>ITEM 1B. UNRESOLVED STAFF COMMENTS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None.</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bookmarkStart w:id="7" w:name="ITEM_1C_CYBERSECURITY"/>
      <w:bookmarkEnd w:id="7"/>
      <w:r>
        <w:rPr>
          <w:rFonts w:ascii="Times New Roman" w:hAnsi="Times New Roman"/>
          <w:b/>
          <w:sz w:val="20"/>
        </w:rPr>
        <w:t>ITEM 1C. CYBERSECURITY</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We maintain a comprehensive process for identifying, assessing, and managing material risks from cybersecurity threats (as such term is defined in Item 106(a) of Regulation S-K) as part of our broader risk management system and processes. The cybersecurity risk management system involves risk assessments, implementation of security measures, and ongoing monitoring of systems and networks, including networks on which we rely. We actively monitor the current threat landscape in an effort to identify material risks arising from new and evolving cybersecurity threats. We obtain input, as appropriate, for our cybersecurity risk management program on the security industry and threat trends from consultants, cybersecurity assessors, auditors and other third parties to gather certain insights designed to identify and assess material cybersecurity threat risks, their severity and potential mitigations. We depend on and engage various third parties, including suppliers, vendors, and service providers. Our risk management, legal, information technology, and compliance personnel identify and oversee risks from cybersecurity threats associated with our use of such entities. Any incident assessed as potentially being or potentially becoming material is immediately escalated for further assessment, and then reported to Mr. Srinivasan, our designated member of our Board.</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Mr. Srinivasan has oversight responsibility for risks and incidents relating to cybersecurity threats, including compliance with disclosure requirements, cooperation with law enforcement, and related effects on financial and other risks, and report any findings and recommendations, as appropriate, to the full Board for consideration. Senior management regularly discusses cyber risks and trends and, should they arise, any material incidents with the designated member of the Board.</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Our business strategy, results of operations and financial condition have not been materially affected by risks from cybersecurity threats, but we cannot provide assurance that they will not be materially affected in the future by such risks or any future material incidents. Further, a cyber incident impacting our systems or a third-party’s systems could subject us to business, regulatory, litigation and reputational risk, which could have a negative effect on our business, results of operations and financial condition. For more information on our cybersecurity related risks, see Item 1A Risk Factors of this Annual Report.</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bookmarkStart w:id="8" w:name="ITEM_2_PROPERTIES"/>
      <w:bookmarkEnd w:id="8"/>
      <w:r>
        <w:rPr>
          <w:rFonts w:ascii="Times New Roman" w:hAnsi="Times New Roman"/>
          <w:b/>
          <w:sz w:val="20"/>
        </w:rPr>
        <w:t>ITEM 2. PROPERTIES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In November 2023, we commenced a lease in an office building located at 3480 Main Highway, Coconut Grove, Florida, which served as our corporate headquarters. The lease covered approximately 4,487 square feet for an initial term of 89 months, including five months of rent abatement during the first two years of the lease. Monthly lease payments recommenced in 2024 at approximately $39,635 per month and an increase of 3% annually through the lease term, plus certain additional costs and charges as specified in the lease agreement. In February 2026, the Company entered into a Termination and Mutual Release Agreement with the landlord, terminating this lease effective February 13, 2026.</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On January 3, 2025, we signed a lease that was to commence on the later of October 2025, or the completion of the premises, for a manufacturing facility located at 182 Progress Way NE, Norton, Virginia 24273. The lease of the 20,000 square foot facility has an initial term of five years with the option to renew for an additional two-year term, subject to adjustments based on the Consumer Price Index. Monthly lease payments are $10,000, calculated at $6 per gross square foot per year. Following two years of occupancy from the start of the lease, we may terminate the lease without penalty by providing sixty days' written notice</w:t>
      </w:r>
      <w:r>
        <w:rPr>
          <w:rFonts w:ascii="Times New Roman" w:hAnsi="Times New Roman"/>
          <w:sz w:val="24"/>
        </w:rPr>
        <w:t xml:space="preserve">. </w:t>
      </w:r>
      <w:r>
        <w:rPr>
          <w:rFonts w:ascii="Times New Roman" w:hAnsi="Times New Roman"/>
          <w:sz w:val="20"/>
        </w:rPr>
        <w:t>The Company was granted early occupancy of the facility for use beginning on August 18, 2025.</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In March 2026, we entered into a month-to-month service agreement for a business address located at 3350 Virginia Street, Miami, Florida 33133, at an approximate monthly cost of $165, which serves as the Company's headquarters.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We consider our current office space adequate for our current operations.</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38</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bookmarkStart w:id="9" w:name="ITEM_3_LEGAL_PROCEEDINGS"/>
      <w:bookmarkEnd w:id="9"/>
      <w:r>
        <w:rPr>
          <w:rFonts w:ascii="Times New Roman" w:hAnsi="Times New Roman"/>
          <w:b/>
          <w:sz w:val="20"/>
        </w:rPr>
        <w:t>ITEM 3. LEGAL PROCEEDINGS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We may become subject to legal proceedings, as well as demands and claims that arise in the normal course of our business, including claims of alleged infringement of third-party patents and other intellectual property rights, breach of contract, employment law violations, and other matters and matters involving requests for information from us or our customers under federal or state law. Such claims, even if not meritorious, could result in the expenditure of significant financial and management resources. We make a provision for liability relating to legal matters in our financial statements when it is both probable that a liability has been incurred and the amount of the loss can be reasonably estimated. These provisions are reviewed and adjusted to include the impacts of negotiations, estimated settlements, legal rulings, advice of legal counsel, and other information and events pertaining to a particular matter.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An unfavorable outcome on any litigation matters could require payment of substantial damages, or, in connection with any intellectual property infringement claims, could require us to pay ongoing royalty payments or could prevent us from selling certain of our products. As a result, a settlement of, or an unfavorable outcome on, any of the matters referenced above or other litigation matters, or legal proceedings could have a material adverse effect on our business, operating results, financial condition and cash flows.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bookmarkStart w:id="10" w:name="ITEM_4_MINE_SAFETY_DISCLOSURES"/>
      <w:bookmarkEnd w:id="10"/>
      <w:r>
        <w:rPr>
          <w:rFonts w:ascii="Times New Roman" w:hAnsi="Times New Roman"/>
          <w:b/>
          <w:sz w:val="20"/>
        </w:rPr>
        <w:t>ITEM 4. MINE SAFETY DISCLOSURES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Not applicable.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PART II</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bookmarkStart w:id="11" w:name="ITEM_5_MARKET_FOR_THE_REGISTRANTS_COMMON"/>
      <w:bookmarkEnd w:id="11"/>
      <w:r>
        <w:rPr>
          <w:rFonts w:ascii="Times New Roman" w:hAnsi="Times New Roman"/>
          <w:b/>
          <w:sz w:val="20"/>
        </w:rPr>
        <w:t>ITEM 5. MARKET FOR THE REGISTRANT</w:t>
      </w:r>
      <w:r>
        <w:rPr>
          <w:rFonts w:ascii="Times New Roman" w:hAnsi="Times New Roman"/>
          <w:sz w:val="24"/>
        </w:rPr>
        <w:t>’</w:t>
      </w:r>
      <w:r>
        <w:rPr>
          <w:rFonts w:ascii="Times New Roman" w:hAnsi="Times New Roman"/>
          <w:b/>
          <w:sz w:val="20"/>
        </w:rPr>
        <w:t>S COMMON EQUITY, RELATED STOCKHOLDER MATTERS AND ISSUER PURCHASES OF EQUITY SECURITIES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Market Information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Our Common Stock is listed on the Nasdaq Capital Market under the symbol “WRAP”.</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Holders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shd w:fill="FFFFFF" w:val="clear"/>
        </w:rPr>
        <w:t>As of March 23, 2026 there were 55,500,054 shares</w:t>
      </w:r>
      <w:r>
        <w:rPr>
          <w:rFonts w:ascii="Times New Roman" w:hAnsi="Times New Roman"/>
          <w:sz w:val="24"/>
          <w:shd w:fill="FFFFFF" w:val="clear"/>
        </w:rPr>
        <w:t xml:space="preserve"> </w:t>
      </w:r>
      <w:r>
        <w:rPr>
          <w:rFonts w:ascii="Times New Roman" w:hAnsi="Times New Roman"/>
          <w:sz w:val="20"/>
          <w:shd w:fill="FFFFFF" w:val="clear"/>
        </w:rPr>
        <w:t>of Common Stock outstanding and approximately 37 stockholders of record.</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Dividends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We have never declared or paid any cash dividends on our Common Stock. We currently do not anticipate paying any cash dividends in the foreseeable future. The decision to pay dividends is at the discretion of our Board and depends upon our financial condition, results of operations, capital requirements, and other factors that our Board deems relevant. In addition, so long as any shares of Series A Preferred Stock are outstanding, as they are at this time, we are not able to declare or pay any cash dividend or distribution on any of our capital stock (other than as required by the Series A Certificate of Designations) without the prior written consent of the Required Holders (as defined in the Series A Certificate of Designations).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Recent Sales of Unregistered Securities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No unregistered securities were issued during the fiscal year ended December 31, 2025 that were not previously reported in a Quarterly Report on Form 10-Q or Current Report on Form 8-K.</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Repurchases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Not applicable.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39</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bookmarkStart w:id="12" w:name="ITEM_6_RESERVED"/>
      <w:bookmarkEnd w:id="12"/>
      <w:r>
        <w:rPr>
          <w:rFonts w:ascii="Times New Roman" w:hAnsi="Times New Roman"/>
          <w:b/>
          <w:sz w:val="20"/>
        </w:rPr>
        <w:t>ITEM 6. [RESERVED]</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bookmarkStart w:id="13" w:name="ITEM_7_MANAGEMENTS_DISCUSSION_AND_ANALYS"/>
      <w:bookmarkEnd w:id="13"/>
      <w:r>
        <w:rPr>
          <w:rFonts w:ascii="Times New Roman" w:hAnsi="Times New Roman"/>
          <w:b/>
          <w:sz w:val="20"/>
        </w:rPr>
        <w:t>ITEM 7. MANAGEMENT'S DISCUSSION AND ANALYSIS OF FINANCIAL CONDITION AND RESULTS OF OPERATIONS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i/>
          <w:sz w:val="20"/>
        </w:rPr>
        <w:t xml:space="preserve">The discussion and analysis set forth below should be read in conjunction with the information presented in other sections of this Annual Report, including </w:t>
      </w:r>
      <w:r>
        <w:rPr>
          <w:rFonts w:ascii="Times New Roman" w:hAnsi="Times New Roman"/>
          <w:sz w:val="24"/>
        </w:rPr>
        <w:t>“</w:t>
      </w:r>
      <w:r>
        <w:rPr>
          <w:rFonts w:ascii="Times New Roman" w:hAnsi="Times New Roman"/>
          <w:i/>
          <w:sz w:val="20"/>
        </w:rPr>
        <w:t>Item 1. Business,</w:t>
      </w:r>
      <w:r>
        <w:rPr>
          <w:rFonts w:ascii="Times New Roman" w:hAnsi="Times New Roman"/>
          <w:sz w:val="24"/>
        </w:rPr>
        <w:t>” “</w:t>
      </w:r>
      <w:r>
        <w:rPr>
          <w:rFonts w:ascii="Times New Roman" w:hAnsi="Times New Roman"/>
          <w:i/>
          <w:sz w:val="20"/>
        </w:rPr>
        <w:t>Item 1A. Risk Factors,</w:t>
      </w:r>
      <w:r>
        <w:rPr>
          <w:rFonts w:ascii="Times New Roman" w:hAnsi="Times New Roman"/>
          <w:sz w:val="24"/>
        </w:rPr>
        <w:t xml:space="preserve">” </w:t>
      </w:r>
      <w:r>
        <w:rPr>
          <w:rFonts w:ascii="Times New Roman" w:hAnsi="Times New Roman"/>
          <w:i/>
          <w:sz w:val="20"/>
        </w:rPr>
        <w:t xml:space="preserve">and </w:t>
      </w:r>
      <w:r>
        <w:rPr>
          <w:rFonts w:ascii="Times New Roman" w:hAnsi="Times New Roman"/>
          <w:sz w:val="24"/>
        </w:rPr>
        <w:t>“</w:t>
      </w:r>
      <w:r>
        <w:rPr>
          <w:rFonts w:ascii="Times New Roman" w:hAnsi="Times New Roman"/>
          <w:i/>
          <w:sz w:val="20"/>
        </w:rPr>
        <w:t>Item 8. Financial Statements and Supplementary Data.</w:t>
      </w:r>
      <w:r>
        <w:rPr>
          <w:rFonts w:ascii="Times New Roman" w:hAnsi="Times New Roman"/>
          <w:sz w:val="24"/>
        </w:rPr>
        <w:t xml:space="preserve">” </w:t>
      </w:r>
      <w:r>
        <w:rPr>
          <w:rFonts w:ascii="Times New Roman" w:hAnsi="Times New Roman"/>
          <w:i/>
          <w:sz w:val="20"/>
        </w:rPr>
        <w:t xml:space="preserve">The following discussion may contain forward-looking statements that reflect our plans, estimates and beliefs. Words such as </w:t>
      </w:r>
      <w:r>
        <w:rPr>
          <w:rFonts w:ascii="Times New Roman" w:hAnsi="Times New Roman"/>
          <w:sz w:val="24"/>
        </w:rPr>
        <w:t>“</w:t>
      </w:r>
      <w:r>
        <w:rPr>
          <w:rFonts w:ascii="Times New Roman" w:hAnsi="Times New Roman"/>
          <w:i/>
          <w:sz w:val="20"/>
        </w:rPr>
        <w:t>expects,</w:t>
      </w:r>
      <w:r>
        <w:rPr>
          <w:rFonts w:ascii="Times New Roman" w:hAnsi="Times New Roman"/>
          <w:sz w:val="24"/>
        </w:rPr>
        <w:t>” “</w:t>
      </w:r>
      <w:r>
        <w:rPr>
          <w:rFonts w:ascii="Times New Roman" w:hAnsi="Times New Roman"/>
          <w:i/>
          <w:sz w:val="20"/>
        </w:rPr>
        <w:t>anticipates,</w:t>
      </w:r>
      <w:r>
        <w:rPr>
          <w:rFonts w:ascii="Times New Roman" w:hAnsi="Times New Roman"/>
          <w:sz w:val="24"/>
        </w:rPr>
        <w:t>” “</w:t>
      </w:r>
      <w:r>
        <w:rPr>
          <w:rFonts w:ascii="Times New Roman" w:hAnsi="Times New Roman"/>
          <w:i/>
          <w:sz w:val="20"/>
        </w:rPr>
        <w:t>intends,</w:t>
      </w:r>
      <w:r>
        <w:rPr>
          <w:rFonts w:ascii="Times New Roman" w:hAnsi="Times New Roman"/>
          <w:sz w:val="24"/>
        </w:rPr>
        <w:t>” “</w:t>
      </w:r>
      <w:r>
        <w:rPr>
          <w:rFonts w:ascii="Times New Roman" w:hAnsi="Times New Roman"/>
          <w:i/>
          <w:sz w:val="20"/>
        </w:rPr>
        <w:t>plans,</w:t>
      </w:r>
      <w:r>
        <w:rPr>
          <w:rFonts w:ascii="Times New Roman" w:hAnsi="Times New Roman"/>
          <w:sz w:val="24"/>
        </w:rPr>
        <w:t>” “</w:t>
      </w:r>
      <w:r>
        <w:rPr>
          <w:rFonts w:ascii="Times New Roman" w:hAnsi="Times New Roman"/>
          <w:i/>
          <w:sz w:val="20"/>
        </w:rPr>
        <w:t>believes,</w:t>
      </w:r>
      <w:r>
        <w:rPr>
          <w:rFonts w:ascii="Times New Roman" w:hAnsi="Times New Roman"/>
          <w:sz w:val="24"/>
        </w:rPr>
        <w:t>” “</w:t>
      </w:r>
      <w:r>
        <w:rPr>
          <w:rFonts w:ascii="Times New Roman" w:hAnsi="Times New Roman"/>
          <w:i/>
          <w:sz w:val="20"/>
        </w:rPr>
        <w:t>seeks,</w:t>
      </w:r>
      <w:r>
        <w:rPr>
          <w:rFonts w:ascii="Times New Roman" w:hAnsi="Times New Roman"/>
          <w:sz w:val="24"/>
        </w:rPr>
        <w:t>” “</w:t>
      </w:r>
      <w:r>
        <w:rPr>
          <w:rFonts w:ascii="Times New Roman" w:hAnsi="Times New Roman"/>
          <w:i/>
          <w:sz w:val="20"/>
        </w:rPr>
        <w:t>estimates</w:t>
      </w:r>
      <w:r>
        <w:rPr>
          <w:rFonts w:ascii="Times New Roman" w:hAnsi="Times New Roman"/>
          <w:sz w:val="24"/>
        </w:rPr>
        <w:t xml:space="preserve">” </w:t>
      </w:r>
      <w:r>
        <w:rPr>
          <w:rFonts w:ascii="Times New Roman" w:hAnsi="Times New Roman"/>
          <w:i/>
          <w:sz w:val="20"/>
        </w:rPr>
        <w:t>and similar expressions or variations of such words are intended to identify forward-looking statements but are not the only means of identifying forward-looking statements. Our actual results could differ materially from those discussed in these forward-looking statements.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Overview</w:t>
      </w:r>
      <w:r>
        <w:rPr>
          <w:rFonts w:ascii="Times New Roman" w:hAnsi="Times New Roman"/>
          <w:sz w:val="24"/>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We are a global public safety technology and services company focused on delivering integrated non-lethal solutions for law enforcement, corrections, defense, and other public safety organizations worldwide. Our mission is to enable safer outcomes by providing officers and agencies with the tools, training, and tactics to gain proactive, lawful control of encounters, reducing risk to both officers and subjects, while preserving tactical advantage.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We began sales of our first public safety product, the BolaWrap® 100 device, in late 2018. In the first quarter of 2022, we introduced the BolaWrap® 150, a next generation, electronically deployed device that is more robust, smaller, lighter, and simpler to deploy than the BolaWrap 100, which has since been phased out. In December 2020, we acquired NSENA Inc., a provider of immersive virtual reality training for law enforcement utilizing proprietary software-enabled content and computer graphics simulation. This acquisition provided the foundation for Wrap Reality™, our virtual reality (“VR”) training platform designed for law enforcement simulation training and correctional reentry scenarios.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In August 2023, we acquired Intrensic, a Delaware limited liability company, which added body worn camera and digital evidence management capabilities to our portfolio.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During 2025, we continued our transition from a single-product company into a diversified public safety technology and services company delivering integrated non-lethal solutions that combine tools, training, and tactics. This transition included expanding our product portfolio, advancing our training and software platforms, entering adjacent defense and homeland security markets, and strengthening our commercial and leadership infrastructure. While we continued to incur operating losses during the year, we implemented cost containment initiatives and focused on aligning our operating structure with our near- and long-term strategic priorities.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We expanded our product portfolio with the launch of WrapTactics™, a digital training platform designed to integrate human-factors awareness, decision-making under stress, and tactical proficiency agency-wide; and WrapVision™, a North America assembled body worn camera solution designed to meet federal procurement and data sovereignty requirements. We also advanced several counter unmanned aircraft system initiatives, including the MERLIN™ program, which apply our proprietary tether deployment technology to non-lethal drone interdiction and defense applications. These initiatives are intended to broaden our addressable market beyond traditional policing into defense, homeland security, and critical infrastructure protection, while maintaining our core focus on providing integrated tools, training, and tactics that give officers proactive, lawful control of encounters and support safer outcomes for officers, subjects and the communities they 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On September 19, 2025, we formed a new wholly-owned subsidiary of the Company, Wrap Federal, under the laws of the State of Delaware. Wrap Federal was established for the purpose of supporting U.S. federal government clients in the Department of Defense, Department of Homeland Security, and other federal agencies. We believe a continued focus on integrating our systems into existing federal frameworks supports our goal of becoming a fully integrated federal public safety and defense technology enterprise. </w:t>
      </w:r>
    </w:p>
    <w:p>
      <w:pPr>
        <w:pStyle w:val="TextBody"/>
        <w:bidi w:val="0"/>
        <w:spacing w:before="0" w:after="0"/>
        <w:jc w:val="both"/>
        <w:rPr/>
      </w:pPr>
      <w:r>
        <w:rPr/>
        <w:t>   </w:t>
      </w:r>
    </w:p>
    <w:p>
      <w:pPr>
        <w:pStyle w:val="TextBody"/>
        <w:bidi w:val="0"/>
        <w:spacing w:before="0" w:after="0"/>
        <w:jc w:val="both"/>
        <w:rPr>
          <w:rFonts w:ascii="Times New Roman" w:hAnsi="Times New Roman"/>
          <w:b/>
          <w:sz w:val="20"/>
        </w:rPr>
      </w:pPr>
      <w:r>
        <w:rPr>
          <w:rFonts w:ascii="Times New Roman" w:hAnsi="Times New Roman"/>
          <w:b/>
          <w:sz w:val="20"/>
        </w:rPr>
        <w:t xml:space="preserve">Products and Services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Our core product and service offerings are designed to provide officers and agencies with integrated non-lethal tools, training, and tactics that support safer outcomes, and sustained readiness across the public safety ecosystem. We focus our efforts on the following: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40</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b/>
          <w:sz w:val="20"/>
        </w:rPr>
      </w:pPr>
      <w:r>
        <w:rPr>
          <w:rFonts w:ascii="Times New Roman" w:hAnsi="Times New Roman"/>
          <w:b/>
          <w:sz w:val="20"/>
        </w:rPr>
        <w:t xml:space="preserve">BolaWrap®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Our BolaWrap product line is a handheld, non-lethal device designed to give officers a proactive tactical option by deploying a Kevlar® tether that entangles the arms and/or legs, limiting a subject's mobility and balance. The BolaWrap 150 employs electronic deployment, improved reliability, enhanced durability, and reduced weight compared to prior generations. Upon deployment, the device creates a controlled interruption through sight, sound, and sensation, giving officers time, space, and tactical advantage to intervene earlier and manage encounters before contact distance collapses. BolaWrap is sold with proprietary cassettes that are consumed upon each deployment and must be replaced, providing a recurring consumable revenue stream. </w:t>
      </w:r>
    </w:p>
    <w:p>
      <w:pPr>
        <w:pStyle w:val="TextBody"/>
        <w:bidi w:val="0"/>
        <w:spacing w:before="0" w:after="0"/>
        <w:jc w:val="both"/>
        <w:rPr/>
      </w:pPr>
      <w:r>
        <w:rPr/>
        <w:t>   </w:t>
      </w:r>
    </w:p>
    <w:p>
      <w:pPr>
        <w:pStyle w:val="TextBody"/>
        <w:bidi w:val="0"/>
        <w:spacing w:before="0" w:after="0"/>
        <w:jc w:val="both"/>
        <w:rPr>
          <w:rFonts w:ascii="Times New Roman" w:hAnsi="Times New Roman"/>
          <w:b/>
          <w:sz w:val="20"/>
        </w:rPr>
      </w:pPr>
      <w:r>
        <w:rPr>
          <w:rFonts w:ascii="Times New Roman" w:hAnsi="Times New Roman"/>
          <w:b/>
          <w:sz w:val="20"/>
        </w:rPr>
        <w:t xml:space="preserve">Wrap Reality™ Virtual Reality Training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Wrap Reality is an immersive VR training platform providing scenario-based training focused on human-factors awareness, decision making under stress, and use of force judgment. The platform is designed to build and sustain the cognitive and tactical skills officers need to recognize intervention points, manage distance and positioning, and apply proportional, lawful responses in dynamic environments. Wrap Reality supports law enforcement, corrections, and societal reentry training and offers a growing library of configurable scenarios, including 45 scenarios for law enforcement and corrections and 15 scenarios for societal reentry. Wrap Reality may be deployed on premises or through cloud enabled environments and supports data capture, replay, and performance review. </w:t>
      </w:r>
    </w:p>
    <w:p>
      <w:pPr>
        <w:pStyle w:val="TextBody"/>
        <w:bidi w:val="0"/>
        <w:spacing w:before="0" w:after="0"/>
        <w:jc w:val="both"/>
        <w:rPr/>
      </w:pPr>
      <w:r>
        <w:rPr/>
        <w:t>   </w:t>
      </w:r>
    </w:p>
    <w:p>
      <w:pPr>
        <w:pStyle w:val="TextBody"/>
        <w:bidi w:val="0"/>
        <w:spacing w:before="0" w:after="0"/>
        <w:jc w:val="both"/>
        <w:rPr>
          <w:rFonts w:ascii="Times New Roman" w:hAnsi="Times New Roman"/>
          <w:b/>
          <w:sz w:val="20"/>
        </w:rPr>
      </w:pPr>
      <w:r>
        <w:rPr>
          <w:rFonts w:ascii="Times New Roman" w:hAnsi="Times New Roman"/>
          <w:b/>
          <w:sz w:val="20"/>
        </w:rPr>
        <w:t xml:space="preserve">WrapTactics™ Digital Training Platform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Launched in 2025, WrapTactics is a subscription based digital training and performance platform aimed at delivering short form, scenario-based instruction focused on non-lethal response tactics, decision-making under stress, and follow-on lawful control techniques. The platform is designed to prevent skill decay by providing continuous, low-burden training that reinforces the tactical fundamentals (distance, positioning, timing, and force decision-making) that officers rely on in dynamic encounters. WrapTactics complements our hardware and VR offerings and supports recurring revenue opportunities through bundled training and service offerings. </w:t>
      </w:r>
    </w:p>
    <w:p>
      <w:pPr>
        <w:pStyle w:val="TextBody"/>
        <w:bidi w:val="0"/>
        <w:spacing w:before="0" w:after="0"/>
        <w:jc w:val="both"/>
        <w:rPr/>
      </w:pPr>
      <w:r>
        <w:rPr/>
        <w:t>   </w:t>
      </w:r>
    </w:p>
    <w:p>
      <w:pPr>
        <w:pStyle w:val="TextBody"/>
        <w:bidi w:val="0"/>
        <w:spacing w:before="0" w:after="0"/>
        <w:jc w:val="both"/>
        <w:rPr>
          <w:rFonts w:ascii="Times New Roman" w:hAnsi="Times New Roman"/>
          <w:b/>
          <w:sz w:val="20"/>
        </w:rPr>
      </w:pPr>
      <w:r>
        <w:rPr>
          <w:rFonts w:ascii="Times New Roman" w:hAnsi="Times New Roman"/>
          <w:b/>
          <w:sz w:val="20"/>
        </w:rPr>
        <w:t xml:space="preserve">WrapVision™ Body-Worn Camera and Digital Evidence Management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WrapVision, launched in 2025, is a body-worn camera solution assembled in North America and designed to meet federal procurement and data-sovereignty requirements. WrapVision replaces our prior-generation Intrensic X2 camera hardware and serves as the front-end capture device within our digital evidence management ecosystem. Our cloud-based DEM platform provides unlimited video storage along with video and evidence uploading, search, retrieval, redaction, and evidence sharing capabilities, reducing the resources agencies require to manage digital evidence. Together, WrapVision and our DEM platform provide agencies with integrated accountability and transparency tools that complement our non-lethal and training solutions. WrapVision builds on the Intrensic acquisition and reflects our strategy to deliver integrated solutions for public safety. </w:t>
      </w:r>
    </w:p>
    <w:p>
      <w:pPr>
        <w:pStyle w:val="TextBody"/>
        <w:bidi w:val="0"/>
        <w:spacing w:before="0" w:after="0"/>
        <w:jc w:val="both"/>
        <w:rPr/>
      </w:pPr>
      <w:r>
        <w:rPr/>
        <w:t>   </w:t>
      </w:r>
    </w:p>
    <w:p>
      <w:pPr>
        <w:pStyle w:val="TextBody"/>
        <w:bidi w:val="0"/>
        <w:spacing w:before="0" w:after="0"/>
        <w:jc w:val="both"/>
        <w:rPr>
          <w:rFonts w:ascii="Times New Roman" w:hAnsi="Times New Roman"/>
          <w:b/>
          <w:sz w:val="20"/>
        </w:rPr>
      </w:pPr>
      <w:r>
        <w:rPr>
          <w:rFonts w:ascii="Times New Roman" w:hAnsi="Times New Roman"/>
          <w:b/>
          <w:sz w:val="20"/>
        </w:rPr>
        <w:t xml:space="preserve">Counter-Unmanned Aircraft Systems (C-UAS) and Defense Applications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During 2025, we expanded research, development, and demonstration efforts applying our tether deployment technology to counter C-UAS applications. MERLIN is designed to leverage the same self-contained cassette architecture underlying the BolaWrap platform, adapting it for non-lethal drone interdiction capabilities across defense, homeland security, and critical-infrastructure protection missions. These initiatives remain in various stages of development and evaluation and are subject to government testing, funding, and procurement timelines.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b/>
          <w:sz w:val="20"/>
        </w:rPr>
      </w:pPr>
      <w:r>
        <w:rPr>
          <w:rFonts w:ascii="Times New Roman" w:hAnsi="Times New Roman"/>
          <w:b/>
          <w:sz w:val="20"/>
        </w:rPr>
        <w:t xml:space="preserve">Recent Developments </w:t>
      </w:r>
    </w:p>
    <w:p>
      <w:pPr>
        <w:pStyle w:val="TextBody"/>
        <w:bidi w:val="0"/>
        <w:spacing w:before="0" w:after="0"/>
        <w:ind w:left="0" w:right="0" w:hanging="0"/>
        <w:jc w:val="both"/>
        <w:rPr>
          <w:rFonts w:ascii="TimesNewRoman;Times New Roman;Times;Baskerville;Georgia;serif" w:hAnsi="TimesNewRoman;Times New Roman;Times;Baskerville;Georgia;serif"/>
          <w:i/>
          <w:spacing w:val="0"/>
          <w:sz w:val="20"/>
          <w:shd w:fill="FFFFFF" w:val="clear"/>
        </w:rPr>
      </w:pPr>
      <w:r>
        <w:rPr>
          <w:rFonts w:ascii="TimesNewRoman;Times New Roman;Times;Baskerville;Georgia;serif" w:hAnsi="TimesNewRoman;Times New Roman;Times;Baskerville;Georgia;serif"/>
          <w:i/>
          <w:spacing w:val="0"/>
          <w:sz w:val="20"/>
          <w:shd w:fill="FFFFFF" w:val="clear"/>
        </w:rPr>
        <w:t>February 2026 Purchase Agreement</w:t>
      </w:r>
    </w:p>
    <w:p>
      <w:pPr>
        <w:pStyle w:val="TextBody"/>
        <w:bidi w:val="0"/>
        <w:spacing w:before="0" w:after="0"/>
        <w:ind w:left="0" w:right="0" w:hanging="0"/>
        <w:jc w:val="both"/>
        <w:rPr>
          <w:rFonts w:ascii="TimesNewRoman;Times New Roman;Times;Baskerville;Georgia;serif" w:hAnsi="TimesNewRoman;Times New Roman;Times;Baskerville;Georgia;serif"/>
          <w:spacing w:val="0"/>
          <w:sz w:val="20"/>
          <w:shd w:fill="FFFFFF" w:val="clear"/>
        </w:rPr>
      </w:pPr>
      <w:r>
        <w:rPr>
          <w:rFonts w:ascii="TimesNewRoman;Times New Roman;Times;Baskerville;Georgia;serif" w:hAnsi="TimesNewRoman;Times New Roman;Times;Baskerville;Georgia;serif"/>
          <w:spacing w:val="0"/>
          <w:sz w:val="20"/>
          <w:shd w:fill="FFFFFF" w:val="clear"/>
        </w:rPr>
        <w:t xml:space="preserve">On February 2, 2026, we entered into a securities purchase agreement (the “February 2026 Purchase Agreement”) with the investors signatory thereto (the “February 2026 Purchasers”) for the issuance and sale in a private placement (the “February 2026 Private Placement”) of (i) an aggregate of 1,700,000 shares of Common Stock, (ii) pre-funded warrants (the “February 2026 Pre-Funded Warrants”) to purchase up to 800,000 shares of Common Stock, with an exercise price of $0.0001 per share, and (iii) warrants (the “February 2026 Investor Warrants” and, together with the February 2026 Pre-Funded Warrants, the “February 2026 Warrants”) to purchase up to 2,500,000 shares of Common Stock, with an exercise price of $2.30 per share. The purchase price for one share of Common Stock and accompanying February 2026 Common Warrant was $2.00 and the purchase price for one February 2026 Pre-Funded Warrant and accompanying February 2026 Common Warrant was $1.9999. </w:t>
      </w:r>
    </w:p>
    <w:p>
      <w:pPr>
        <w:pStyle w:val="TextBody"/>
        <w:bidi w:val="0"/>
        <w:spacing w:before="0" w:after="0"/>
        <w:ind w:left="0" w:right="0" w:hanging="0"/>
        <w:jc w:val="both"/>
        <w:rPr>
          <w:rFonts w:ascii="TimesNewRoman;Times New Roman;Times;Baskerville;Georgia;serif" w:hAnsi="TimesNewRoman;Times New Roman;Times;Baskerville;Georgia;serif"/>
          <w:spacing w:val="0"/>
          <w:sz w:val="20"/>
          <w:shd w:fill="FFFFFF" w:val="clear"/>
        </w:rPr>
      </w:pPr>
      <w:r>
        <w:rPr>
          <w:rFonts w:ascii="TimesNewRoman;Times New Roman;Times;Baskerville;Georgia;serif" w:hAnsi="TimesNewRoman;Times New Roman;Times;Baskerville;Georgia;serif"/>
          <w:spacing w:val="0"/>
          <w:sz w:val="20"/>
          <w:shd w:fill="FFFFFF" w:val="clear"/>
        </w:rPr>
        <w:t xml:space="preserve">The closing of the February 2026 Private Placement (the “February 2026 Closing”) occurred on February 3, 2026. The aggregate gross proceeds from the February 2026 Closing were approximately $5.0 million, prior to deducting offering expenses payable by us. </w:t>
      </w:r>
    </w:p>
    <w:p>
      <w:pPr>
        <w:pStyle w:val="TextBody"/>
        <w:bidi w:val="0"/>
        <w:spacing w:before="0" w:after="0"/>
        <w:ind w:left="0" w:right="0" w:hanging="0"/>
        <w:jc w:val="both"/>
        <w:rPr>
          <w:rFonts w:ascii="TimesNewRoman;Times New Roman;Times;Baskerville;Georgia;serif" w:hAnsi="TimesNewRoman;Times New Roman;Times;Baskerville;Georgia;serif"/>
          <w:spacing w:val="0"/>
          <w:sz w:val="20"/>
          <w:shd w:fill="FFFFFF" w:val="clear"/>
        </w:rPr>
      </w:pPr>
      <w:r>
        <w:rPr>
          <w:rFonts w:ascii="TimesNewRoman;Times New Roman;Times;Baskerville;Georgia;serif" w:hAnsi="TimesNewRoman;Times New Roman;Times;Baskerville;Georgia;serif"/>
          <w:spacing w:val="0"/>
          <w:sz w:val="20"/>
          <w:shd w:fill="FFFFFF" w:val="clear"/>
        </w:rPr>
        <w:t xml:space="preserve">The February 2026 Purchase Agreement contains customary representations, warranties and agreements by the Company, customary conditions to closing, indemnification obligations of the Company and the February 2026 Purchasers, including for liabilities under the Securities Act and other obligations of the parties and termination provisions. </w:t>
      </w:r>
    </w:p>
    <w:p>
      <w:pPr>
        <w:pStyle w:val="TextBody"/>
        <w:bidi w:val="0"/>
        <w:spacing w:before="0" w:after="0"/>
        <w:ind w:left="0" w:right="0" w:hanging="0"/>
        <w:jc w:val="both"/>
        <w:rPr>
          <w:rFonts w:ascii="TimesNewRoman;Times New Roman;Times;Baskerville;Georgia;serif" w:hAnsi="TimesNewRoman;Times New Roman;Times;Baskerville;Georgia;serif"/>
          <w:i/>
          <w:spacing w:val="0"/>
          <w:sz w:val="20"/>
          <w:shd w:fill="FFFFFF" w:val="clear"/>
        </w:rPr>
      </w:pPr>
      <w:r>
        <w:rPr>
          <w:rFonts w:ascii="TimesNewRoman;Times New Roman;Times;Baskerville;Georgia;serif" w:hAnsi="TimesNewRoman;Times New Roman;Times;Baskerville;Georgia;serif"/>
          <w:i/>
          <w:spacing w:val="0"/>
          <w:sz w:val="20"/>
          <w:shd w:fill="FFFFFF" w:val="clear"/>
        </w:rPr>
        <w:t xml:space="preserve">February 2026 Warrants </w:t>
      </w:r>
    </w:p>
    <w:p>
      <w:pPr>
        <w:pStyle w:val="TextBody"/>
        <w:bidi w:val="0"/>
        <w:spacing w:before="0" w:after="0"/>
        <w:ind w:left="0" w:right="0" w:hanging="0"/>
        <w:jc w:val="both"/>
        <w:rPr>
          <w:rFonts w:ascii="TimesNewRoman;Times New Roman;Times;Baskerville;Georgia;serif" w:hAnsi="TimesNewRoman;Times New Roman;Times;Baskerville;Georgia;serif"/>
          <w:spacing w:val="0"/>
          <w:sz w:val="20"/>
          <w:shd w:fill="FFFFFF" w:val="clear"/>
        </w:rPr>
      </w:pPr>
      <w:r>
        <w:rPr>
          <w:rFonts w:ascii="TimesNewRoman;Times New Roman;Times;Baskerville;Georgia;serif" w:hAnsi="TimesNewRoman;Times New Roman;Times;Baskerville;Georgia;serif"/>
          <w:spacing w:val="0"/>
          <w:sz w:val="20"/>
          <w:shd w:fill="FFFFFF" w:val="clear"/>
        </w:rPr>
        <w:t xml:space="preserve">The February 2026 Common Warrants are exercisable for shares of Common Stock immediately at an exercise price of $2.30 per share and expire five years from the date of issuance. The February 2026 Pre-Funded Warrants are exercisable for shares of Common Stock immediately and expire when exercised in full. </w:t>
      </w:r>
    </w:p>
    <w:p>
      <w:pPr>
        <w:pStyle w:val="TextBody"/>
        <w:bidi w:val="0"/>
        <w:spacing w:before="0" w:after="0"/>
        <w:ind w:left="0" w:right="0" w:hanging="0"/>
        <w:jc w:val="both"/>
        <w:rPr>
          <w:rFonts w:ascii="TimesNewRoman;Times New Roman;Times;Baskerville;Georgia;serif" w:hAnsi="TimesNewRoman;Times New Roman;Times;Baskerville;Georgia;serif"/>
          <w:spacing w:val="0"/>
          <w:sz w:val="20"/>
          <w:shd w:fill="FFFFFF" w:val="clear"/>
        </w:rPr>
      </w:pPr>
      <w:r>
        <w:rPr>
          <w:rFonts w:ascii="TimesNewRoman;Times New Roman;Times;Baskerville;Georgia;serif" w:hAnsi="TimesNewRoman;Times New Roman;Times;Baskerville;Georgia;serif"/>
          <w:spacing w:val="0"/>
          <w:sz w:val="20"/>
          <w:shd w:fill="FFFFFF" w:val="clear"/>
        </w:rPr>
        <w:t xml:space="preserve">A holder of the February 2026 Warrants may not exercise any portion of such holder’s February 2026 Warrants to the extent that the holder, together with its affiliates, would beneficially own more than 4.99% (or, at the election of the holder, 9.99%)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 </w:t>
      </w:r>
    </w:p>
    <w:p>
      <w:pPr>
        <w:pStyle w:val="TextBody"/>
        <w:bidi w:val="0"/>
        <w:spacing w:before="0" w:after="0"/>
        <w:ind w:left="0" w:right="0" w:hanging="0"/>
        <w:jc w:val="both"/>
        <w:rPr>
          <w:rFonts w:ascii="TimesNewRoman;Times New Roman;Times;Baskerville;Georgia;serif" w:hAnsi="TimesNewRoman;Times New Roman;Times;Baskerville;Georgia;serif"/>
          <w:i/>
          <w:spacing w:val="0"/>
          <w:sz w:val="20"/>
          <w:shd w:fill="FFFFFF" w:val="clear"/>
        </w:rPr>
      </w:pPr>
      <w:r>
        <w:rPr>
          <w:rFonts w:ascii="TimesNewRoman;Times New Roman;Times;Baskerville;Georgia;serif" w:hAnsi="TimesNewRoman;Times New Roman;Times;Baskerville;Georgia;serif"/>
          <w:i/>
          <w:spacing w:val="0"/>
          <w:sz w:val="20"/>
          <w:shd w:fill="FFFFFF" w:val="clear"/>
        </w:rPr>
        <w:t xml:space="preserve">February 2026 Registration Rights Agreement </w:t>
      </w:r>
    </w:p>
    <w:p>
      <w:pPr>
        <w:pStyle w:val="TextBody"/>
        <w:bidi w:val="0"/>
        <w:spacing w:before="0" w:after="0"/>
        <w:ind w:left="0" w:right="0" w:hanging="0"/>
        <w:jc w:val="both"/>
        <w:rPr>
          <w:rFonts w:ascii="TimesNewRoman;Times New Roman;Times;Baskerville;Georgia;serif" w:hAnsi="TimesNewRoman;Times New Roman;Times;Baskerville;Georgia;serif"/>
          <w:spacing w:val="0"/>
          <w:sz w:val="20"/>
          <w:shd w:fill="FFFFFF" w:val="clear"/>
        </w:rPr>
      </w:pPr>
      <w:r>
        <w:rPr>
          <w:rFonts w:ascii="TimesNewRoman;Times New Roman;Times;Baskerville;Georgia;serif" w:hAnsi="TimesNewRoman;Times New Roman;Times;Baskerville;Georgia;serif"/>
          <w:spacing w:val="0"/>
          <w:sz w:val="20"/>
          <w:shd w:fill="FFFFFF" w:val="clear"/>
        </w:rPr>
        <w:t>On February 2, 2026, in connection with the February 2026 Private Placement, the Company entered into a registration rights agreement (the “February 2026 Registration Rights Agreement”) with the February 2026 Purchasers, pursuant to which the Company agreed to prepare and file a registration statement with the SEC registering the resale of the shares of Common Stock and shares of Common Stock underlying the February 2026 Warrants no later than 60 days following the date of the February 2026 Registration Rights Agreement, and to use best efforts to have the registration statement declared effective as promptly as practical thereafter, and in any event no later than 90 days following the date of the February 2026 Registration Rights Agreement (or 120 days following the date of the February 2026 Registration Rights Agreement in the event of a “full review” by the SEC). On February 9, 2026, the Company filed the registration statement pursuant to the February 2026 Registration Rights Agreement, which was declared effective by the SEC on February 13, 2026.</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42</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b/>
          <w:sz w:val="20"/>
        </w:rPr>
      </w:pPr>
      <w:r>
        <w:rPr>
          <w:rFonts w:ascii="Times New Roman" w:hAnsi="Times New Roman"/>
          <w:b/>
          <w:sz w:val="20"/>
        </w:rPr>
        <w:t xml:space="preserve">Business Outlook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We believe demand for integrated non-lethal solutions will continue to be influenced by public expectations for proportional and accountable use of force, evolving legal and policy standards, and increased emphasis on officer safety, community trust, and sustained operational readiness. Modern policing operates under continuous public and legal scrutiny, creating a need for tools, training, and tactics that give officers defensible, proportional options in dynamic encounters. Our business outlook is shaped by our ability to increase adoption of our core products, deepen customer relationships through programmatic training and service delivery, expand recurring revenue, and selectively enter adjacent markets while managing costs and capital resources.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In 2026, our near-term focus is on expanding agency-wide deployments of BolaWrap, increasing utilization of our training and subscription-based offerings, including Wrap Reality and WrapTactics, and advancing commercialization efforts for WrapVision. We also expect to continue evaluating development and demonstration opportunities related to our counter-unmanned aircraft system initiatives, although the timing and scale of any resulting revenues remain uncertain and dependent on government testing, funding, and procurement decisions.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Our results will continue to be influenced by government budget cycles, procurement processes, and the availability of grant funding at the federal, state, and local levels. We also expect international sales to remain uneven due to centralized procurement processes and the timing of large orders. While we have implemented cost containment initiatives and continue to evaluate our operating structure, we expect to continue incurring operating losses until we achieve sufficient scale, margin improvement, and recurring revenue to offset our fixed costs. </w:t>
      </w:r>
    </w:p>
    <w:p>
      <w:pPr>
        <w:pStyle w:val="TextBody"/>
        <w:bidi w:val="0"/>
        <w:spacing w:before="0" w:after="0"/>
        <w:jc w:val="both"/>
        <w:rPr/>
      </w:pPr>
      <w:r>
        <w:rPr/>
        <w:t>   </w:t>
      </w:r>
    </w:p>
    <w:p>
      <w:pPr>
        <w:pStyle w:val="TextBody"/>
        <w:bidi w:val="0"/>
        <w:spacing w:before="0" w:after="0"/>
        <w:jc w:val="both"/>
        <w:rPr>
          <w:rFonts w:ascii="Times New Roman" w:hAnsi="Times New Roman"/>
          <w:b/>
          <w:sz w:val="20"/>
        </w:rPr>
      </w:pPr>
      <w:r>
        <w:rPr>
          <w:rFonts w:ascii="Times New Roman" w:hAnsi="Times New Roman"/>
          <w:b/>
          <w:sz w:val="20"/>
        </w:rPr>
        <w:t>Business Trends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Our ability to execute our strategy and improve our financial performance is subject to a number of risks and challenges, many of which are outside of our control.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A significant portion of our revenues is derived from government customers, which exposes us to extended sales cycles, budget constraints, procurement delays, and changes in public policy or funding priorities. These factors can result in variability in the timing and amount of revenue recognized and may make it difficult to predict future operating results.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We are subject to extensive regulation, including firearms classification, export controls, procurement requirements, and data privacy and cybersecurity regulations. Changes in regulatory interpretation or enforcement could adversely affect our ability to manufacture, sell, or distribute our products.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Effects of Inflation</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Company has experienced increased costs related to labor and materials, which management attributes in part to inflationary pressures. These cost increases have been driven primarily by higher wage rates, competitive labor market conditions, and increased supplier pricing for certain materials and services. While inflationary pressures persisted during 2025, the Company has taken steps to mitigate the impact through cost containment initiatives, workforce reductions, supply chain management efforts, and selective pricing actions where appropriate. However, continued inflationary pressures could result in higher operating costs in future periods, and there can be no assurance that the Company will be able to fully offset such increases through operational efficiencies or pricing adjustments. </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b/>
          <w:sz w:val="20"/>
        </w:rPr>
        <w:t>Segment and Related Information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Company operates as a single segment. The Company’s chief operating decision maker is Scot Cohen, the Company’s Executive Chairman and Chief Executive Officer, who manages operations for purposes of allocating resources.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43</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b/>
          <w:sz w:val="20"/>
        </w:rPr>
        <w:t>Results of Operations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i/>
          <w:sz w:val="20"/>
        </w:rPr>
        <w:t>Year Ended December 31, 2025 Compared to year ended December 31, 2024</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following table and narrative sets forth for the periods indicated certain items of our statement of operations, expressed in thousands of dollars. The financial information and the discussion below should be read in conjunction with the financial statements and notes contained in this Annual Report on Form 10-K.</w:t>
      </w:r>
      <w:r>
        <w:rPr>
          <w:rFonts w:ascii="Times New Roman" w:hAnsi="Times New Roman"/>
          <w:sz w:val="24"/>
        </w:rPr>
        <w:t xml:space="preserve"> </w:t>
      </w:r>
    </w:p>
    <w:p>
      <w:pPr>
        <w:pStyle w:val="TextBody"/>
        <w:bidi w:val="0"/>
        <w:spacing w:before="0" w:after="0"/>
        <w:jc w:val="left"/>
        <w:rPr/>
      </w:pPr>
      <w:r>
        <w:rPr/>
        <w:t> </w:t>
      </w:r>
    </w:p>
    <w:tbl>
      <w:tblPr>
        <w:tblW w:w="8266" w:type="dxa"/>
        <w:jc w:val="left"/>
        <w:tblInd w:w="0" w:type="dxa"/>
        <w:tblLayout w:type="fixed"/>
        <w:tblCellMar>
          <w:top w:w="0" w:type="dxa"/>
          <w:left w:w="0" w:type="dxa"/>
          <w:bottom w:w="0" w:type="dxa"/>
          <w:right w:w="0" w:type="dxa"/>
        </w:tblCellMar>
      </w:tblPr>
      <w:tblGrid>
        <w:gridCol w:w="3320"/>
        <w:gridCol w:w="197"/>
        <w:gridCol w:w="910"/>
        <w:gridCol w:w="214"/>
        <w:gridCol w:w="104"/>
        <w:gridCol w:w="197"/>
        <w:gridCol w:w="910"/>
        <w:gridCol w:w="214"/>
        <w:gridCol w:w="90"/>
        <w:gridCol w:w="170"/>
        <w:gridCol w:w="665"/>
        <w:gridCol w:w="185"/>
        <w:gridCol w:w="90"/>
        <w:gridCol w:w="90"/>
        <w:gridCol w:w="545"/>
        <w:gridCol w:w="365"/>
      </w:tblGrid>
      <w:tr>
        <w:trPr/>
        <w:tc>
          <w:tcPr>
            <w:tcW w:w="332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320" w:type="dxa"/>
            <w:tcBorders/>
            <w:vAlign w:val="center"/>
          </w:tcPr>
          <w:p>
            <w:pPr>
              <w:pStyle w:val="TableContents"/>
              <w:bidi w:val="0"/>
              <w:spacing w:before="0" w:after="283"/>
              <w:jc w:val="left"/>
              <w:rPr/>
            </w:pPr>
            <w:r>
              <w:rPr/>
              <w:t> </w:t>
            </w:r>
          </w:p>
        </w:tc>
        <w:tc>
          <w:tcPr>
            <w:tcW w:w="2746" w:type="dxa"/>
            <w:gridSpan w:val="7"/>
            <w:tcBorders>
              <w:bottom w:val="single" w:sz="2" w:space="0" w:color="000000"/>
            </w:tcBorders>
            <w:tcMar>
              <w:bottom w:w="28" w:type="dxa"/>
            </w:tcMar>
            <w:vAlign w:val="center"/>
          </w:tcPr>
          <w:p>
            <w:pPr>
              <w:pStyle w:val="TableContents"/>
              <w:bidi w:val="0"/>
              <w:spacing w:before="0" w:after="283"/>
              <w:jc w:val="center"/>
              <w:rPr>
                <w:b/>
              </w:rPr>
            </w:pPr>
            <w:r>
              <w:rPr>
                <w:b/>
              </w:rPr>
              <w:t>Year Ended December 31,</w:t>
            </w:r>
          </w:p>
        </w:tc>
        <w:tc>
          <w:tcPr>
            <w:tcW w:w="90" w:type="dxa"/>
            <w:tcBorders/>
            <w:vAlign w:val="center"/>
          </w:tcPr>
          <w:p>
            <w:pPr>
              <w:pStyle w:val="TableContents"/>
              <w:bidi w:val="0"/>
              <w:spacing w:before="0" w:after="283"/>
              <w:jc w:val="left"/>
              <w:rPr/>
            </w:pPr>
            <w:r>
              <w:rPr/>
              <w:t> </w:t>
            </w:r>
          </w:p>
        </w:tc>
        <w:tc>
          <w:tcPr>
            <w:tcW w:w="211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Change</w:t>
            </w:r>
          </w:p>
        </w:tc>
      </w:tr>
      <w:tr>
        <w:trPr/>
        <w:tc>
          <w:tcPr>
            <w:tcW w:w="3320" w:type="dxa"/>
            <w:tcBorders/>
            <w:vAlign w:val="center"/>
          </w:tcPr>
          <w:p>
            <w:pPr>
              <w:pStyle w:val="TableContents"/>
              <w:bidi w:val="0"/>
              <w:spacing w:before="0" w:after="283"/>
              <w:jc w:val="left"/>
              <w:rPr/>
            </w:pPr>
            <w:r>
              <w:rPr/>
              <w:t> </w:t>
            </w:r>
          </w:p>
        </w:tc>
        <w:tc>
          <w:tcPr>
            <w:tcW w:w="197" w:type="dxa"/>
            <w:tcBorders>
              <w:bottom w:val="single" w:sz="2" w:space="0" w:color="000000"/>
            </w:tcBorders>
            <w:tcMar>
              <w:bottom w:w="28" w:type="dxa"/>
            </w:tcMar>
            <w:vAlign w:val="center"/>
          </w:tcPr>
          <w:p>
            <w:pPr>
              <w:pStyle w:val="TableContents"/>
              <w:bidi w:val="0"/>
              <w:spacing w:before="0" w:after="283"/>
              <w:jc w:val="left"/>
              <w:rPr/>
            </w:pPr>
            <w:r>
              <w:rPr/>
              <w:t> </w:t>
            </w:r>
          </w:p>
        </w:tc>
        <w:tc>
          <w:tcPr>
            <w:tcW w:w="91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214" w:type="dxa"/>
            <w:tcBorders>
              <w:bottom w:val="single" w:sz="2" w:space="0" w:color="000000"/>
            </w:tcBorders>
            <w:tcMar>
              <w:bottom w:w="28" w:type="dxa"/>
            </w:tcMar>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bottom w:val="single" w:sz="2" w:space="0" w:color="000000"/>
            </w:tcBorders>
            <w:tcMar>
              <w:bottom w:w="28" w:type="dxa"/>
            </w:tcMar>
            <w:vAlign w:val="center"/>
          </w:tcPr>
          <w:p>
            <w:pPr>
              <w:pStyle w:val="TableContents"/>
              <w:bidi w:val="0"/>
              <w:spacing w:before="0" w:after="283"/>
              <w:jc w:val="left"/>
              <w:rPr/>
            </w:pPr>
            <w:r>
              <w:rPr/>
              <w:t> </w:t>
            </w:r>
          </w:p>
        </w:tc>
        <w:tc>
          <w:tcPr>
            <w:tcW w:w="910"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214"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center"/>
              <w:rPr>
                <w:b/>
              </w:rPr>
            </w:pPr>
            <w:r>
              <w:rPr>
                <w:b/>
              </w:rPr>
              <w:t>$</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45" w:type="dxa"/>
            <w:tcBorders>
              <w:bottom w:val="single" w:sz="2" w:space="0" w:color="000000"/>
            </w:tcBorders>
            <w:tcMar>
              <w:bottom w:w="28" w:type="dxa"/>
            </w:tcMar>
            <w:vAlign w:val="center"/>
          </w:tcPr>
          <w:p>
            <w:pPr>
              <w:pStyle w:val="TableContents"/>
              <w:bidi w:val="0"/>
              <w:spacing w:before="0" w:after="283"/>
              <w:jc w:val="center"/>
              <w:rPr>
                <w:b/>
              </w:rPr>
            </w:pPr>
            <w:r>
              <w:rPr>
                <w:b/>
              </w:rPr>
              <w:t>%</w:t>
            </w:r>
          </w:p>
        </w:tc>
        <w:tc>
          <w:tcPr>
            <w:tcW w:w="36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4946" w:type="dxa"/>
            <w:gridSpan w:val="15"/>
            <w:tcBorders/>
            <w:vAlign w:val="center"/>
          </w:tcPr>
          <w:p>
            <w:pPr>
              <w:pStyle w:val="TableContents"/>
              <w:bidi w:val="0"/>
              <w:spacing w:before="0" w:after="283"/>
              <w:jc w:val="center"/>
              <w:rPr>
                <w:b/>
              </w:rPr>
            </w:pPr>
            <w:r>
              <w:rPr>
                <w:b/>
              </w:rPr>
              <w:t>(in thousands, except percentage change)</w:t>
            </w:r>
          </w:p>
        </w:tc>
      </w:tr>
      <w:tr>
        <w:trPr/>
        <w:tc>
          <w:tcPr>
            <w:tcW w:w="3320" w:type="dxa"/>
            <w:tcBorders/>
            <w:vAlign w:val="center"/>
          </w:tcPr>
          <w:p>
            <w:pPr>
              <w:pStyle w:val="TableContents"/>
              <w:bidi w:val="0"/>
              <w:spacing w:before="0" w:after="283"/>
              <w:jc w:val="left"/>
              <w:rPr>
                <w:b/>
              </w:rPr>
            </w:pPr>
            <w:r>
              <w:rPr>
                <w:b/>
              </w:rPr>
              <w:t>Revenues:</w:t>
            </w:r>
          </w:p>
        </w:tc>
        <w:tc>
          <w:tcPr>
            <w:tcW w:w="197"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Product sales</w:t>
            </w:r>
          </w:p>
        </w:tc>
        <w:tc>
          <w:tcPr>
            <w:tcW w:w="197"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3,507</w:t>
            </w:r>
          </w:p>
        </w:tc>
        <w:tc>
          <w:tcPr>
            <w:tcW w:w="21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3,590</w:t>
            </w:r>
          </w:p>
        </w:tc>
        <w:tc>
          <w:tcPr>
            <w:tcW w:w="21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(83</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(2.3</w:t>
            </w:r>
          </w:p>
        </w:tc>
        <w:tc>
          <w:tcPr>
            <w:tcW w:w="365"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left"/>
              <w:rPr/>
            </w:pPr>
            <w:r>
              <w:rPr/>
              <w:t>Technology enabled services</w:t>
            </w:r>
          </w:p>
        </w:tc>
        <w:tc>
          <w:tcPr>
            <w:tcW w:w="197"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1,696</w:t>
            </w:r>
          </w:p>
        </w:tc>
        <w:tc>
          <w:tcPr>
            <w:tcW w:w="21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right"/>
              <w:rPr/>
            </w:pPr>
            <w:r>
              <w:rPr/>
              <w:t>917</w:t>
            </w:r>
          </w:p>
        </w:tc>
        <w:tc>
          <w:tcPr>
            <w:tcW w:w="2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779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85.0</w:t>
            </w:r>
          </w:p>
        </w:tc>
        <w:tc>
          <w:tcPr>
            <w:tcW w:w="365" w:type="dxa"/>
            <w:tcBorders/>
            <w:vAlign w:val="center"/>
          </w:tcPr>
          <w:p>
            <w:pPr>
              <w:pStyle w:val="TableContents"/>
              <w:bidi w:val="0"/>
              <w:spacing w:before="0" w:after="283"/>
              <w:jc w:val="left"/>
              <w:rPr/>
            </w:pPr>
            <w:r>
              <w:rPr/>
              <w:t>%</w:t>
            </w:r>
          </w:p>
        </w:tc>
      </w:tr>
      <w:tr>
        <w:trPr/>
        <w:tc>
          <w:tcPr>
            <w:tcW w:w="3320" w:type="dxa"/>
            <w:tcBorders/>
            <w:shd w:fill="CCEEFF" w:val="clear"/>
            <w:vAlign w:val="center"/>
          </w:tcPr>
          <w:p>
            <w:pPr>
              <w:pStyle w:val="TableContents"/>
              <w:bidi w:val="0"/>
              <w:spacing w:before="0" w:after="283"/>
              <w:jc w:val="left"/>
              <w:rPr/>
            </w:pPr>
            <w:r>
              <w:rPr/>
              <w:t>Total revenues</w:t>
            </w:r>
          </w:p>
        </w:tc>
        <w:tc>
          <w:tcPr>
            <w:tcW w:w="1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jc w:val="right"/>
              <w:rPr/>
            </w:pPr>
            <w:r>
              <w:rPr/>
              <w:t>5,203</w:t>
            </w:r>
          </w:p>
        </w:tc>
        <w:tc>
          <w:tcPr>
            <w:tcW w:w="21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jc w:val="right"/>
              <w:rPr/>
            </w:pPr>
            <w:r>
              <w:rPr/>
              <w:t>4,507</w:t>
            </w:r>
          </w:p>
        </w:tc>
        <w:tc>
          <w:tcPr>
            <w:tcW w:w="21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696</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jc w:val="right"/>
              <w:rPr/>
            </w:pPr>
            <w:r>
              <w:rPr/>
              <w:t>15.4</w:t>
            </w:r>
          </w:p>
        </w:tc>
        <w:tc>
          <w:tcPr>
            <w:tcW w:w="36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left"/>
              <w:rPr/>
            </w:pPr>
            <w:r>
              <w:rPr/>
              <w:t>Sales returns and allowances</w:t>
            </w:r>
          </w:p>
        </w:tc>
        <w:tc>
          <w:tcPr>
            <w:tcW w:w="197" w:type="dxa"/>
            <w:tcBorders>
              <w:bottom w:val="single" w:sz="2" w:space="0" w:color="000000"/>
            </w:tcBorders>
            <w:tcMar>
              <w:bottom w:w="28" w:type="dxa"/>
            </w:tcMar>
            <w:vAlign w:val="center"/>
          </w:tcPr>
          <w:p>
            <w:pPr>
              <w:pStyle w:val="TableContents"/>
              <w:bidi w:val="0"/>
              <w:spacing w:before="0" w:after="283"/>
              <w:jc w:val="left"/>
              <w:rPr/>
            </w:pPr>
            <w:r>
              <w:rPr/>
              <w:t> </w:t>
            </w:r>
          </w:p>
        </w:tc>
        <w:tc>
          <w:tcPr>
            <w:tcW w:w="910" w:type="dxa"/>
            <w:tcBorders>
              <w:bottom w:val="single" w:sz="2" w:space="0" w:color="000000"/>
            </w:tcBorders>
            <w:tcMar>
              <w:bottom w:w="28" w:type="dxa"/>
            </w:tcMar>
            <w:vAlign w:val="center"/>
          </w:tcPr>
          <w:p>
            <w:pPr>
              <w:pStyle w:val="TableContents"/>
              <w:bidi w:val="0"/>
              <w:spacing w:before="0" w:after="283"/>
              <w:jc w:val="right"/>
              <w:rPr/>
            </w:pPr>
            <w:r>
              <w:rPr/>
              <w:t>(531</w:t>
            </w:r>
          </w:p>
        </w:tc>
        <w:tc>
          <w:tcPr>
            <w:tcW w:w="214" w:type="dxa"/>
            <w:tcBorders>
              <w:bottom w:val="single" w:sz="2" w:space="0" w:color="000000"/>
            </w:tcBorders>
            <w:tcMar>
              <w:bottom w:w="28" w:type="dxa"/>
            </w:tcMar>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bottom w:val="single" w:sz="2" w:space="0" w:color="000000"/>
            </w:tcBorders>
            <w:tcMar>
              <w:bottom w:w="28" w:type="dxa"/>
            </w:tcMar>
            <w:vAlign w:val="center"/>
          </w:tcPr>
          <w:p>
            <w:pPr>
              <w:pStyle w:val="TableContents"/>
              <w:bidi w:val="0"/>
              <w:spacing w:before="0" w:after="283"/>
              <w:jc w:val="left"/>
              <w:rPr/>
            </w:pPr>
            <w:r>
              <w:rPr/>
              <w:t> </w:t>
            </w:r>
          </w:p>
        </w:tc>
        <w:tc>
          <w:tcPr>
            <w:tcW w:w="910" w:type="dxa"/>
            <w:tcBorders>
              <w:bottom w:val="single" w:sz="2" w:space="0" w:color="000000"/>
            </w:tcBorders>
            <w:tcMar>
              <w:bottom w:w="28" w:type="dxa"/>
            </w:tcMar>
            <w:vAlign w:val="center"/>
          </w:tcPr>
          <w:p>
            <w:pPr>
              <w:pStyle w:val="TableContents"/>
              <w:bidi w:val="0"/>
              <w:spacing w:before="0" w:after="283"/>
              <w:jc w:val="right"/>
              <w:rPr/>
            </w:pPr>
            <w:r>
              <w:rPr/>
              <w:t>-</w:t>
            </w:r>
          </w:p>
        </w:tc>
        <w:tc>
          <w:tcPr>
            <w:tcW w:w="214"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right"/>
              <w:rPr/>
            </w:pPr>
            <w:r>
              <w:rPr/>
              <w:t>(531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45" w:type="dxa"/>
            <w:tcBorders>
              <w:bottom w:val="single" w:sz="2" w:space="0" w:color="000000"/>
            </w:tcBorders>
            <w:tcMar>
              <w:bottom w:w="28" w:type="dxa"/>
            </w:tcMar>
            <w:vAlign w:val="center"/>
          </w:tcPr>
          <w:p>
            <w:pPr>
              <w:pStyle w:val="TableContents"/>
              <w:bidi w:val="0"/>
              <w:spacing w:before="0" w:after="283"/>
              <w:jc w:val="right"/>
              <w:rPr/>
            </w:pPr>
            <w:r>
              <w:rPr/>
              <w:t>-</w:t>
            </w:r>
          </w:p>
        </w:tc>
        <w:tc>
          <w:tcPr>
            <w:tcW w:w="365"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3320" w:type="dxa"/>
            <w:tcBorders/>
            <w:shd w:fill="CCEEFF" w:val="clear"/>
            <w:vAlign w:val="center"/>
          </w:tcPr>
          <w:p>
            <w:pPr>
              <w:pStyle w:val="TableContents"/>
              <w:bidi w:val="0"/>
              <w:spacing w:before="0" w:after="283"/>
              <w:jc w:val="left"/>
              <w:rPr/>
            </w:pPr>
            <w:r>
              <w:rPr/>
              <w:t>Cost of revenue</w:t>
            </w:r>
          </w:p>
        </w:tc>
        <w:tc>
          <w:tcPr>
            <w:tcW w:w="1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jc w:val="right"/>
              <w:rPr/>
            </w:pPr>
            <w:r>
              <w:rPr/>
              <w:t>1,973</w:t>
            </w:r>
          </w:p>
        </w:tc>
        <w:tc>
          <w:tcPr>
            <w:tcW w:w="21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jc w:val="right"/>
              <w:rPr/>
            </w:pPr>
            <w:r>
              <w:rPr/>
              <w:t>2,042</w:t>
            </w:r>
          </w:p>
        </w:tc>
        <w:tc>
          <w:tcPr>
            <w:tcW w:w="21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(69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jc w:val="right"/>
              <w:rPr/>
            </w:pPr>
            <w:r>
              <w:rPr/>
              <w:t>(3.4</w:t>
            </w:r>
          </w:p>
        </w:tc>
        <w:tc>
          <w:tcPr>
            <w:tcW w:w="36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left"/>
              <w:rPr>
                <w:b/>
              </w:rPr>
            </w:pPr>
            <w:r>
              <w:rPr>
                <w:b/>
              </w:rPr>
              <w:t>Gross profit</w:t>
            </w:r>
          </w:p>
        </w:tc>
        <w:tc>
          <w:tcPr>
            <w:tcW w:w="197" w:type="dxa"/>
            <w:tcBorders>
              <w:bottom w:val="single" w:sz="2" w:space="0" w:color="000000"/>
            </w:tcBorders>
            <w:tcMar>
              <w:bottom w:w="28" w:type="dxa"/>
            </w:tcMar>
            <w:vAlign w:val="center"/>
          </w:tcPr>
          <w:p>
            <w:pPr>
              <w:pStyle w:val="TableContents"/>
              <w:bidi w:val="0"/>
              <w:spacing w:before="0" w:after="283"/>
              <w:jc w:val="left"/>
              <w:rPr/>
            </w:pPr>
            <w:r>
              <w:rPr/>
              <w:t> </w:t>
            </w:r>
          </w:p>
        </w:tc>
        <w:tc>
          <w:tcPr>
            <w:tcW w:w="910" w:type="dxa"/>
            <w:tcBorders>
              <w:bottom w:val="single" w:sz="2" w:space="0" w:color="000000"/>
            </w:tcBorders>
            <w:tcMar>
              <w:bottom w:w="28" w:type="dxa"/>
            </w:tcMar>
            <w:vAlign w:val="center"/>
          </w:tcPr>
          <w:p>
            <w:pPr>
              <w:pStyle w:val="TableContents"/>
              <w:bidi w:val="0"/>
              <w:spacing w:before="0" w:after="283"/>
              <w:jc w:val="right"/>
              <w:rPr/>
            </w:pPr>
            <w:r>
              <w:rPr/>
              <w:t>2,699</w:t>
            </w:r>
          </w:p>
        </w:tc>
        <w:tc>
          <w:tcPr>
            <w:tcW w:w="214" w:type="dxa"/>
            <w:tcBorders>
              <w:bottom w:val="single" w:sz="2" w:space="0" w:color="000000"/>
            </w:tcBorders>
            <w:tcMar>
              <w:bottom w:w="28" w:type="dxa"/>
            </w:tcMar>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bottom w:val="single" w:sz="2" w:space="0" w:color="000000"/>
            </w:tcBorders>
            <w:tcMar>
              <w:bottom w:w="28" w:type="dxa"/>
            </w:tcMar>
            <w:vAlign w:val="center"/>
          </w:tcPr>
          <w:p>
            <w:pPr>
              <w:pStyle w:val="TableContents"/>
              <w:bidi w:val="0"/>
              <w:spacing w:before="0" w:after="283"/>
              <w:jc w:val="left"/>
              <w:rPr/>
            </w:pPr>
            <w:r>
              <w:rPr/>
              <w:t> </w:t>
            </w:r>
          </w:p>
        </w:tc>
        <w:tc>
          <w:tcPr>
            <w:tcW w:w="910" w:type="dxa"/>
            <w:tcBorders>
              <w:bottom w:val="single" w:sz="2" w:space="0" w:color="000000"/>
            </w:tcBorders>
            <w:tcMar>
              <w:bottom w:w="28" w:type="dxa"/>
            </w:tcMar>
            <w:vAlign w:val="center"/>
          </w:tcPr>
          <w:p>
            <w:pPr>
              <w:pStyle w:val="TableContents"/>
              <w:bidi w:val="0"/>
              <w:spacing w:before="0" w:after="283"/>
              <w:jc w:val="right"/>
              <w:rPr/>
            </w:pPr>
            <w:r>
              <w:rPr/>
              <w:t>2,465</w:t>
            </w:r>
          </w:p>
        </w:tc>
        <w:tc>
          <w:tcPr>
            <w:tcW w:w="214"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right"/>
              <w:rPr/>
            </w:pPr>
            <w:r>
              <w:rPr/>
              <w:t>234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45" w:type="dxa"/>
            <w:tcBorders>
              <w:bottom w:val="single" w:sz="2" w:space="0" w:color="000000"/>
            </w:tcBorders>
            <w:tcMar>
              <w:bottom w:w="28" w:type="dxa"/>
            </w:tcMar>
            <w:vAlign w:val="center"/>
          </w:tcPr>
          <w:p>
            <w:pPr>
              <w:pStyle w:val="TableContents"/>
              <w:bidi w:val="0"/>
              <w:spacing w:before="0" w:after="283"/>
              <w:jc w:val="right"/>
              <w:rPr/>
            </w:pPr>
            <w:r>
              <w:rPr/>
              <w:t>9.5</w:t>
            </w:r>
          </w:p>
        </w:tc>
        <w:tc>
          <w:tcPr>
            <w:tcW w:w="365"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332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365" w:type="dxa"/>
            <w:tcBorders/>
            <w:shd w:fill="CCEEFF" w:val="clear"/>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b/>
              </w:rPr>
            </w:pPr>
            <w:r>
              <w:rPr>
                <w:b/>
              </w:rPr>
              <w:t>Operating Expenses:</w:t>
            </w:r>
          </w:p>
        </w:tc>
        <w:tc>
          <w:tcPr>
            <w:tcW w:w="197"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91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283"/>
              <w:jc w:val="left"/>
              <w:rPr/>
            </w:pPr>
            <w:r>
              <w:rPr/>
              <w:t>Selling, general and administrative</w:t>
            </w:r>
          </w:p>
        </w:tc>
        <w:tc>
          <w:tcPr>
            <w:tcW w:w="197"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16,128</w:t>
            </w:r>
          </w:p>
        </w:tc>
        <w:tc>
          <w:tcPr>
            <w:tcW w:w="21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15,688</w:t>
            </w:r>
          </w:p>
        </w:tc>
        <w:tc>
          <w:tcPr>
            <w:tcW w:w="214"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440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2.8</w:t>
            </w:r>
          </w:p>
        </w:tc>
        <w:tc>
          <w:tcPr>
            <w:tcW w:w="365" w:type="dxa"/>
            <w:tcBorders/>
            <w:shd w:fill="CCEEFF" w:val="cle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left"/>
              <w:rPr/>
            </w:pPr>
            <w:r>
              <w:rPr/>
              <w:t>Research and development</w:t>
            </w:r>
          </w:p>
        </w:tc>
        <w:tc>
          <w:tcPr>
            <w:tcW w:w="197" w:type="dxa"/>
            <w:tcBorders>
              <w:bottom w:val="single" w:sz="2" w:space="0" w:color="000000"/>
            </w:tcBorders>
            <w:tcMar>
              <w:bottom w:w="28" w:type="dxa"/>
            </w:tcMar>
            <w:vAlign w:val="center"/>
          </w:tcPr>
          <w:p>
            <w:pPr>
              <w:pStyle w:val="TableContents"/>
              <w:bidi w:val="0"/>
              <w:spacing w:before="0" w:after="283"/>
              <w:jc w:val="left"/>
              <w:rPr/>
            </w:pPr>
            <w:r>
              <w:rPr/>
              <w:t> </w:t>
            </w:r>
          </w:p>
        </w:tc>
        <w:tc>
          <w:tcPr>
            <w:tcW w:w="910" w:type="dxa"/>
            <w:tcBorders>
              <w:bottom w:val="single" w:sz="2" w:space="0" w:color="000000"/>
            </w:tcBorders>
            <w:tcMar>
              <w:bottom w:w="28" w:type="dxa"/>
            </w:tcMar>
            <w:vAlign w:val="center"/>
          </w:tcPr>
          <w:p>
            <w:pPr>
              <w:pStyle w:val="TableContents"/>
              <w:bidi w:val="0"/>
              <w:spacing w:before="0" w:after="283"/>
              <w:jc w:val="right"/>
              <w:rPr/>
            </w:pPr>
            <w:r>
              <w:rPr/>
              <w:t>56</w:t>
            </w:r>
          </w:p>
        </w:tc>
        <w:tc>
          <w:tcPr>
            <w:tcW w:w="214" w:type="dxa"/>
            <w:tcBorders>
              <w:bottom w:val="single" w:sz="2" w:space="0" w:color="000000"/>
            </w:tcBorders>
            <w:tcMar>
              <w:bottom w:w="28" w:type="dxa"/>
            </w:tcMar>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bottom w:val="single" w:sz="2" w:space="0" w:color="000000"/>
            </w:tcBorders>
            <w:tcMar>
              <w:bottom w:w="28" w:type="dxa"/>
            </w:tcMar>
            <w:vAlign w:val="center"/>
          </w:tcPr>
          <w:p>
            <w:pPr>
              <w:pStyle w:val="TableContents"/>
              <w:bidi w:val="0"/>
              <w:spacing w:before="0" w:after="283"/>
              <w:jc w:val="left"/>
              <w:rPr/>
            </w:pPr>
            <w:r>
              <w:rPr/>
              <w:t> </w:t>
            </w:r>
          </w:p>
        </w:tc>
        <w:tc>
          <w:tcPr>
            <w:tcW w:w="910" w:type="dxa"/>
            <w:tcBorders>
              <w:bottom w:val="single" w:sz="2" w:space="0" w:color="000000"/>
            </w:tcBorders>
            <w:tcMar>
              <w:bottom w:w="28" w:type="dxa"/>
            </w:tcMar>
            <w:vAlign w:val="center"/>
          </w:tcPr>
          <w:p>
            <w:pPr>
              <w:pStyle w:val="TableContents"/>
              <w:bidi w:val="0"/>
              <w:spacing w:before="0" w:after="283"/>
              <w:jc w:val="right"/>
              <w:rPr/>
            </w:pPr>
            <w:r>
              <w:rPr/>
              <w:t>2,344</w:t>
            </w:r>
          </w:p>
        </w:tc>
        <w:tc>
          <w:tcPr>
            <w:tcW w:w="214"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right"/>
              <w:rPr/>
            </w:pPr>
            <w:r>
              <w:rPr/>
              <w:t>(2,288</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bottom w:val="single" w:sz="2" w:space="0" w:color="000000"/>
            </w:tcBorders>
            <w:tcMar>
              <w:bottom w:w="28" w:type="dxa"/>
            </w:tcMar>
            <w:vAlign w:val="center"/>
          </w:tcPr>
          <w:p>
            <w:pPr>
              <w:pStyle w:val="TableContents"/>
              <w:bidi w:val="0"/>
              <w:spacing w:before="0" w:after="283"/>
              <w:jc w:val="right"/>
              <w:rPr/>
            </w:pPr>
            <w:r>
              <w:rPr/>
              <w:t>(97.6</w:t>
            </w:r>
          </w:p>
        </w:tc>
        <w:tc>
          <w:tcPr>
            <w:tcW w:w="365"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3320" w:type="dxa"/>
            <w:tcBorders/>
            <w:shd w:fill="CCEEFF" w:val="clear"/>
            <w:vAlign w:val="center"/>
          </w:tcPr>
          <w:p>
            <w:pPr>
              <w:pStyle w:val="TableContents"/>
              <w:bidi w:val="0"/>
              <w:spacing w:before="0" w:after="283"/>
              <w:jc w:val="left"/>
              <w:rPr/>
            </w:pPr>
            <w:r>
              <w:rPr/>
              <w:t>Total operating expenses</w:t>
            </w:r>
          </w:p>
        </w:tc>
        <w:tc>
          <w:tcPr>
            <w:tcW w:w="1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jc w:val="right"/>
              <w:rPr/>
            </w:pPr>
            <w:r>
              <w:rPr/>
              <w:t>16,184</w:t>
            </w:r>
          </w:p>
        </w:tc>
        <w:tc>
          <w:tcPr>
            <w:tcW w:w="21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jc w:val="right"/>
              <w:rPr/>
            </w:pPr>
            <w:r>
              <w:rPr/>
              <w:t>18,032</w:t>
            </w:r>
          </w:p>
        </w:tc>
        <w:tc>
          <w:tcPr>
            <w:tcW w:w="21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jc w:val="right"/>
              <w:rPr/>
            </w:pPr>
            <w:r>
              <w:rPr/>
              <w:t>(1,848</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jc w:val="right"/>
              <w:rPr/>
            </w:pPr>
            <w:r>
              <w:rPr/>
              <w:t>(10.2</w:t>
            </w:r>
          </w:p>
        </w:tc>
        <w:tc>
          <w:tcPr>
            <w:tcW w:w="365"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r>
      <w:tr>
        <w:trPr/>
        <w:tc>
          <w:tcPr>
            <w:tcW w:w="3320" w:type="dxa"/>
            <w:tcBorders/>
            <w:vAlign w:val="center"/>
          </w:tcPr>
          <w:p>
            <w:pPr>
              <w:pStyle w:val="TableContents"/>
              <w:bidi w:val="0"/>
              <w:spacing w:before="0" w:after="283"/>
              <w:jc w:val="left"/>
              <w:rPr/>
            </w:pPr>
            <w:r>
              <w:rPr/>
              <w:t>Loss from operations</w:t>
            </w:r>
          </w:p>
        </w:tc>
        <w:tc>
          <w:tcPr>
            <w:tcW w:w="197" w:type="dxa"/>
            <w:tcBorders>
              <w:bottom w:val="single" w:sz="2" w:space="0" w:color="000000"/>
            </w:tcBorders>
            <w:tcMar>
              <w:bottom w:w="28" w:type="dxa"/>
            </w:tcMar>
            <w:vAlign w:val="center"/>
          </w:tcPr>
          <w:p>
            <w:pPr>
              <w:pStyle w:val="TableContents"/>
              <w:bidi w:val="0"/>
              <w:spacing w:before="0" w:after="283"/>
              <w:jc w:val="left"/>
              <w:rPr/>
            </w:pPr>
            <w:r>
              <w:rPr/>
              <w:t>$</w:t>
            </w:r>
          </w:p>
        </w:tc>
        <w:tc>
          <w:tcPr>
            <w:tcW w:w="910" w:type="dxa"/>
            <w:tcBorders>
              <w:bottom w:val="single" w:sz="2" w:space="0" w:color="000000"/>
            </w:tcBorders>
            <w:tcMar>
              <w:bottom w:w="28" w:type="dxa"/>
            </w:tcMar>
            <w:vAlign w:val="center"/>
          </w:tcPr>
          <w:p>
            <w:pPr>
              <w:pStyle w:val="TableContents"/>
              <w:bidi w:val="0"/>
              <w:spacing w:before="0" w:after="283"/>
              <w:jc w:val="right"/>
              <w:rPr/>
            </w:pPr>
            <w:r>
              <w:rPr/>
              <w:t>(13,485</w:t>
            </w:r>
          </w:p>
        </w:tc>
        <w:tc>
          <w:tcPr>
            <w:tcW w:w="214" w:type="dxa"/>
            <w:tcBorders>
              <w:bottom w:val="single" w:sz="2" w:space="0" w:color="000000"/>
            </w:tcBorders>
            <w:tcMar>
              <w:bottom w:w="28" w:type="dxa"/>
            </w:tcMar>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bottom w:val="single" w:sz="2" w:space="0" w:color="000000"/>
            </w:tcBorders>
            <w:tcMar>
              <w:bottom w:w="28" w:type="dxa"/>
            </w:tcMar>
            <w:vAlign w:val="center"/>
          </w:tcPr>
          <w:p>
            <w:pPr>
              <w:pStyle w:val="TableContents"/>
              <w:bidi w:val="0"/>
              <w:spacing w:before="0" w:after="283"/>
              <w:jc w:val="left"/>
              <w:rPr/>
            </w:pPr>
            <w:r>
              <w:rPr/>
              <w:t>$</w:t>
            </w:r>
          </w:p>
        </w:tc>
        <w:tc>
          <w:tcPr>
            <w:tcW w:w="910" w:type="dxa"/>
            <w:tcBorders>
              <w:bottom w:val="single" w:sz="2" w:space="0" w:color="000000"/>
            </w:tcBorders>
            <w:tcMar>
              <w:bottom w:w="28" w:type="dxa"/>
            </w:tcMar>
            <w:vAlign w:val="center"/>
          </w:tcPr>
          <w:p>
            <w:pPr>
              <w:pStyle w:val="TableContents"/>
              <w:bidi w:val="0"/>
              <w:spacing w:before="0" w:after="283"/>
              <w:jc w:val="right"/>
              <w:rPr/>
            </w:pPr>
            <w:r>
              <w:rPr/>
              <w:t>(15,567</w:t>
            </w:r>
          </w:p>
        </w:tc>
        <w:tc>
          <w:tcPr>
            <w:tcW w:w="214"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w:t>
            </w:r>
          </w:p>
        </w:tc>
        <w:tc>
          <w:tcPr>
            <w:tcW w:w="665" w:type="dxa"/>
            <w:tcBorders>
              <w:bottom w:val="single" w:sz="2" w:space="0" w:color="000000"/>
            </w:tcBorders>
            <w:tcMar>
              <w:bottom w:w="28" w:type="dxa"/>
            </w:tcMar>
            <w:vAlign w:val="center"/>
          </w:tcPr>
          <w:p>
            <w:pPr>
              <w:pStyle w:val="TableContents"/>
              <w:bidi w:val="0"/>
              <w:spacing w:before="0" w:after="283"/>
              <w:jc w:val="right"/>
              <w:rPr/>
            </w:pPr>
            <w:r>
              <w:rPr/>
              <w:t>2,082</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45" w:type="dxa"/>
            <w:tcBorders>
              <w:bottom w:val="single" w:sz="2" w:space="0" w:color="000000"/>
            </w:tcBorders>
            <w:tcMar>
              <w:bottom w:w="28" w:type="dxa"/>
            </w:tcMar>
            <w:vAlign w:val="center"/>
          </w:tcPr>
          <w:p>
            <w:pPr>
              <w:pStyle w:val="TableContents"/>
              <w:bidi w:val="0"/>
              <w:spacing w:before="0" w:after="283"/>
              <w:jc w:val="right"/>
              <w:rPr/>
            </w:pPr>
            <w:r>
              <w:rPr/>
              <w:t>(13.4</w:t>
            </w:r>
          </w:p>
        </w:tc>
        <w:tc>
          <w:tcPr>
            <w:tcW w:w="365" w:type="dxa"/>
            <w:tcBorders>
              <w:bottom w:val="single" w:sz="2" w:space="0" w:color="000000"/>
            </w:tcBorders>
            <w:tcMar>
              <w:bottom w:w="28" w:type="dxa"/>
            </w:tcMar>
            <w:vAlign w:val="center"/>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0"/>
          <w:u w:val="single"/>
        </w:rPr>
        <w:t>Revenue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Gross revenue for the year ended December 31, 2025 was $5.2 million, compared to $4.5 million for the year ended December 31, 2024, representing an increase of $0.7 million, or 15.4%. The increase in 2025 was offset by sales returns and allowances of $0.5 million related to the return of product from a distributor in connection with a change in the Company’s go-to-market strategy. Accordingly, the net revenue for the year ended December 31, 2025 was $4.7 million, compared to $4.5 million for the year ended December 31, 2024, representing an increase of $0.2 million, or 3.7%. The increase in net revenue was primarily attributable to growth in technology-enabled and managed services revenue, partially offset by a modest decline in product sales.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Product sales were $3.5 million for the year ended December 31, 2025, compared to $3.6 million for the year ended December 31, 2024, representing a decrease of $0.1 million, or 2.3%. The decrease in product sales was driven primarily by lower distributor orders and continued variability in international demand, partially offset by stable domestic demand for BolaWrap products.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Technology-enabled and managed services revenue increased to $1.7 million for the year ended December 31, 2025, compared to $0.9 million for the year ended December 31, 2024. The increase was primarily attributable to the acquisition of W1 in February 2025 and the expansion of managed services offerings aligned with the Company’s go-to-market strategy.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International revenue continues to consist primarily of larger, less predictable orders from centralized government agencies and remains lumpy and difficult to forecast with respect to both timing and amount. Domestic revenue continues to be driven by demand for non-lethal alternatives and training solutions, where BolaWrap remains differentiated as a non-lethal tool.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44</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0"/>
          <w:u w:val="single"/>
        </w:rPr>
      </w:pPr>
      <w:r>
        <w:rPr>
          <w:rFonts w:ascii="Times New Roman" w:hAnsi="Times New Roman"/>
          <w:sz w:val="20"/>
          <w:u w:val="single"/>
        </w:rPr>
        <w:t>Cost of Revenue and Gross Profit</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Cost of revenue was $2.0 million for both years ended December 31, 2025 and December 31, 2024. For the year ended December 31, 2025, we had increases primarily related to costs associated with increased services revenue which were offset by decreases in cost of revenue primarily attributable to lower product volumes and continued cost containment efforts.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Gross profit for the year ended December 31, 2025 was $2.7 million, compared to $2.5 million for the year ended December 31, 2024, representing an increase of $0.2 million, or 9.5%. Gross margin increased to 57.8% in 2025 from 54.7% in 2024, primarily due to improved product margins, favorable product and services mix, and continued cost discipline in manufacturing and sourcing.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As our revenue history remains limited, historical margins may not be indicative of future margins. Our margins are subject to variations based on product mix, sales channels, and the relative mix of devices, cassettes, and services. Cassettes continue to have lower margins than BolaWrap devices; however, as cassette volumes increase, we expect to continue to pursue cost reductions to improve cassette margins over time.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Selling, General and Administrative Expense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Selling, general and administrative (“SG&amp;A”) expense was $16.1 million for the year ended December 31, 2025, compared to $15.7 million for the year ended December 31, 2024, representing an increase of $0.4 million, or 2.8%. The increase was primarily driven by increased share-based compensation expense and a non-cash impairment charge related to certain intangible assets, partially offset by the Company's ongoing cost containment initiatives, including reductions in salaries, advertising, and promotional spending.</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Share-based compensation expense included in SG&amp;A increased to $4.0 million in 2025 from $2.4 million in 2024, primarily due to options and grants issued to new employees as a result of the acquisition of W1 in February 2025, as well as incentives provided to certain key senior level management in 2025. Salaries and related burden costs declined compared to the prior year due to the reduction in the Company’s workforce including a reduction of certain executive management positions. Advertising and promotional costs declined as the Company reduced trade show participation and promotional spending.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Research and Development Expense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R&amp;D expense was $56 thousand for the year ended December 31, 2025, compared to $2.3 million for the year ended December 31, 2024, representing a decrease of $2.3 million, or 97.6%. The decrease was primarily attributable to reductions in personnel and consulting costs resulting from the Company’s cost containment initiatives and a strategic shift to focus development efforts on existing products and services.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Operating Loss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Loss from operations for the year ended December 31, 2025 was $13.5 million, compared to $15.6 million for the year ended December 31, 2024, representing an improvement of $2.1 million, or 13.4%. The improvement was primarily driven by higher gross profit and lower operating expenses, reflecting the impact of cost containment initiatives implemented during 2024 and continued through 2025, partially offset by a one-time, non-cash impairment.</w:t>
      </w:r>
    </w:p>
    <w:p>
      <w:pPr>
        <w:pStyle w:val="TextBody"/>
        <w:bidi w:val="0"/>
        <w:spacing w:before="0" w:after="0"/>
        <w:jc w:val="both"/>
        <w:rPr/>
      </w:pPr>
      <w:r>
        <w:rPr/>
        <w:t> </w:t>
      </w:r>
    </w:p>
    <w:p>
      <w:pPr>
        <w:pStyle w:val="TextBody"/>
        <w:bidi w:val="0"/>
        <w:spacing w:before="0" w:after="0"/>
        <w:jc w:val="both"/>
        <w:rPr>
          <w:rFonts w:ascii="Times New Roman" w:hAnsi="Times New Roman"/>
          <w:sz w:val="20"/>
          <w:u w:val="single"/>
        </w:rPr>
      </w:pPr>
      <w:r>
        <w:rPr>
          <w:rFonts w:ascii="Times New Roman" w:hAnsi="Times New Roman"/>
          <w:sz w:val="20"/>
          <w:u w:val="single"/>
        </w:rPr>
        <w:t>Operating Expense</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Our operating expense includes (i) selling, general and administrative expense, (ii) research and development expense and (iii) product line exit expense. Research and development expense is comprised of the costs incurred in performing research and development activities and developing production on our behalf, including compensation and consulting, design and prototype costs, contract services, patent costs and other outside expense. The scope and magnitude of our future research and development expense is difficult to predict at this time and will depend on elections made regarding research projects, staffing levels and outside consulting and contract costs. The future level of selling, general and administrative expense will be dependent on staffing levels, elections regarding expenditures on sales, marketing and customer training, the use of outside resources, public company and regulatory expense, and other factors, some of which are outside of our control.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We expect our operating costs to remain flat or slightly increase depending on the scope of additional sales and marketing initiatives. We may incur additional non-cash share-based compensation costs depending on future options and restricted stock unit grants that are impacted by stock prices and other valuation factors. Historical expenditures are not indicative of future expenditures.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45</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b/>
          <w:sz w:val="20"/>
        </w:rPr>
        <w:t>Liquidity and Capital Resources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i/>
          <w:sz w:val="20"/>
        </w:rPr>
        <w:t>Overview</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Our primary source of liquidity to date has been funding from our stockholders through the sale of equity securities and the exercise of derivative securities, including options and warrants. We expect our primary sources of future liquidity in the long term to be derived from product and services revenue, the exercise of outstanding stock options and warrants, and future equity or debt financings.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We have incurred net losses and negative cash flows from operations since inception. As of December 31, 2025, we had cash and cash equivalents of $3.5 million, compared to $3.6 million as of December 31, 2024. Net cash used in operating activities was $10.3 million during the year ended December 31, 2025, compared to $8.1 million during the year ended December 31, 2024, primarily reflecting higher net losses and working capital changes. During 2025, the Company completed multiple financing transactions, including the issuance of Common Stock and warrants in private placements and the issuance of Series B Preferred Stock, generating aggregate gross proceeds of $10.2 million. In addition, during 2025 the Company amended certain warrant agreements, resulting in the reclassification of warrant liabilities to equity and eliminating future non-cash fair value adjustments related to those warrants.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Based on our current operating plan, existing cash balances, and expected cash flows, management believes that the Company has sufficient liquidity to fund its operations for at least the next twelve months. However, our ability to continue as a going concern is dependent on our ability to increase revenues, manage operating expenses, and access additional capital as needed. Liquidity constraints and access to capital markets could negatively affect our liquidity and require changes to our operating or investment strategy.</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i/>
          <w:sz w:val="20"/>
        </w:rPr>
        <w:t>Capital Requirements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Our future capital requirements will depend on numerous factors, including the timing and extent of market acceptance of our products and services, investments in product development, sales and marketing activities, working capital requirements, and the timing and amount of future revenue. We may seek to raise additional capital through equity or debt financings, strategic partnerships, or other arrangements. There can be no assurance that such financing will be available on acceptable terms, or at all.</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Our future capital requirements, cash flows and results of operations could be affected by, and will depend on, many factors, some of which are currently unknown to us, including, among other things:</w:t>
      </w:r>
      <w:r>
        <w:rPr>
          <w:rFonts w:ascii="Times New Roman" w:hAnsi="Times New Roman"/>
          <w:sz w:val="24"/>
        </w:rPr>
        <w:t xml:space="preserve"> </w:t>
      </w:r>
    </w:p>
    <w:p>
      <w:pPr>
        <w:pStyle w:val="TextBody"/>
        <w:bidi w:val="0"/>
        <w:jc w:val="both"/>
        <w:rPr/>
      </w:pPr>
      <w:r>
        <w:rPr/>
        <w:t xml:space="preserve">  </w:t>
      </w:r>
    </w:p>
    <w:p>
      <w:pPr>
        <w:pStyle w:val="TextBody"/>
        <w:numPr>
          <w:ilvl w:val="0"/>
          <w:numId w:val="65"/>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Decisions regarding staffing, development, production, marketing and other functions;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66"/>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The timing and extent of market acceptance of our products;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67"/>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Costs, timing and outcome of planned production and required customer and regulatory compliance of our products;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68"/>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Costs of preparing, filing and prosecuting our patent applications and defending any future intellectual property-related claims;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69"/>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Costs and timing of additional product development;</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70"/>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Costs, timing and outcome of any future warranty claims or litigation against us associated with any of our products;</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71"/>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Ability to collect accounts receivable; and</w:t>
      </w:r>
      <w:r>
        <w:rPr>
          <w:rFonts w:ascii="Times New Roman" w:hAnsi="Times New Roman"/>
          <w:sz w:val="20"/>
        </w:rPr>
        <w:t xml:space="preserve"> </w:t>
      </w:r>
    </w:p>
    <w:p>
      <w:pPr>
        <w:pStyle w:val="TextBody"/>
        <w:bidi w:val="0"/>
        <w:spacing w:before="0" w:after="283"/>
        <w:jc w:val="left"/>
        <w:rPr/>
      </w:pPr>
      <w:r>
        <w:rPr/>
        <w:t xml:space="preserve">  </w:t>
      </w:r>
    </w:p>
    <w:p>
      <w:pPr>
        <w:pStyle w:val="TextBody"/>
        <w:numPr>
          <w:ilvl w:val="0"/>
          <w:numId w:val="72"/>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Timing and costs associated with any new financing.</w:t>
      </w:r>
      <w:r>
        <w:rPr>
          <w:rFonts w:ascii="Times New Roman" w:hAnsi="Times New Roman"/>
          <w:sz w:val="20"/>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Principal factors that could affect our ability to obtain cash from external sources including from exercise of outstanding warrants and options include:</w:t>
      </w:r>
      <w:r>
        <w:rPr>
          <w:rFonts w:ascii="Times New Roman" w:hAnsi="Times New Roman"/>
          <w:sz w:val="24"/>
        </w:rPr>
        <w:t xml:space="preserve"> </w:t>
      </w:r>
    </w:p>
    <w:p>
      <w:pPr>
        <w:pStyle w:val="TextBody"/>
        <w:bidi w:val="0"/>
        <w:jc w:val="both"/>
        <w:rPr/>
      </w:pPr>
      <w:r>
        <w:rPr/>
        <w:t xml:space="preserve">  </w:t>
      </w:r>
    </w:p>
    <w:p>
      <w:pPr>
        <w:pStyle w:val="TextBody"/>
        <w:numPr>
          <w:ilvl w:val="0"/>
          <w:numId w:val="73"/>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Volatility in the capital markets; and</w:t>
      </w:r>
      <w:r>
        <w:rPr>
          <w:rFonts w:ascii="Times New Roman" w:hAnsi="Times New Roman"/>
          <w:sz w:val="20"/>
        </w:rPr>
        <w:t xml:space="preserve"> </w:t>
      </w:r>
    </w:p>
    <w:p>
      <w:pPr>
        <w:pStyle w:val="TextBody"/>
        <w:bidi w:val="0"/>
        <w:jc w:val="both"/>
        <w:rPr/>
      </w:pPr>
      <w:r>
        <w:rPr/>
        <w:t xml:space="preserve">  </w:t>
      </w:r>
    </w:p>
    <w:p>
      <w:pPr>
        <w:pStyle w:val="TextBody"/>
        <w:numPr>
          <w:ilvl w:val="0"/>
          <w:numId w:val="74"/>
        </w:numPr>
        <w:tabs>
          <w:tab w:val="clear" w:pos="1134"/>
          <w:tab w:val="left" w:pos="1429" w:leader="none"/>
        </w:tabs>
        <w:bidi w:val="0"/>
        <w:ind w:left="1429" w:right="0" w:hanging="283"/>
        <w:jc w:val="both"/>
        <w:rPr>
          <w:rFonts w:ascii="Times New Roman" w:hAnsi="Times New Roman"/>
          <w:sz w:val="20"/>
        </w:rPr>
      </w:pPr>
      <w:r>
        <w:rPr>
          <w:rFonts w:ascii="Times New Roman" w:hAnsi="Times New Roman"/>
          <w:color w:val="000000"/>
          <w:sz w:val="20"/>
        </w:rPr>
        <w:t>Market price and trading volume of our Common Stock.</w:t>
      </w:r>
      <w:r>
        <w:rPr>
          <w:rFonts w:ascii="Times New Roman" w:hAnsi="Times New Roman"/>
          <w:sz w:val="20"/>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46</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b/>
          <w:i/>
          <w:sz w:val="20"/>
        </w:rPr>
        <w:t>Series A Offering</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June 29, 2023, the Company entered into a Securities Purchase Agreement (“Series A Purchase Agreement”) with certain accredited investors, including Scot Cohen, the Company’s Executive Chairman and Chief Executive Officer (collectively, the “Series A Investors”), pursuant to which we agreed to sell to the Series A Investors in a registered direct offering (the “Series A Offering”) (i) an aggregate of 10,000 shares of the Company’s Series A Preferred Stock, initially convertible into up to 6,896,553 shares of the Company’s Common Stock, at an initial conversion price of $1.45 per share, and (ii) warrants (the “Series A Warrants”) to acquire up to an aggregate of 6,896,553 shares of Common Stock (the “Series A Warrant Shares”). The conversion price of the Series A Preferred Stock is subject to customary adjustments for stock dividends, stock splits, reclassifications and the like, and subject to price-based adjustment in the event of any issuances of Common Stock, or securities convertible, exercisable or exchangeable for Common Stock, at a price below the then-applicable conversion price (subject to certain exceptions). The closing of the Series A Offering occurred on July 3, 2023. The aggregate gross proceeds from the Series A Offering were approximately $10 million.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Company engaged Katalyst Securities LLC (the “Placement Agent”) to act as exclusive placement agent in connection with the Series A Offering. Pursuant to an engagement letter with the Placement Agent, we paid to the Placement Agent or its designees (i) a cash fee equal to 8% of the gross proceeds of the Series A Offering and (ii) warrants  to purchase an aggregate of 551,725 shares of Common Stock  (equal to 8% of the shares of Common Stock underlying the Series A Preferred Stock sold in the Series A Offering) at an exercise price of $1.45 per share.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i/>
          <w:sz w:val="20"/>
        </w:rPr>
        <w:t>Series A Preferred Stock</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On July 3, 2023, the Company filed the Certificate of Designations of the Series A Preferred Stock (the “Series A Certificate of Designations”) with the Secretary of State of the State of Delaware, designating 10,000 shares of its preferred stock as Series A Convertible Preferred Stock. The terms of the Series A Preferred Stock are as set forth in the form of Series A Certificate of Designations. The Series A Preferred Stock is convertible into shares of common stock (the “Series A Conversion Shares”) at the election of the holder at any time at an initial conversion price of $1.45. The conversion price is subject to customary adjustments for stock dividends, stock splits, reclassifications and the like, and subject to price-based adjustment in the event of any issuances of common stock, or securities convertible, exercisable or exchangeable for common stock, at a price below the then-applicable conversion price (subject to certain exceptions).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holders of the Series A Preferred Stock are entitled to dividends of 8% per annum, compounded monthly, which are payable in cash or shares of Common Stock, or a combination thereof, at the Company’s option in accordance with the terms of the Series A Certificate of Designations. Upon the occurrence and during the continuance of a Triggering Event (as defined in the Series A Certificate of Designations), the Series A Preferred Stock will accrue dividends at the rate of 20% per annum. If the Company elects to pay any dividends in shares of Common Stock, the conversion price used to calculate the number of shares issuable will equal to the lower of (i) the then applicable conversion price and (ii) 85% of the arithmetic average of the three (3) lowest closing prices of the Company’s Common Stock during the twenty (20) consecutive trading day period ending on the trading day immediately preceding the dividend payment date, provided that such price shall not be lower than the lower of (x) $0.2828 (subject to adjustment for stock splits, stock dividends, stock combinations, recapitalizations or other similar events ) and (y) 20% of the “Minimum Price” (as defined in Nasdaq Stock Market Rule 5635) on the date of the Nasdaq Stockholder Approval (as defined herein) (subject to adjustment for stock splits, stock dividends, stock combinations, recapitalizations or other similar events) or, in any case, such lower amount as permitted, from time to time, by the Nasdaq Stock Market.</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47</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sz w:val="20"/>
        </w:rPr>
        <w:t>On August 19, 2024, the Company entered into an Amendment Agreement (the “August 2024 Amendment”) with the Required Holders (as defined in the Series A Certificate of Designations). Pursuant to the August 2024 Amendment, the Required Holders agreed that (A) the unpaid and accrued dividends on the Series A Preferred Stock due July 1, 2024 (the “July Delinquent Dividend Amount”), shall be payable, at the option of the Company, in (i) cash and/or (ii) shares of Common Stock, at a price per share of Common Stock equal to the lower of (x) $1.00 and (y) the Dividend Conversion Price (as defined in the Series A Certificate of Designations), using July 1, 2024, as the applicable date of determination in accordance with the Series A Certificate of Designations; (B) the dividends due on October 1, 2024 (the “October Dividend Amount” and, together with the July Delinquent Dividend Amount, the “Delinquent Dividend Amounts”), shall be payable in shares of Common Stock based on a per share price of Common Stock equal to 80% of the arithmetic average of the three (3) lowest closing sale prices of the Common Stock during the month of September 2024; and (C) such Delinquent Dividend Amounts and any Dividend Balance Shares (as defined in the Series A Certificate of Designations), with respect thereto, if applicable, shall be delivered on October 1, 2024. The Company and the Required Holders further agreed pursuant to the August 2024 Amendment to amend (i) the Series A Certificate of Designations, as described below, by filing a Certificate of Amendment to the Series A Certificate of Designations (the “August 2024 Certificate of Amendment”) and (ii) the Series A Purchase Agreement to amend the definition of “Excluded Securities.” The August 2024 Certificate of Amendment amends the Series A Certificate of Designations to, among other things, (A) allow for the payment of dividends in the form of Common Stock to a holder of the Series A Preferred Stock who serves as a director, officer or employee of the Company; provided that such issuance is approved by the Company’s stockholders prior to such issuance, and (B) amend certain conditions required for (i) a mandatory conversion of the Series A Preferred Stock, and (ii) the Company’s right to redeem, all or a portion, of the Series A Preferred Stock outstanding pursuant to an optional redemption, in each case, pursuant to the terms of the Series A Certificate of Designations.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On October 14, 2024, the Company entered into an Amendment Agreement with the Required Holders (as defined in the Series A Certificate of Designations), pursuant to which, the Required Holders agreed to amend the Series A Certificate of Designations of the Company’s Series A Preferred Stock, by filing a Certificate of Amendment to the Series A Certificate of Designations (the “October 2024 Certificate of Amendment”). The October 2024 Certificate of Amendment amends the Series A Certificate of Designations to, among other things, provide that, except as required by applicable law, the holders of the Series A Preferred Stock will be entitled to vote with holders of the Common Stock on an as converted basis, with the number of votes to which each holder of Series A Preferred Stock is entitled to be calculated assuming a conversion price of $1.414 per share, which was the Minimum Price (as defined in Rule 5635 of the Rule of the Nasdaq Stock Market) applicable immediately before the execution and delivery of the Series A Purchase Agreement, subject to certain beneficial ownership limitations as set forth in the Series A Certificate of Designations. The October 2024 Certificate of Amendment further provides that (i) certain holders of the Series A Preferred Stock will not be subject to certain beneficial ownership limitations as described in the Series A Certificate of Designations, and (ii) stockholder approval will not be required in connection with the payment of dividends in the form of Common Stock to a holder of the Series A Preferred Stock who serves as a director, officer or employee of the Company. The October 2024 Certificate of Amendment was filed with the Secretary of State of the State of Delaware, effective as of October 14, 2024. The holders of the Series A Preferred Stock have no voting rights, other than with respect to certain matters affecting the rights of the Series A Preferred Stock.</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November 25, 2024, the Company entered into an Amendment and Agreement with the Series A Investors (the “November 2024 Amendment Agreement”), pursuant to which, (i) the Series A Investors agreed to amend the Series A Certificate of Designations, as described below, by filing a Certificate of Amendment to the Series A Certificate of Designations with the Secretary of State (the “November 2024 Certificate of Amendment”), and (ii) the Series A Investors and the Company agreed that all payment amounts that have accrued and are unpaid as of November 25, 2024, pursuant to the Series A Certificate of Designations and the August 2024 Amendment will be satisfied by delivery of shares of Common Stock on or prior to November 25, 2024, with each Series A Investor entitled to receive the number of shares of Common Stock specified below such Series A Investor’s name on its respective signature page thereto.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Pursuant to the November 2024 Amendment Agreement, the Company may require holders to convert their shares of Series A Preferred Stock into shares of Common Stock if the closing price of the Company’s Common Stock exceeds $8.00 per share (subject to adjustment for stock splits, stock dividends, stock combinations, recapitalizations or other similar events) for 20 consecutive trading days and the daily dollar trading volume of the Common Stock exceeds $2,000,000 per day during the same period, provided that certain equity conditions described in the Series A Certificate of Designations are satisfied.</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48</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sz w:val="20"/>
        </w:rPr>
        <w:t>At any time beginning 18 months from the date of the issuance, provided that that the Company has filed all reports required to be filed by it pursuant to the Exchange Act on a timely basis for a continuous period of one year and provided further that certain equity conditions described in the Series A Certificate of Designations are satisfied, the Company has the right to redeem in cash all or some of the shares of the Series A Preferred Stock outstanding at such time at a redemption price equal to the product of (x) 125% multiplied by (y) the sum of (A) the stated value of the Series A Preferred Stock plus (B) all declared and unpaid dividends on such Series A Preferred Stock and any other unpaid amounts then due and payable hereunder with respect to such Series A Preferred Stock, plus (C) the make-whole amount, plus (D) any accrued and unpaid late charges with respect to such stated value and amounts payable pursuant to clause (B) as of such date of determination.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The November 2024 Certificate of Amendment amends the Series A Certificate of Designations to provide that upon the occurrence of a Triggering Event (as defined in the Series A Certificate of Designations), the Series A Preferred Stock will accrue dividends compounded monthly at the rate of 20% per annum. In addition, the November 2024 Certificate of Amendment amends the Series A Certificate of Designations to, among other things, (A) allow for the payment of dividends in the form of Common Stock to a holder of the Series A Preferred Stock who serves as a director, officer or employee of the Company; provided that such issuance is approved by the Company’s stockholders prior to such issuance, and (B) amend certain conditions required for (i) a mandatory conversion of the Series A Preferred Stock, and (ii) the Company’s right to redeem, all or a portion, of the Series A Preferred Stock outstanding pursuant to an optional redemption, in each case, pursuant to the terms of the Series A Certificate of Designations. The November 2024 Certificate of Amendment became effective with the Secretary of State on December 6, 2024.</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There is no established public trading market for the Series A Preferred Stock and we do not intend to list the Series A Preferred Stock on any national securities exchange or nationally recognized trading system.</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i/>
          <w:sz w:val="20"/>
        </w:rPr>
        <w:t>Series A Warrants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Company issued the Series A Warrants to purchase up to an aggregate of 6,896,553 shares of Common Stock. Each Series A Warrant has an exercise price of $1.45, became exercisable after the date that was six months from the date of issuance and will expire 5 years following the date of issuance. The exercise price is subject to customary adjustments for stock dividends, stock splits, reclassifications and the like, and subject to price-based adjustment, on a “full ratchet” basis, in the event of any issuances of Common Stock, or securities convertible, exercisable or exchangeable for Common Stock, at a price below the then-applicable exercise price (subject to certain exceptions).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On June 30, 2025, the Company entered into a warrant amendment (the “Series A Warrant Amendment”) with the Required Holders (as defined in the Series A Purchase Agreement), pursuant to which, the Required Holders agreed to amend the terms of the Series A Warrants to make certain adjustments to the definition of “Black Scholes Value” in each of the Series A Warrants, as described in the Series A Warrant Amendment, such that the underlying price per share as used in such calculation equals the sum of the price per share being offered in cash in the applicable Fundamental Transaction (as defined in the Series A Warrants), if any, plus the value of the non-cash consideration being offered in the applicable Fundamental Transaction, if any. As consideration for entering into the Series A Warrant Amendment, the Company and the Required Holders agreed to amend the term of the Series A Warrants to be six and one-half years from the date of issuance.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i/>
          <w:sz w:val="20"/>
        </w:rPr>
        <w:t>Nasdaq Stockholder Approval</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Company’s ability to issue Series A Conversion Shares and Series A Warrant Shares using shares of Common Stock is subject to certain limitations set forth in the Certificate of Designations. Prior to receiving the Nasdaq Stockholder Approval, such limitations included a limit on the number of shares that may be issued until the time, if any, that the Company’s stockholders have approved the issuance of more than 19.99% of the Company’s outstanding shares of Common Stock in accordance with the rules of the Nasdaq Stock Market (the “Nasdaq Stockholder Approval”). Such Nasdaq Stockholder Approval was received at a special meeting of stockholders held on September 19, 2023.</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49</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b/>
          <w:i/>
          <w:sz w:val="20"/>
        </w:rPr>
        <w:t>February 2025 Offering</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On February 24, 2025, the Company entered into a securities purchase agreement (the “PIPE Purchase Agreement”) with certain accredited investors (collectively, the “PIPE Purchasers”) for the issuance and sale in a private placement (the “February 2025 Private Placement”) of an aggregate of 3,216,666 shares (the “Common Shares”) of Common Stock and accompanying warrants (“PIPE Warrants”) to purchase up to 3,216,666 shares of Common Stock, with an exercise price of $1.80 per share. The purchase price for one Common Share and accompanying PIPE Warrant was $1.80. The closing of the February 2025 Private Placement occurred on February 28, 2025, other than with respect to 380,555 Common Shares and 380,555 PIPE Warrants, which closed on or about March 7, 2025. The PIPE Purchase Agreement contains customary representations, warranties and agreements by the Company, customary conditions to closing, indemnification obligations of the Company and the PIPE Purchasers, including for liabilities under the Securities Act, other obligations of the parties and termination provisions. The gross proceeds to the Company were approximately $5,790 before estimated offering expenses payable by the Company. On June 30, 2025, the Company entered into a warrant amendment (the “2025 Warrant Amendment”) with certain of the PIPE Purchasers, pursuant to which, such PIPE Purchasers agreed to amend the terms of their respective PIPE Warrants to make certain adjustments to the definition of “Black Scholes Value,” as described in the 2025 Warrant Amendment, such that the underlying price per share as used in such calculation equals the sum of the price per share being offered in cash in the applicable Fundamental Transaction (as defined in the PIPE Warrants), if any, plus the value of the non-cash consideration being offered in the applicable Fundamental Transaction, if any. As consideration for entering into the 2025 Warrant Amendment, the Company and the applicable PIPE Purchasers agreed to amend the term of their respective PIPE Warrants to be five and one-half years from the date of issuance.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In connection with the February 2025 Private Placement, the Company entered into a registration rights agreement, dated as of February 24, 2025, with the PIPE Purchasers (the “PIPE Registration Rights Agreement”), pursuant to which the Company agreed to prepare and file a registration statement with the SEC registering the resale of the shares of Common Stock and the shares of Common Stock underlying the PIPE Warrants no later than 60 days following the date of the PIPE Registration Rights Agreement, and to use best efforts to have the registration statement declared effective as promptly as practical thereafter, and in any event no later than 90 days following the date of the PIPE Registration Rights Agreement (or 120 days following the date of the PIPE Registration Rights Agreement in the event of a “full review” by the SEC). On April 25, 2025, the Company filed a resale registration statement on Form S-1 (File No. 333- 286782) with the SEC.</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i/>
          <w:sz w:val="20"/>
        </w:rPr>
        <w:t>Series B Offering</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On August 18, 2025, the Company entered into a Securities Purchase Agreement (the “Series B Purchase Agreement”) with certain accredited investors (the “Series B Purchasers”) for the issuance and sale in a private placement (the “Series B Private Placement”) of an aggregate of (i) 4,500 shares of the Company’s Series B Preferred Stock initially convertible into up to 3,000,000 shares of Common Stock (the “Series B Conversion Shares”), at an initial conversion price of $1.50 per share, and (ii) accompanying warrants (the “Series B Warrants”) to purchase up to 3,000,000 shares of Common Stock (the “Series B Warrant Shares”), with an initial exercise price of $1.50 per share. The Series B Warrants and the shares of Series B Preferred Stock will be exercisable or convertible, respectively, into shares of Common Stock beginning on the effective date of stockholder approval of (i) under Nasdaq Stock Market Rule 5635(d), the issuance of shares of Common Stock in excess of 19.99% of the Company’s issued and outstanding shares of Common Stock at prices below the “Minimum Price” (as defined in Rule 5635 of the Rules of the Nasdaq Stock Market) on the date of the Series B Purchase Agreement pursuant to the terms of the Series B Preferred Stock and the Series B Warrants, and (ii) an increase in the authorized shares of the Company. On December 12, 2025, at the Company’s 2025 Annual Meeting of Stockholders, the Company obtained stockholder approval pursuant to the Series B Registration Rights Agreement (the “Series B Stockholder Approval”). The Series B Warrants will expire five years from December 12, 2025, the effective date of the Series B Stockholder Approval.</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i/>
          <w:sz w:val="20"/>
        </w:rPr>
        <w:t>Series B Preferred Stock</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On August 20, 2025, the Company filed the Series B Certificate of Designations, thereby creating the Series B Preferred Stock. The Series B Certificate of Designations became effective with the Secretary of State of the State of Delaware upon filing. The Series B Preferred Stock are convertible into the Series B Conversion Shares at the election of the holders of the Series B Preferred Stock at any time at an initial conversion price of $1.50 per share. The conversion price is subject to customary adjustments for stock dividends, stock splits, reclassifications, stock combinations and the like (subject to certain exceptions).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Holders of the Series B Preferred Stock shall be entitled to receive dividends when and as declared by the Board, from time to time, in its sole discretion, which dividends will be paid by the Company out of funds legally available therefor, payable, subject to the conditions and other terms of the Series B Certificate of Designations, in cash, in securities of the Company or using assets as determined by the Board on the stated value of such Series B Preferred Stock</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50</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sz w:val="20"/>
        </w:rPr>
        <w:t>Except as otherwise provided in the Series B Certificate of Designations or as otherwise required by law, the Series B Preferred Stock has no voting rights. However, as long as any shares of Series B Preferred Stock are outstanding, the Company shall not, without the affirmative vote of the holders of Series B Preferred Stock of a majority of the then outstanding shares of the Series B Preferred Stock, (a) alter or change adversely the powers, preferences or rights given to the of the Series B Preferred Stock or alter or amend the Series B Certificate of Designations, (b) amend the Amended and Restated Certificate of Incorporation of the Company, as amended, or other charter documents in any manner that adversely affects any rights of the holders of Series B Preferred Stock, (c) increase the number of authorized shares of the Series B Preferred Stock, or (d) enter into any agreement with respect to any of the foregoing.</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There is no established public trading market for the Series B Preferred Stock and the Company does not intend to list the Series B Preferred Stock on any national securities exchange or nationally recognized trading system.</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i/>
          <w:sz w:val="20"/>
        </w:rPr>
        <w:t>Series B Warrants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A holder of the Series B Warrants may not exercise any portion of such holder’s Series B Warrants to the extent that the holder, together with its affiliates, would beneficially own more than 4.99% (or, at the election of the holder, 9.99%)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There is no established public trading market for the Series B Warrants and the Company does not intend to list the Series B Warrants on any national securities exchange or nationally recognized trading system.</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Series B Warrants will expire five years from December 12, 2025, the effective date of the Series B Stockholder Approval.</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i/>
          <w:sz w:val="20"/>
        </w:rPr>
        <w:t>Series B Registration Rights Agreement</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In connection with the Series B Private Placement, the Company entered into a registration rights agreement (the "Series B Registration Rights Agreement"), dated as of August 18, 2025, with the Series B Purchasers, pursuant to which the Company agreed to prepare and file a registration statement with the SEC registering the resale of the Series B Conversion Shares and Series B Warrant Shares no later than 60 days following the date of the Series B Registration Rights Agreement, and to use best efforts to have the registration statement declared effective as promptly as practical thereafter, and in any event no later than 90 days following the date of the Series B Registration Rights Agreement (or 120 days following the date of the Series B Registration Rights Agreement in the event of a “full review” by the SEC). On October 17, 2025, the Company filed a resale registration statement on Form S-3 (File No. 333- 290946) with the SEC.</w:t>
      </w:r>
    </w:p>
    <w:p>
      <w:pPr>
        <w:pStyle w:val="TextBody"/>
        <w:bidi w:val="0"/>
        <w:spacing w:before="0" w:after="0"/>
        <w:jc w:val="both"/>
        <w:rPr/>
      </w:pPr>
      <w:r>
        <w:rPr/>
        <w:t> </w:t>
      </w:r>
    </w:p>
    <w:p>
      <w:pPr>
        <w:pStyle w:val="TextBody"/>
        <w:bidi w:val="0"/>
        <w:spacing w:before="0" w:after="0"/>
        <w:jc w:val="both"/>
        <w:rPr>
          <w:rFonts w:ascii="Times New Roman" w:hAnsi="Times New Roman"/>
          <w:b/>
          <w:i/>
          <w:sz w:val="20"/>
        </w:rPr>
      </w:pPr>
      <w:r>
        <w:rPr>
          <w:rFonts w:ascii="Times New Roman" w:hAnsi="Times New Roman"/>
          <w:b/>
          <w:i/>
          <w:sz w:val="20"/>
        </w:rPr>
        <w:t xml:space="preserve">February 2026 Purchase Agreement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On February 2, 2026, we entered into the February 2026 Purchase Agreement with the February 2026 Purchasers for the issuance and sale in a private placement of (i) an aggregate of 1,700,000 shares of Common Stock, (ii) February 2026 Pre-Funded Warrants to purchase up to 800,000 shares of Common Stock, with an exercise price of $0.0001 per share, and (iii) February 2026 Investor Warrants to purchase up to 2,500,000 shares of Common Stock, with an exercise price of $2.30 per share. The purchase price for one share of Common Stock and accompanying February 2026 Common Warrant was $2.00 and the purchase price for one February 2026 Pre-Funded Warrant and accompanying February 2026 Common Warrant was $1.9999.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February 2026 Closing occurred on February 3, 2026. The aggregate gross proceeds from the February 2026 Closing were approximately $5.0 million, prior to deducting offering expenses payable by us.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February 2026 Purchase Agreement contains customary representations, warranties and agreements by the Company, customary conditions to closing, indemnification obligations of the Company and the February 2026 Purchasers, including for liabilities under the Securities Act and other obligations of the parties and termination provisions. </w:t>
      </w:r>
    </w:p>
    <w:p>
      <w:pPr>
        <w:pStyle w:val="TextBody"/>
        <w:bidi w:val="0"/>
        <w:spacing w:before="0" w:after="0"/>
        <w:jc w:val="both"/>
        <w:rPr/>
      </w:pPr>
      <w:r>
        <w:rPr/>
        <w:t> </w:t>
      </w:r>
    </w:p>
    <w:p>
      <w:pPr>
        <w:pStyle w:val="TextBody"/>
        <w:bidi w:val="0"/>
        <w:spacing w:before="0" w:after="0"/>
        <w:jc w:val="both"/>
        <w:rPr>
          <w:rFonts w:ascii="Times New Roman" w:hAnsi="Times New Roman"/>
          <w:i/>
          <w:sz w:val="20"/>
        </w:rPr>
      </w:pPr>
      <w:r>
        <w:rPr>
          <w:rFonts w:ascii="Times New Roman" w:hAnsi="Times New Roman"/>
          <w:i/>
          <w:sz w:val="20"/>
        </w:rPr>
        <w:t xml:space="preserve">February 2026 Warrants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February 2026 Common Warrants are exercisable for shares of Common Stock immediately at an exercise price of $2.30 per share and expire five years from the date of issuance. The February 2026 Pre-Funded Warrants are exercisable for shares of Common Stock immediately and expire when exercised in full. A holder of the February 2026 Warrants may not exercise any portion of such holder’s February 2026 Warrants to the extent that the holder, together with its affiliates, would beneficially own more than 4.99% (or, at the election of the holder, 9.99%)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i/>
          <w:sz w:val="20"/>
        </w:rPr>
      </w:pPr>
      <w:r>
        <w:rPr>
          <w:rFonts w:ascii="Times New Roman" w:hAnsi="Times New Roman"/>
          <w:i/>
          <w:sz w:val="20"/>
        </w:rPr>
        <w:t xml:space="preserve">February 2026 Registration Rights Agreement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On February 2, 2026, in connection with the February 2026 Private Placement, the Company entered into the February 2026 Registration Rights Agreement with the February 2026 Purchasers, pursuant to which the Company agreed to prepare and file a registration statement with the SEC registering the resale of the shares of Common Stock and shares of Common Stock underlying the February 2026 Warrants no later than 60 days following the date of the February 2026 Registration Rights Agreement, and to use best efforts to have the registration statement declared effective as promptly as practical thereafter, and in any event no later than 90 days following the date of the February 2026 Registration Rights Agreement (or 120 days following the date of the February 2026 Registration Rights Agreement in the event of a “full review” by the SEC). On February 9, 2026, the Company filed the registration statement pursuant to the February 2026 Registration Rights Agreement, which was declared effective by the SEC on February 13, 2026.</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i/>
          <w:sz w:val="20"/>
        </w:rPr>
        <w:t>Cash Flow</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i/>
          <w:sz w:val="20"/>
        </w:rPr>
        <w:t>Operating Activities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Net cash used in operating activities was approximately $10.3 million for the year ended December 31, 2025, compared to approximately $8.1 million for the year ended December 31, 2024. The increase in operating cash outflows year over year was driven primarily by higher net operating losses and changes in working capital, partially offset by higher non-cash charges.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For 2025, operating cash usage was primarily attributable to a net loss of $10.3 million, reflecting continued investment in the business and lower overall scale of revenues. Non-cash items reduced operating cash usage, most notably share-based compensation of $4.0 million, depreciation and amortization of approximately $0.6 million, impairment of $0.6 million and a non-cash gain of $3.2 million related to changes in the fair value of warrant liabilities, prior to their reclassification to equity in mid-2025.</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Working capital changes in 2025 also contributed to operating cash usage, driven primarily by a $2.2 million increase in accounts receivable, reflecting higher billings late in the year, and a $0.9 million decrease in accrued liabilities, largely due to the settlement of prior-year accruals. These uses of cash were partially offset by a $1.2 million reduction in inventory, reflecting inventory management initiatives and lower production activity, as well as a modest decrease in prepaid expenses and other current assets.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In comparison, net cash used in operating activities for 2024 was approximately $8.1 million, despite the Company reporting a lower net loss of $5.9 million. Operating cash usage in 2024 was significantly influenced by non-cash fair value adjustments to warrant liabilities of $9.6 million, which increased reported net income but had no impact on cash flows. Non-cash expenses in 2024 included share-based compensation of $2.4 million and depreciation and amortization of approximately $0.8 million.</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Working capital activity in 2024 provided net operating cash, primarily due to a $2.4 million decrease in accounts receivable and a $1.0 million reduction in customer deposits, partially offset by a $0.4 million increase in inventory. Overall, the year-over-year increase in operating cash usage in 2025 reflects higher underlying operating losses and less favorable working capital movements compared to 2024.</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Management expects operating cash usage to decline in 2026 and 2027 as a result of actions already implemented, including the substantial reduction in research and development spending, continued discipline in selling, general and administrative costs, lower cash requirements related to inventory and working capital, and the elimination of non-core activities, while seeking incremental revenue growth from higher-margin managed and technology-enabled services.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i/>
          <w:sz w:val="20"/>
        </w:rPr>
        <w:t>Investing Activities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Net cash used in investing activities was approximately $0.4 million for the year ended December 31, 2025, compared to net cash provided of $7.3 million for the year ended December 31, 2024.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Investing activity in 2025 consisted primarily of capital expenditures for property and equipment and investments in patents and trademarks, reflecting continued, but limited, investment in product development and intellectual property.</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In contrast, investing activities in 2024 were dominated by $7.5 million of proceeds from the maturity of short-term investments, which significantly increased cash during the year. Excluding these maturities, investing activity in 2024 was otherwise limited to routine capital expenditures and investments in patents, similar in nature to 2025.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52</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i/>
          <w:sz w:val="20"/>
        </w:rPr>
        <w:t>Financing Activities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Net cash provided by financing activities was approximately $10.5 million for the year ended December 31, 2025, compared to approximately $0.5 million for the year ended December 31, 2024.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Financing activity in 2025 was driven primarily by private placement financings, including the issuance of Common Stock, warrants, and Series B Preferred Stock, which collectively generated significant new capital to fund operations. In addition, the Company completed warrant amendments during 2025 that resulted in the reclassification of warrant liabilities to equity, eliminating future non-cash fair value adjustments, although this reclassification did not impact cash flows.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In comparison, financing activity in 2024 was limited and consisted primarily of proceeds from the exercise of stock options, partially offset by cash dividends paid on the Company’s Series A Preferred Stock. The substantial increase in financing cash inflows in 2025 reflects management’s focus on strengthening liquidity and extending the Company’s operating runway.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Contractual Obligations and Commitments</w:t>
      </w:r>
      <w:r>
        <w:rPr>
          <w:rFonts w:ascii="Times New Roman" w:hAnsi="Times New Roman"/>
          <w:sz w:val="24"/>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Pursuant to that certain exclusive Amended and Restated Intellectual Property License Agreement, dated September 30, 2016, by and between the Company and Syzygy Licensing, LLC (“Syzygy”), we are obligated to pay to Syzygy a 4% royalty fee on future product sales up to an aggregate amount of $1.0 million in royalty payments, or until September 30, 2026, whichever occurs earlier. As of December 31, 2024 the Company had incurred the maximum amount of royalties under the terms of the agreement. As of December 31, 2025, the aggregate remaining royalty obligation is $99.</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In September 2023, the Company entered into a lease for office space located in Coconut Grove, Florida, with a multi-year term concluding in 2031. As of December 31, 2025, aggregate remaining minimum lease payments under this lease totaled approximate</w:t>
      </w:r>
      <w:r>
        <w:rPr>
          <w:rFonts w:ascii="Times New Roman" w:hAnsi="Times New Roman"/>
          <w:sz w:val="20"/>
          <w:shd w:fill="FFFFFF" w:val="clear"/>
        </w:rPr>
        <w:t xml:space="preserve">ly $2.8 </w:t>
      </w:r>
      <w:r>
        <w:rPr>
          <w:rFonts w:ascii="Times New Roman" w:hAnsi="Times New Roman"/>
          <w:sz w:val="20"/>
        </w:rPr>
        <w:t>million. In February 2026, the Company terminated this lease, eliminating the remaining obligation.</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As of December 31, 2025, the Company was committed to approximately</w:t>
      </w:r>
      <w:r>
        <w:rPr>
          <w:rFonts w:ascii="Times New Roman" w:hAnsi="Times New Roman"/>
          <w:sz w:val="20"/>
          <w:shd w:fill="FFFFFF" w:val="clear"/>
        </w:rPr>
        <w:t xml:space="preserve"> $0.3 mi</w:t>
      </w:r>
      <w:r>
        <w:rPr>
          <w:rFonts w:ascii="Times New Roman" w:hAnsi="Times New Roman"/>
          <w:sz w:val="20"/>
        </w:rPr>
        <w:t xml:space="preserve">llion for future component deliveries and contract services. These commitments relate primarily to inventory purchases and service agreements that are generally subject to modification or rescheduling in the normal course of business.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In August 2025, the Company entered into a lease for manufacturing and office space located in Southwest Virginia, with a multi-year term commencing in October 2025 and concluding in 2030. The Company was granted early occupancy of the facility beginning on August 18, 2025. As of December 31, 2025, aggregate remaining minimum lease payments under this lease totaled approximatel</w:t>
      </w:r>
      <w:r>
        <w:rPr>
          <w:rFonts w:ascii="Times New Roman" w:hAnsi="Times New Roman"/>
          <w:sz w:val="20"/>
          <w:shd w:fill="FFFFFF" w:val="clear"/>
        </w:rPr>
        <w:t xml:space="preserve">y $0.6 </w:t>
      </w:r>
      <w:r>
        <w:rPr>
          <w:rFonts w:ascii="Times New Roman" w:hAnsi="Times New Roman"/>
          <w:sz w:val="20"/>
        </w:rPr>
        <w:t>million.</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In March 2026, the Company entered into a month-to-month service agreement for a business address located in Miami, Florida, at an approximate monthly cost of $165. The agreement may be terminated by either party in accordance with its terms.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 Company does not have any material long-term debt obligations as of December 31, 2025.</w:t>
      </w:r>
    </w:p>
    <w:p>
      <w:pPr>
        <w:pStyle w:val="TextBody"/>
        <w:bidi w:val="0"/>
        <w:spacing w:before="0" w:after="0"/>
        <w:jc w:val="both"/>
        <w:rPr/>
      </w:pPr>
      <w:r>
        <w:rPr/>
        <w:t> </w:t>
      </w:r>
    </w:p>
    <w:p>
      <w:pPr>
        <w:pStyle w:val="TextBody"/>
        <w:bidi w:val="0"/>
        <w:spacing w:before="0" w:after="0"/>
        <w:jc w:val="both"/>
        <w:rPr>
          <w:rFonts w:ascii="Times New Roman" w:hAnsi="Times New Roman"/>
          <w:b/>
          <w:i/>
          <w:sz w:val="20"/>
        </w:rPr>
      </w:pPr>
      <w:r>
        <w:rPr>
          <w:rFonts w:ascii="Times New Roman" w:hAnsi="Times New Roman"/>
          <w:b/>
          <w:i/>
          <w:sz w:val="20"/>
        </w:rPr>
        <w:t>Off-Balance Sheet Arrangements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 Company has not entered into any off-balance sheet financial guarantees or other off-balance sheet commitments to guarantee the payment obligations of any third parties. The Company has not entered into any derivative contracts that are indexed to the Company’s shares and classified as stockholders' equity or that are not reflected in the Company’s financial statements included in this Annual Report on Form 10-K. Furthermore, the Company does not have any retained or contingent interest in assets transferred to an unconsolidated entity that serves as credit, liquidity or market risk support to such entity. The Company does not have any variable interest in any unconsolidated entity that provides financing, liquidity, market risk or credit support to us or engages in leasing, hedging or product development services with us.</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Recent Accounting Pronouncements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There have been no recent accounting pronouncements or changes in accounting pronouncements during the year ended December 31, 2025, or subsequently thereto, that we believe are of potential significance to our financial statements.</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53</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b/>
          <w:sz w:val="20"/>
        </w:rPr>
      </w:pPr>
      <w:r>
        <w:rPr>
          <w:rFonts w:ascii="Times New Roman" w:hAnsi="Times New Roman"/>
          <w:b/>
          <w:sz w:val="20"/>
        </w:rPr>
        <w:t xml:space="preserve">Critical Accounting Policies and Estimates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preparation of our consolidated financial statements in accordance with accounting principles generally accepted in the United States (“GAAP”) requires management to make estimates and judgments that affect the reported amounts of assets, liabilities, revenues, and expenses, as well as the disclosure of contingent assets and liabilities. We evaluate our estimates on an ongoing basis, including those related to contingencies, accrued expenses, and asset valuations. These estimates are based on historical experience and on various assumptions that management believes are reasonable under the circumstances. Actual results could differ from these estimates under different assumptions or conditions.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Some of our accounting policies require a higher degree of judgment in their application than others. The most significant of these policies include revenue recognition, valuation of warrant liabilities, share-based compensation, allowance for doubtful accounts, valuation of inventory, valuation and impairment of intangible assets, warranty liabilities, income taxes, and contingencies.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i/>
          <w:sz w:val="20"/>
        </w:rPr>
        <w:t>Revenue Recognition.</w:t>
      </w:r>
      <w:r>
        <w:rPr>
          <w:rFonts w:ascii="Times New Roman" w:hAnsi="Times New Roman"/>
          <w:sz w:val="20"/>
        </w:rPr>
        <w:t xml:space="preserve"> We recognize revenue in accordance with ASC Topic 606, Revenue from Contracts with Customers. Revenue is recognized when control of promised goods or services is transferred to customers in an amount that reflects the consideration we expect to receive in exchange for those goods or services. We sell products and services to customers including law enforcement agencies, domestic distributors, and international distributors. Revenue from product sales is generally recognized when products are shipped (free on board (FOB) shipping point) or received by customers (FOB destination), as applicable, when the transaction price is fixed or determinable and collectability is reasonably assured. We identify performance obligations in customer contracts, determine the transaction price, allocate the transaction price to the performance obligations, and recognize revenue as the performance obligations are satisfied. Our primary performance obligations include product and accessory sales, software licenses or subscriptions, and training services. Our customers generally do not have the right to return products unless the products are defective.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i/>
          <w:sz w:val="20"/>
        </w:rPr>
        <w:t>Valuation of Warrant Liabilities</w:t>
      </w:r>
      <w:r>
        <w:rPr>
          <w:rFonts w:ascii="Times New Roman" w:hAnsi="Times New Roman"/>
          <w:sz w:val="20"/>
        </w:rPr>
        <w:t xml:space="preserve">. We account for certain warrants as liabilities and measure them at fair value at each reporting date, with changes in fair value recognized in earnings. The valuation of warrant liabilities requires the use of significant assumptions, including expected volatility, expected term, risk-free interest rates, and other market-based inputs. Changes in these assumptions or market conditions can have a material impact on the fair value of warrant liabilities and our results of operations.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i/>
          <w:sz w:val="20"/>
        </w:rPr>
        <w:t xml:space="preserve">Share-Based Compensation. </w:t>
      </w:r>
      <w:r>
        <w:rPr>
          <w:rFonts w:ascii="Times New Roman" w:hAnsi="Times New Roman"/>
          <w:sz w:val="20"/>
        </w:rPr>
        <w:t xml:space="preserve">We account for share-based compensation in accordance with ASC Topic 718, Stock Compensation, and ASU 2018-07 for share-based payments to non-employees. Share-based compensation expense includes stock options and restricted stock units and is measured at grant date fair value. The grant date fair value of stock options is determined using the Black-Scholes option-pricing model, which requires assumptions regarding the market price of our Common Stock on the date of grant, expected term, expected volatility, risk-free interest rate, and expected dividends. These assumptions involve significant judgment. The grant date fair value of restricted stock units is based on the market price of our Common Stock on the date of grant. Share-based compensation expense is recognized over the vesting period and forfeitures are accounted for as they occur.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i/>
          <w:sz w:val="20"/>
        </w:rPr>
        <w:t xml:space="preserve">Allowance for Doubtful Accounts. </w:t>
      </w:r>
      <w:r>
        <w:rPr>
          <w:rFonts w:ascii="Times New Roman" w:hAnsi="Times New Roman"/>
          <w:sz w:val="20"/>
        </w:rPr>
        <w:t xml:space="preserve">We estimate expected credit losses on accounts receivable based on a review of customer-specific factors and the aging of receivables. Our customers are primarily government agencies and well-established distributors. In estimating the allowance for doubtful accounts, we consider customer creditworthiness, historical collection experience, current economic conditions, industry trends, and changes in customer payment terms. Changes in these assumptions could materially affect our allowance and results of operations.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i/>
          <w:sz w:val="20"/>
        </w:rPr>
        <w:t>Valuation of Inventory.</w:t>
      </w:r>
      <w:r>
        <w:rPr>
          <w:rFonts w:ascii="Times New Roman" w:hAnsi="Times New Roman"/>
          <w:sz w:val="20"/>
        </w:rPr>
        <w:t xml:space="preserve"> Our inventory consists of raw materials, subassemblies, and finished goods. Inventory is stated at the lower of cost or net realizable value. Management evaluates inventory for excess, obsolete, or slow-moving items and records write-downs when the expected future benefit is less than the carrying value. These evaluations require judgment regarding future demand, product life cycles, and technological changes.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i/>
          <w:sz w:val="20"/>
        </w:rPr>
        <w:t>Valuation and Impairment of Intangible Assets</w:t>
      </w:r>
      <w:r>
        <w:rPr>
          <w:rFonts w:ascii="Times New Roman" w:hAnsi="Times New Roman"/>
          <w:sz w:val="20"/>
        </w:rPr>
        <w:t>. Intangible assets include capitalized costs related to patents and trademarks, customer relationships, trade names, software, non-compete and non-solicitation agreements acquired in asset acquisitions, and indefinite-lived website domains. Definite-lived intangible assets are amortized over their estimated useful lives. We evaluate intangible assets for impairment when events or changes in circumstances indicate that their carrying value may not be recoverable. Impairment assessments require significant judgment, including estimates of future cash flows, useful lives, discount rates, and assumptions regarding the strategic use of the assets. Changes in these assumptions could result in impairment charges that materially affect our results of operations.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54</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i/>
          <w:sz w:val="20"/>
        </w:rPr>
        <w:t>Business Combinations and Asset Acquisitions.</w:t>
      </w:r>
      <w:r>
        <w:rPr>
          <w:rFonts w:ascii="Times New Roman" w:hAnsi="Times New Roman"/>
          <w:sz w:val="20"/>
        </w:rPr>
        <w:t xml:space="preserve"> We account for business combinations in accordance with ASC Topic 805, Business Combinations. Assets acquired and liabilities assumed in a business combination are recorded at their estimated fair value as of the acquisition date. Determining fair values requires significant judgment and estimation, including the valuation of identifiable intangible assets such as customer relationships, trade names, software, and non-compete agreements. During asset acquisitions, we allocate the purchase price to the identifiable assets acquired and liabilities assumed based on their relative fair values. These valuations require management to make assumptions regarding future cash flows, useful lives, discount rates, and other factors. Changes in these assumptions could materially affect the carrying values of acquired assets and result in impairment charges.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i/>
          <w:sz w:val="20"/>
        </w:rPr>
        <w:t>Warrants.</w:t>
      </w:r>
      <w:r>
        <w:rPr>
          <w:rFonts w:ascii="Times New Roman" w:hAnsi="Times New Roman"/>
          <w:sz w:val="20"/>
        </w:rPr>
        <w:t xml:space="preserve"> We account for certain warrants issued in connection with equity financings as liabilities in accordance with applicable accounting guidance. These warrants are measured at fair value at each reporting date, with changes in fair value recognized in earnings. The valuation of warrant liabilities requires the use of significant assumptions, including expected volatility, expected term, risk-free interest rates, and other market-based inputs. Because these assumptions are subjective and sensitive to market conditions, changes in fair value can result in significant non-cash gains or losses that may cause volatility in our reported results of operations.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i/>
          <w:sz w:val="20"/>
        </w:rPr>
        <w:t>Warranty Liabilities.</w:t>
      </w:r>
      <w:r>
        <w:rPr>
          <w:rFonts w:ascii="Times New Roman" w:hAnsi="Times New Roman"/>
          <w:sz w:val="20"/>
        </w:rPr>
        <w:t xml:space="preserve"> We provide limited warranties on our products and establish a warranty reserve at the time product revenue is recognized. The warranty reserve is based on estimates of future warranty claims and related repair or replacement costs. Factors affecting warranty estimates include the number of units sold, historical warranty claim rates, and anticipated repair costs. Due to limited historical experience, actual warranty costs may differ from our estimates.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i/>
          <w:sz w:val="20"/>
        </w:rPr>
        <w:t>Accrued Compensation and Contingencies.</w:t>
      </w:r>
      <w:r>
        <w:rPr>
          <w:rFonts w:ascii="Times New Roman" w:hAnsi="Times New Roman"/>
          <w:sz w:val="20"/>
        </w:rPr>
        <w:t xml:space="preserve"> We accrue bonus compensation when it becomes probable that a liability has been incurred and the amount can be reasonably estimated. Bonus expense is recognized over the service period based on estimated achievement of performance targets and adjusted as necessary based on actual results. We account for contingencies in accordance with ASC Topic 450, Contingencies. Management evaluates legal and other contingencies to determine whether a loss is probable and reasonably estimable, which requires judgment and may change as new information becomes available.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i/>
          <w:sz w:val="20"/>
        </w:rPr>
        <w:t xml:space="preserve">Income Taxes. </w:t>
      </w:r>
      <w:r>
        <w:rPr>
          <w:rFonts w:ascii="Times New Roman" w:hAnsi="Times New Roman"/>
          <w:sz w:val="20"/>
        </w:rPr>
        <w:t xml:space="preserve">We account for income taxes in accordance with ASC Topic 740, Income Taxes. Significant judgment is required in determining our provision for income taxes, deferred tax assets and liabilities, unrecognized tax benefits, and any related valuation allowances. Due to our history of operating losses, we have recorded a full valuation allowance against our deferred tax assets. Management assesses the likelihood that deferred tax assets will be realized based on future taxable income, tax planning strategies, and other factors. Changes in these assumptions could materially impact our effective tax rate and results of operations.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i/>
          <w:sz w:val="20"/>
        </w:rPr>
        <w:t>Changes in Estimates</w:t>
      </w:r>
      <w:r>
        <w:rPr>
          <w:rFonts w:ascii="Times New Roman" w:hAnsi="Times New Roman"/>
          <w:sz w:val="20"/>
        </w:rPr>
        <w:t xml:space="preserve">. There were no material changes to our critical accounting policies during the year ended December 31, 2025. However, management’s judgments and estimates related to impairment assessments, valuation of warrant liabilities, and income tax valuation allowances required increased judgment due to continued operating losses, product portfolio expansion, and market conditions. </w:t>
      </w:r>
    </w:p>
    <w:p>
      <w:pPr>
        <w:pStyle w:val="TextBody"/>
        <w:bidi w:val="0"/>
        <w:spacing w:before="0" w:after="0"/>
        <w:jc w:val="both"/>
        <w:rPr/>
      </w:pPr>
      <w:r>
        <w:rPr/>
        <w:t>    </w:t>
      </w:r>
    </w:p>
    <w:p>
      <w:pPr>
        <w:pStyle w:val="TextBody"/>
        <w:bidi w:val="0"/>
        <w:spacing w:before="0" w:after="0"/>
        <w:jc w:val="both"/>
        <w:rPr>
          <w:rFonts w:ascii="Times New Roman" w:hAnsi="Times New Roman"/>
          <w:sz w:val="24"/>
        </w:rPr>
      </w:pPr>
      <w:bookmarkStart w:id="14" w:name="ITEM_7A_QUANTITATIVE_AND_QUALITATIVE_DIS"/>
      <w:bookmarkEnd w:id="14"/>
      <w:r>
        <w:rPr>
          <w:rFonts w:ascii="Times New Roman" w:hAnsi="Times New Roman"/>
          <w:b/>
          <w:sz w:val="20"/>
        </w:rPr>
        <w:t>ITEM 7A. QUANTITATIVE AND QUALITATIVE DISCLOSURES ABOUT MARKET RISK</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Not applicable.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bookmarkStart w:id="15" w:name="ITEM_8_FINANCIAL_STATEMENTS_AND_SUPPLEME"/>
      <w:bookmarkEnd w:id="15"/>
      <w:r>
        <w:rPr>
          <w:rFonts w:ascii="Times New Roman" w:hAnsi="Times New Roman"/>
          <w:b/>
          <w:sz w:val="20"/>
        </w:rPr>
        <w:t>ITEM 8. FINANCIAL STATEMENTS AND SUPPLEMENTARY DATA</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Financial Statements of the Company required to be included in this Item 8 are set forth in a separate section of this report following Item 15 commencing on Page F-1.</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bookmarkStart w:id="16" w:name="ITEM_9_CHANGES_IN_AND_DISAGREEMENTS_WITH"/>
      <w:bookmarkEnd w:id="16"/>
      <w:r>
        <w:rPr>
          <w:rFonts w:ascii="Times New Roman" w:hAnsi="Times New Roman"/>
          <w:b/>
          <w:sz w:val="20"/>
        </w:rPr>
        <w:t>ITEM 9. CHANGES IN AND DISAGREEMENTS WITH ACCOUNTANTS ON ACCOUNTING AND FINANCIAL DISCLOSURE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There have been no disagreements or any reportable events requiring disclosure under Item 304(b) of Regulation S-K.</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55</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bookmarkStart w:id="17" w:name="ITEM_9A_CONTROLS_AND_PROCEDURES"/>
      <w:bookmarkEnd w:id="17"/>
      <w:r>
        <w:rPr>
          <w:rFonts w:ascii="Times New Roman" w:hAnsi="Times New Roman"/>
          <w:b/>
          <w:sz w:val="20"/>
        </w:rPr>
        <w:t>ITEM 9A. CONTROLS AND PROCEDURES.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Evaluation of Disclosure Controls and Procedures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Our disclosure controls and procedures are also designed to ensure that information required to be disclosed in our Exchange Act reports is accumulated and communicated to management, including our Executive Chairman and Chief Executive Officer,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Our management, with the participation of our Executive Chairman and Chief Executive Officer, evaluated the effectiveness of our disclosure controls and procedures as of December 31, 2025 and, based on this evaluation, our Executive Chairman and Chief Executive Officer concluded that our disclosure controls and procedures were effective as of December 31, 2025.</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Management</w:t>
      </w:r>
      <w:r>
        <w:rPr>
          <w:rFonts w:ascii="Times New Roman" w:hAnsi="Times New Roman"/>
          <w:sz w:val="24"/>
        </w:rPr>
        <w:t>’</w:t>
      </w:r>
      <w:r>
        <w:rPr>
          <w:rFonts w:ascii="Times New Roman" w:hAnsi="Times New Roman"/>
          <w:b/>
          <w:sz w:val="20"/>
        </w:rPr>
        <w:t>s Report on Internal Control Over Financial Reporting</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We are responsible for establishing and maintaining adequate internal control over financial reporting (as defined in Rule 13a-15(f) under the Exchange Act). Internal control over financial reporting refers to the process designed by, or under the supervision of, our Executive Chairman, Chief Executive Officer, and Principal Financial Officer, and effected by our Board,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our transactions and the disposition of our assets, (ii) provide reasonable assurance that transactions are recorded as necessary to permit preparation of consolidated financial statements in accordance with GAAP and that receipts and expenditures are being made only in accordance with authorizations of our management and Board, and (iii) provide reasonable assurance regarding prevention or timely detection of unauthorized acquisition, use, or disposition of our assets that could have a material effect on the consolidated financial statements.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Because of its inherent limitations, internal control over financial reporting may not prevent or detect misstatements. Therefore, even those systems determined to be effective can provide only reasonable assurance of achieving their control objectives.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Management is responsible for establishing and maintaining adequate internal control over financial reporting for the Company. With our participation, an evaluation of the effectiveness of our internal control over financial reporting was conducted as of December 31, 2025, based on the framework and criteria established in Internal Control Integrated Framework (2013) issued by the Committee of Sponsoring Organizations of the Treadway Commission and SEC guidance on conducting such assessments. Based on this evaluation, our Executive Chairman, Chief Executive Officer and Principal Financial Officer concluded that our internal control over financial reporting was effective as of December 31, 2025.</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This Annual Report on Form 10-K does not include an attestation report of the Company’s independent registered public accounting firm regarding internal control over financial reporting. Our internal control over financial reporting was not subject to such attestation as we are a “smaller reporting company” as defined by Item 10 of Regulation S-K</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Changes in Internal Controls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There have been no changes in our internal control over financial reporting during the fiscal quarter ended December 31, 2025, that have materially affected, or are reasonably likely to materially affect, our internal control over financial reporting. Our process for evaluating controls and procedures is continuous and encompasses constant improvement of the design and effectiveness of established controls and procedures and the remediation of any deficiencies, which may be identified during this process.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56</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bookmarkStart w:id="18" w:name="ITEM_9B_OTHER_INFORMATION"/>
      <w:bookmarkEnd w:id="18"/>
      <w:r>
        <w:rPr>
          <w:rFonts w:ascii="Times New Roman" w:hAnsi="Times New Roman"/>
          <w:b/>
          <w:sz w:val="20"/>
        </w:rPr>
        <w:t>ITEM 9B. OTHER INFORMATION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i/>
          <w:sz w:val="20"/>
        </w:rPr>
      </w:pPr>
      <w:r>
        <w:rPr>
          <w:rFonts w:ascii="Times New Roman" w:hAnsi="Times New Roman"/>
          <w:i/>
          <w:sz w:val="20"/>
        </w:rPr>
        <w:t xml:space="preserve">10b5-1 Trading Arrangements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During the fourth fiscal quarter ended December 31, 2025, none of the Company's directors or officers (as defined in Rule 16a-1(f) of the Exchange Act) adopted or terminated a "Rule 10b5-1 trading arrangement" or a "non-Rule 10b5-1 trading arrangement" (as each term is defined in Item 408(a) of Regulation S-K).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bookmarkStart w:id="19" w:name="ITEM_9C_DISCLOSURE_REGARDING_FOREIGN_JUR"/>
      <w:bookmarkEnd w:id="19"/>
      <w:r>
        <w:rPr>
          <w:rFonts w:ascii="Times New Roman" w:hAnsi="Times New Roman"/>
          <w:b/>
          <w:sz w:val="20"/>
        </w:rPr>
        <w:t>ITEM 9C. DISCLOSURE REGARDING FOREIGN JURISDICTIONS THAT PREVENT INSPECTIONS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Not applicable.</w:t>
      </w:r>
      <w:r>
        <w:rPr>
          <w:rFonts w:ascii="Times New Roman" w:hAnsi="Times New Roman"/>
          <w:sz w:val="24"/>
        </w:rPr>
        <w:t xml:space="preserve">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57</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pPr>
      <w:r>
        <w:rPr/>
        <w:t> </w:t>
      </w:r>
    </w:p>
    <w:p>
      <w:pPr>
        <w:pStyle w:val="TextBody"/>
        <w:bidi w:val="0"/>
        <w:spacing w:before="0" w:after="0"/>
        <w:jc w:val="center"/>
        <w:rPr>
          <w:rFonts w:ascii="Times New Roman" w:hAnsi="Times New Roman"/>
          <w:sz w:val="24"/>
        </w:rPr>
      </w:pPr>
      <w:r>
        <w:rPr>
          <w:rFonts w:ascii="Times New Roman" w:hAnsi="Times New Roman"/>
          <w:b/>
          <w:sz w:val="20"/>
        </w:rPr>
        <w:t>PART III</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bookmarkStart w:id="20" w:name="ITEM_10_DIRECTORS_EXECUTIVE_OFFICERS_AND"/>
      <w:bookmarkEnd w:id="20"/>
      <w:r>
        <w:rPr>
          <w:rFonts w:ascii="Times New Roman" w:hAnsi="Times New Roman"/>
          <w:b/>
          <w:sz w:val="20"/>
        </w:rPr>
        <w:t>ITEM 10. DIRECTORS, EXECUTIVE OFFICERS AND CORPORATE GOVERNANCE.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Board of Directors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Board is currently composed of six members. Under the Amended and Restated Bylaws of the Company, as amended, the number of directors will be fixed by the Board or the stockholders at an annual meeting of the stockholders, and directors serve until the next annual election, and their successors are duly elected and qualified, or until their earlier resignation, removal or death.</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Below is a list of the names, ages as of March 23, 2026, and positions of the individuals who currently serve as our directors.</w:t>
      </w:r>
      <w:r>
        <w:rPr>
          <w:rFonts w:ascii="Times New Roman" w:hAnsi="Times New Roman"/>
          <w:sz w:val="24"/>
        </w:rPr>
        <w:t xml:space="preserve"> </w:t>
      </w:r>
    </w:p>
    <w:p>
      <w:pPr>
        <w:pStyle w:val="TextBody"/>
        <w:bidi w:val="0"/>
        <w:spacing w:before="0" w:after="0"/>
        <w:jc w:val="both"/>
        <w:rPr/>
      </w:pPr>
      <w:r>
        <w:rPr/>
        <w:t> </w:t>
      </w:r>
    </w:p>
    <w:tbl>
      <w:tblPr>
        <w:tblW w:w="10140" w:type="dxa"/>
        <w:jc w:val="left"/>
        <w:tblInd w:w="0" w:type="dxa"/>
        <w:tblLayout w:type="fixed"/>
        <w:tblCellMar>
          <w:top w:w="0" w:type="dxa"/>
          <w:left w:w="0" w:type="dxa"/>
          <w:bottom w:w="0" w:type="dxa"/>
          <w:right w:w="0" w:type="dxa"/>
        </w:tblCellMar>
      </w:tblPr>
      <w:tblGrid>
        <w:gridCol w:w="3500"/>
        <w:gridCol w:w="90"/>
        <w:gridCol w:w="455"/>
        <w:gridCol w:w="90"/>
        <w:gridCol w:w="6005"/>
      </w:tblGrid>
      <w:tr>
        <w:trPr/>
        <w:tc>
          <w:tcPr>
            <w:tcW w:w="35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283"/>
              <w:jc w:val="left"/>
              <w:rPr/>
            </w:pPr>
            <w:r>
              <w:rPr/>
              <w:t> </w:t>
            </w:r>
          </w:p>
        </w:tc>
      </w:tr>
      <w:tr>
        <w:trPr/>
        <w:tc>
          <w:tcPr>
            <w:tcW w:w="3500" w:type="dxa"/>
            <w:tcBorders>
              <w:bottom w:val="single" w:sz="2" w:space="0" w:color="000000"/>
            </w:tcBorders>
            <w:tcMar>
              <w:bottom w:w="28" w:type="dxa"/>
            </w:tcMar>
            <w:vAlign w:val="center"/>
          </w:tcPr>
          <w:p>
            <w:pPr>
              <w:pStyle w:val="TableContents"/>
              <w:bidi w:val="0"/>
              <w:spacing w:before="0" w:after="283"/>
              <w:jc w:val="left"/>
              <w:rPr>
                <w:b/>
              </w:rPr>
            </w:pPr>
            <w:r>
              <w:rPr>
                <w:b/>
              </w:rPr>
              <w:t>Name</w:t>
            </w:r>
          </w:p>
        </w:tc>
        <w:tc>
          <w:tcPr>
            <w:tcW w:w="90" w:type="dxa"/>
            <w:tcBorders/>
            <w:vAlign w:val="center"/>
          </w:tcPr>
          <w:p>
            <w:pPr>
              <w:pStyle w:val="TableContents"/>
              <w:bidi w:val="0"/>
              <w:spacing w:before="0" w:after="283"/>
              <w:jc w:val="left"/>
              <w:rPr/>
            </w:pPr>
            <w:r>
              <w:rPr/>
              <w:t> </w:t>
            </w:r>
          </w:p>
        </w:tc>
        <w:tc>
          <w:tcPr>
            <w:tcW w:w="455" w:type="dxa"/>
            <w:tcBorders>
              <w:bottom w:val="single" w:sz="2" w:space="0" w:color="000000"/>
            </w:tcBorders>
            <w:tcMar>
              <w:bottom w:w="28" w:type="dxa"/>
            </w:tcMar>
            <w:vAlign w:val="center"/>
          </w:tcPr>
          <w:p>
            <w:pPr>
              <w:pStyle w:val="TableContents"/>
              <w:bidi w:val="0"/>
              <w:spacing w:before="0" w:after="283"/>
              <w:jc w:val="center"/>
              <w:rPr>
                <w:b/>
              </w:rPr>
            </w:pPr>
            <w:r>
              <w:rPr>
                <w:b/>
              </w:rPr>
              <w:t>Age</w:t>
            </w:r>
          </w:p>
        </w:tc>
        <w:tc>
          <w:tcPr>
            <w:tcW w:w="90" w:type="dxa"/>
            <w:tcBorders/>
            <w:vAlign w:val="center"/>
          </w:tcPr>
          <w:p>
            <w:pPr>
              <w:pStyle w:val="TableContents"/>
              <w:bidi w:val="0"/>
              <w:spacing w:before="0" w:after="283"/>
              <w:jc w:val="left"/>
              <w:rPr/>
            </w:pPr>
            <w:r>
              <w:rPr/>
              <w:t> </w:t>
            </w:r>
          </w:p>
        </w:tc>
        <w:tc>
          <w:tcPr>
            <w:tcW w:w="6005" w:type="dxa"/>
            <w:tcBorders>
              <w:bottom w:val="single" w:sz="2" w:space="0" w:color="000000"/>
            </w:tcBorders>
            <w:tcMar>
              <w:bottom w:w="28" w:type="dxa"/>
            </w:tcMar>
            <w:vAlign w:val="center"/>
          </w:tcPr>
          <w:p>
            <w:pPr>
              <w:pStyle w:val="TableContents"/>
              <w:bidi w:val="0"/>
              <w:spacing w:before="0" w:after="283"/>
              <w:jc w:val="center"/>
              <w:rPr>
                <w:b/>
              </w:rPr>
            </w:pPr>
            <w:r>
              <w:rPr>
                <w:b/>
              </w:rPr>
              <w:t>Position</w:t>
            </w:r>
          </w:p>
        </w:tc>
      </w:tr>
      <w:tr>
        <w:trPr/>
        <w:tc>
          <w:tcPr>
            <w:tcW w:w="3500" w:type="dxa"/>
            <w:tcBorders/>
            <w:shd w:fill="CCEEFF" w:val="clear"/>
            <w:vAlign w:val="center"/>
          </w:tcPr>
          <w:p>
            <w:pPr>
              <w:pStyle w:val="TableContents"/>
              <w:bidi w:val="0"/>
              <w:spacing w:before="0" w:after="283"/>
              <w:jc w:val="left"/>
              <w:rPr/>
            </w:pPr>
            <w:r>
              <w:rPr/>
              <w:t>Scot Cohen</w:t>
            </w:r>
          </w:p>
        </w:tc>
        <w:tc>
          <w:tcPr>
            <w:tcW w:w="9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57</w:t>
            </w:r>
          </w:p>
        </w:tc>
        <w:tc>
          <w:tcPr>
            <w:tcW w:w="90" w:type="dxa"/>
            <w:tcBorders/>
            <w:shd w:fill="CCEEFF" w:val="clear"/>
            <w:vAlign w:val="center"/>
          </w:tcPr>
          <w:p>
            <w:pPr>
              <w:pStyle w:val="TableContents"/>
              <w:bidi w:val="0"/>
              <w:spacing w:before="0" w:after="283"/>
              <w:jc w:val="left"/>
              <w:rPr/>
            </w:pPr>
            <w:r>
              <w:rPr/>
              <w:t> </w:t>
            </w:r>
          </w:p>
        </w:tc>
        <w:tc>
          <w:tcPr>
            <w:tcW w:w="6005" w:type="dxa"/>
            <w:tcBorders/>
            <w:shd w:fill="CCEEFF" w:val="clear"/>
            <w:vAlign w:val="center"/>
          </w:tcPr>
          <w:p>
            <w:pPr>
              <w:pStyle w:val="TableContents"/>
              <w:bidi w:val="0"/>
              <w:spacing w:before="0" w:after="283"/>
              <w:jc w:val="left"/>
              <w:rPr/>
            </w:pPr>
            <w:r>
              <w:rPr/>
              <w:t>Chief Executive Officer and Executive Chairman of the Board</w:t>
            </w:r>
          </w:p>
        </w:tc>
      </w:tr>
      <w:tr>
        <w:trPr/>
        <w:tc>
          <w:tcPr>
            <w:tcW w:w="3500" w:type="dxa"/>
            <w:tcBorders/>
            <w:vAlign w:val="center"/>
          </w:tcPr>
          <w:p>
            <w:pPr>
              <w:pStyle w:val="TableContents"/>
              <w:bidi w:val="0"/>
              <w:spacing w:before="0" w:after="283"/>
              <w:jc w:val="left"/>
              <w:rPr/>
            </w:pPr>
            <w:r>
              <w:rPr/>
              <w:t>Bruce Bernstein (1)(2)</w:t>
            </w:r>
          </w:p>
        </w:tc>
        <w:tc>
          <w:tcPr>
            <w:tcW w:w="9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62</w:t>
            </w:r>
          </w:p>
        </w:tc>
        <w:tc>
          <w:tcPr>
            <w:tcW w:w="9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283"/>
              <w:jc w:val="left"/>
              <w:rPr/>
            </w:pPr>
            <w:r>
              <w:rPr/>
              <w:t>Director</w:t>
            </w:r>
          </w:p>
        </w:tc>
      </w:tr>
      <w:tr>
        <w:trPr/>
        <w:tc>
          <w:tcPr>
            <w:tcW w:w="3500" w:type="dxa"/>
            <w:tcBorders/>
            <w:shd w:fill="CCEEFF" w:val="clear"/>
            <w:vAlign w:val="center"/>
          </w:tcPr>
          <w:p>
            <w:pPr>
              <w:pStyle w:val="TableContents"/>
              <w:bidi w:val="0"/>
              <w:spacing w:before="0" w:after="283"/>
              <w:jc w:val="left"/>
              <w:rPr/>
            </w:pPr>
            <w:r>
              <w:rPr/>
              <w:t>Marc Savas (1)(3)</w:t>
            </w:r>
          </w:p>
        </w:tc>
        <w:tc>
          <w:tcPr>
            <w:tcW w:w="9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57</w:t>
            </w:r>
          </w:p>
        </w:tc>
        <w:tc>
          <w:tcPr>
            <w:tcW w:w="90" w:type="dxa"/>
            <w:tcBorders/>
            <w:shd w:fill="CCEEFF" w:val="clear"/>
            <w:vAlign w:val="center"/>
          </w:tcPr>
          <w:p>
            <w:pPr>
              <w:pStyle w:val="TableContents"/>
              <w:bidi w:val="0"/>
              <w:spacing w:before="0" w:after="283"/>
              <w:jc w:val="left"/>
              <w:rPr/>
            </w:pPr>
            <w:r>
              <w:rPr/>
              <w:t> </w:t>
            </w:r>
          </w:p>
        </w:tc>
        <w:tc>
          <w:tcPr>
            <w:tcW w:w="6005" w:type="dxa"/>
            <w:tcBorders/>
            <w:shd w:fill="CCEEFF" w:val="clear"/>
            <w:vAlign w:val="center"/>
          </w:tcPr>
          <w:p>
            <w:pPr>
              <w:pStyle w:val="TableContents"/>
              <w:bidi w:val="0"/>
              <w:spacing w:before="0" w:after="283"/>
              <w:jc w:val="left"/>
              <w:rPr/>
            </w:pPr>
            <w:r>
              <w:rPr/>
              <w:t>Director</w:t>
            </w:r>
          </w:p>
        </w:tc>
      </w:tr>
      <w:tr>
        <w:trPr/>
        <w:tc>
          <w:tcPr>
            <w:tcW w:w="3500" w:type="dxa"/>
            <w:tcBorders/>
            <w:vAlign w:val="center"/>
          </w:tcPr>
          <w:p>
            <w:pPr>
              <w:pStyle w:val="TableContents"/>
              <w:bidi w:val="0"/>
              <w:spacing w:before="0" w:after="283"/>
              <w:jc w:val="left"/>
              <w:rPr/>
            </w:pPr>
            <w:r>
              <w:rPr/>
              <w:t>Rajiv Srinivasan (1)(2)(3)</w:t>
            </w:r>
          </w:p>
        </w:tc>
        <w:tc>
          <w:tcPr>
            <w:tcW w:w="9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39</w:t>
            </w:r>
          </w:p>
        </w:tc>
        <w:tc>
          <w:tcPr>
            <w:tcW w:w="9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283"/>
              <w:jc w:val="left"/>
              <w:rPr/>
            </w:pPr>
            <w:r>
              <w:rPr/>
              <w:t>Director</w:t>
            </w:r>
          </w:p>
        </w:tc>
      </w:tr>
      <w:tr>
        <w:trPr/>
        <w:tc>
          <w:tcPr>
            <w:tcW w:w="3500" w:type="dxa"/>
            <w:tcBorders/>
            <w:shd w:fill="CCEEFF" w:val="clear"/>
            <w:vAlign w:val="center"/>
          </w:tcPr>
          <w:p>
            <w:pPr>
              <w:pStyle w:val="TableContents"/>
              <w:bidi w:val="0"/>
              <w:spacing w:before="0" w:after="283"/>
              <w:jc w:val="left"/>
              <w:rPr/>
            </w:pPr>
            <w:r>
              <w:rPr/>
              <w:t>Vice Admiral Tim Szymanski (2)(3)</w:t>
            </w:r>
          </w:p>
        </w:tc>
        <w:tc>
          <w:tcPr>
            <w:tcW w:w="9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63</w:t>
            </w:r>
          </w:p>
        </w:tc>
        <w:tc>
          <w:tcPr>
            <w:tcW w:w="90" w:type="dxa"/>
            <w:tcBorders/>
            <w:shd w:fill="CCEEFF" w:val="clear"/>
            <w:vAlign w:val="center"/>
          </w:tcPr>
          <w:p>
            <w:pPr>
              <w:pStyle w:val="TableContents"/>
              <w:bidi w:val="0"/>
              <w:spacing w:before="0" w:after="283"/>
              <w:jc w:val="left"/>
              <w:rPr/>
            </w:pPr>
            <w:r>
              <w:rPr/>
              <w:t> </w:t>
            </w:r>
          </w:p>
        </w:tc>
        <w:tc>
          <w:tcPr>
            <w:tcW w:w="6005" w:type="dxa"/>
            <w:tcBorders/>
            <w:shd w:fill="CCEEFF" w:val="clear"/>
            <w:vAlign w:val="center"/>
          </w:tcPr>
          <w:p>
            <w:pPr>
              <w:pStyle w:val="TableContents"/>
              <w:bidi w:val="0"/>
              <w:spacing w:before="0" w:after="283"/>
              <w:jc w:val="left"/>
              <w:rPr/>
            </w:pPr>
            <w:r>
              <w:rPr/>
              <w:t>Director</w:t>
            </w:r>
          </w:p>
        </w:tc>
      </w:tr>
      <w:tr>
        <w:trPr/>
        <w:tc>
          <w:tcPr>
            <w:tcW w:w="3500" w:type="dxa"/>
            <w:tcBorders/>
            <w:vAlign w:val="center"/>
          </w:tcPr>
          <w:p>
            <w:pPr>
              <w:pStyle w:val="TableContents"/>
              <w:bidi w:val="0"/>
              <w:spacing w:before="0" w:after="283"/>
              <w:jc w:val="left"/>
              <w:rPr/>
            </w:pPr>
            <w:r>
              <w:rPr/>
              <w:t>John Shulman</w:t>
            </w:r>
          </w:p>
        </w:tc>
        <w:tc>
          <w:tcPr>
            <w:tcW w:w="90" w:type="dxa"/>
            <w:tcBorders/>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63</w:t>
            </w:r>
          </w:p>
        </w:tc>
        <w:tc>
          <w:tcPr>
            <w:tcW w:w="9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283"/>
              <w:jc w:val="left"/>
              <w:rPr/>
            </w:pPr>
            <w:r>
              <w:rPr/>
              <w:t>Director</w:t>
            </w:r>
          </w:p>
        </w:tc>
      </w:tr>
    </w:tbl>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(1)       </w:t>
      </w:r>
      <w:r>
        <w:rPr>
          <w:rFonts w:ascii="Times New Roman" w:hAnsi="Times New Roman"/>
          <w:spacing w:val="0"/>
          <w:sz w:val="20"/>
        </w:rPr>
        <w:t>Member of our Audit Committee.</w:t>
      </w:r>
    </w:p>
    <w:p>
      <w:pPr>
        <w:pStyle w:val="TextBody"/>
        <w:bidi w:val="0"/>
        <w:spacing w:before="0" w:after="0"/>
        <w:jc w:val="both"/>
        <w:rPr>
          <w:rFonts w:ascii="Times New Roman" w:hAnsi="Times New Roman"/>
          <w:sz w:val="20"/>
        </w:rPr>
      </w:pPr>
      <w:r>
        <w:rPr>
          <w:rFonts w:ascii="Times New Roman" w:hAnsi="Times New Roman"/>
          <w:sz w:val="20"/>
        </w:rPr>
        <w:t>(2)       </w:t>
      </w:r>
      <w:r>
        <w:rPr>
          <w:rFonts w:ascii="Times New Roman" w:hAnsi="Times New Roman"/>
          <w:spacing w:val="0"/>
          <w:sz w:val="20"/>
        </w:rPr>
        <w:t>Member of our Compensation Committee.</w:t>
      </w:r>
    </w:p>
    <w:p>
      <w:pPr>
        <w:pStyle w:val="TextBody"/>
        <w:bidi w:val="0"/>
        <w:spacing w:before="0" w:after="0"/>
        <w:jc w:val="both"/>
        <w:rPr>
          <w:rFonts w:ascii="Times New Roman" w:hAnsi="Times New Roman"/>
          <w:sz w:val="20"/>
        </w:rPr>
      </w:pPr>
      <w:r>
        <w:rPr>
          <w:rFonts w:ascii="Times New Roman" w:hAnsi="Times New Roman"/>
          <w:sz w:val="20"/>
        </w:rPr>
        <w:t>(3)       </w:t>
      </w:r>
      <w:r>
        <w:rPr>
          <w:rFonts w:ascii="Times New Roman" w:hAnsi="Times New Roman"/>
          <w:spacing w:val="0"/>
          <w:sz w:val="20"/>
        </w:rPr>
        <w:t>Member of our Nominating Committee.</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b/>
          <w:sz w:val="20"/>
        </w:rPr>
        <w:t>Director Biographies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Information concerning our directors is set forth below. The biographical description of each director includes the specific experience, qualifications, attributes and skills that led the Board to conclude that such person should serve as a director.</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Scot Cohen</w:t>
      </w:r>
      <w:r>
        <w:rPr>
          <w:rFonts w:ascii="Times New Roman" w:hAnsi="Times New Roman"/>
          <w:sz w:val="24"/>
        </w:rPr>
        <w:t xml:space="preserve"> </w:t>
      </w:r>
      <w:r>
        <w:rPr>
          <w:rFonts w:ascii="Times New Roman" w:hAnsi="Times New Roman"/>
          <w:sz w:val="20"/>
        </w:rPr>
        <w:t>- Mr. Cohen cofounded the Company in March 2016, and has previously served as a non-independent Director of the Company from June 2021 until October 2023 and Executive Chairman of the Company from July 2017 until June 2021 and then again beginning in October 2023, and currently serves as Chief Executive Officer, Principal Executive Officer, Principal Financial Officer and Principal Accounting Officer. Mr. Cohen has over 20 years of experience in institutional asset management, wealth management, and capital markets. He currently manages several operating partnerships that actively invest in the energy sector in addition to maintaining an active investment portfolio in various public companies, early-stage private companies, hedge funds and alternative assets including real estate. Mr. Cohen is the Founder and Managing Partner of V3 Capital Partners, a private investment firm focused on early-stage companies primarily in the consumer products industry, and Co-Manager of Red Fortune Fund, a private equity fund based in Hong Kong. Mr. Cohen also is the Founder of Petro River Oil, LLC and Chairman of Petro River Oil Corp. (OTCBB: PTRC), a publicly traded oil and gas producer with assets in Kansas and Oklahoma, and Petro Spring LLC, a global oil and gas technology solutions provider. Prior to creating V3 Capital Partners, Mr. Cohen was the Founder and Managing Partner at Iroquois Capital Opportunity Fund, a special situations private equity investment fund, and a Co-Founder of Iroquois Capital, a hedge fund with investments in small and micro-cap private and public companies. Mr. Cohen currently serves on the board of directors of Charlie’s Holding, Inc. (OTCQB: CHUC), and has served as Executive Chair of the board of directors of Petro River Oil Corp. since 2012. Mr. Cohen earned his Bachelor of Science degree from Ohio University in 1991.</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Board believes Mr. Cohen’s success with multiple private investment firms, his extensive contacts within the investment community and financial expertise strengthens the Company’s efforts to raise capital to fund the continued implementation of its business plan.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58</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b/>
          <w:sz w:val="20"/>
        </w:rPr>
        <w:t>Bruce Bernstein</w:t>
      </w:r>
      <w:r>
        <w:rPr>
          <w:rFonts w:ascii="Times New Roman" w:hAnsi="Times New Roman"/>
          <w:sz w:val="24"/>
        </w:rPr>
        <w:t xml:space="preserve"> </w:t>
      </w:r>
      <w:r>
        <w:rPr>
          <w:rFonts w:ascii="Times New Roman" w:hAnsi="Times New Roman"/>
          <w:sz w:val="20"/>
        </w:rPr>
        <w:t xml:space="preserve">- Mr. Bernstein was appointed as a director of the Company in April 2023. Mr. Bernstein has over thirty-five years of experience in the securities industry, primarily as senior portfolio manager for two alternative finance funds as well as in trading and structuring of arbitrage strategies. Mr. Bernstein has served as President of Rockmore Capital, LLC since 2006,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was with Fortis Investments Inc., where he was Senior Vice President in the bank’s Global Securities Arbitrage business unit, specializing in equity structured products and equity arbitrage and then President in charge of the bank’s proprietary investment business in the United States. Prior to Fortis,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serves as a member of the Board of Directors of Xwell, Inc. (Formerly XpresSpa Holdings, Inc.) the leading airport spa company in the world, based in New York, serves as a Director for Neurotrope since November 14, 2016, Petros Pharmaceuticals, Inc. and Q/C Technologies, Inc. Mr. Bernstein holds a Bachelor of Business Administration from City University of New York (Baruch).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Board believes that Mr. Bernstein’s experience in finance, audit, capital markets and in advising public companies provides significant benefit to the Company and as a member of the Board.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Marc Savas</w:t>
      </w:r>
      <w:r>
        <w:rPr>
          <w:rFonts w:ascii="Times New Roman" w:hAnsi="Times New Roman"/>
          <w:sz w:val="24"/>
        </w:rPr>
        <w:t xml:space="preserve"> </w:t>
      </w:r>
      <w:r>
        <w:rPr>
          <w:rFonts w:ascii="Times New Roman" w:hAnsi="Times New Roman"/>
          <w:sz w:val="20"/>
        </w:rPr>
        <w:t>- Mr. Savas was appointed as a director of the Company in April 2023. Mr. Savas has over 35 years of experience in accelerating revenue for companies, and is skilled in developing and guiding leadership teams, executing tactical, strategic and technical plans, and brings a comprehensive understanding of organizational efficiency. Mr. Savas served as President of Vector97, a privately held waste hauling and recycling consulting firm, since February 2012 until December 2025. He has overseen Vector97 from a startup company through engineering its sale to SIB in June of 2022. Previously, he founded Unfair Advantage, Inc. and Living Full Blast, Inc., a management and efficiency consulting firm serving the Venture Capital and Legal vertical markets serving as Chief Executive officer until January 2012. Mr. Savas has also served as a member of the Board of Directors of Motivational, Inc., a charitable organization, from July 2020 to present, and as a member of the Board of Directors of RMP, a charitable organization, from December 2022 to present. Mr. Savas holds a Bachelor of Science in Marketing from Northern Arizona University of Flagstaff Arizona and completed the Executive Development Program of the Marshall School of Business of the University of Southern California.</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Board believes that Mr. Savas’ experience in organizational efficiency and effectiveness, together with his extensive knowledge in finance, scalability and implementing successful business strategies, makes him a valuable member of the Board.</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Rajiv Srinivasan</w:t>
      </w:r>
      <w:r>
        <w:rPr>
          <w:rFonts w:ascii="Times New Roman" w:hAnsi="Times New Roman"/>
          <w:sz w:val="24"/>
        </w:rPr>
        <w:t xml:space="preserve"> </w:t>
      </w:r>
      <w:r>
        <w:rPr>
          <w:rFonts w:ascii="Times New Roman" w:hAnsi="Times New Roman"/>
          <w:sz w:val="20"/>
        </w:rPr>
        <w:t>- Mr. Srinivasan was appointed director in October 2023. Mr. Srinivasan served at LinkedIn by Microsoft (NYSE:MSFT) from 2019 to 2023, as the Director of the NAMER Globals Program from 2021 to 2023, and the Director of Global Clients from 2019 to 2021. Prior to that, he served as a Global Account manager at VMware (NYSE: VMW) from 2016 to 2019, and as a sales manager at MobileIron (NYSE: MOBL) from 2013 to 2015. Mr. Srinivasan’s startup experience includes Investor and Sales Advisor at Nirmata since 2017, Interim VP of Sales at Myally from 2018 to 2020 and Co-Founder and Head of Sales at Morta Security from 2011 to 2013. Mr. Srinivasan served as a Captain of the U.S. Army from 2004 to 2011 and is a contributor and commentator on miliary and veterans affairs, is on the board of directors and finance committee of Families Against Mandatory Minimums, a lobby to end mass incarceration. Mr. Srinivasan earned a Bachelor of Science in Arabic and Comparative Politics from the U.S. Military Academy, a Master of Science in Applied Mathematics with a focus on Data Science and Numerical Methods from Columbia University, and a Masters of Business Administration from the Wharton School of Business.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Board believes that Mr. Srinivasan’s experience in technology based companies and early stage growth firms, together with his extensive knowledge and experience in implementing successful business strategies, makes him a valuable member of the Board.</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59</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b/>
          <w:sz w:val="20"/>
        </w:rPr>
        <w:t>Vice Admiral Tim Szymanski</w:t>
      </w:r>
      <w:r>
        <w:rPr>
          <w:rFonts w:ascii="Times New Roman" w:hAnsi="Times New Roman"/>
          <w:sz w:val="24"/>
        </w:rPr>
        <w:t xml:space="preserve"> </w:t>
      </w:r>
      <w:r>
        <w:rPr>
          <w:rFonts w:ascii="Times New Roman" w:hAnsi="Times New Roman"/>
          <w:sz w:val="20"/>
        </w:rPr>
        <w:t>- Mr. Szymanski was appointed a director in October 2023. Mr. Szymanski is a distinguished retired United States Navy vice admiral, with thirty-seven years of military service. Mr. Szymanski currently provides consulting services to Pallas Advisors as a principal, a strategic advisory firm specializing in navigating complex national and international security dynamics, which he joined in August 2023, Odyssey Group International, Inc., Senseye, Inc., and Q30 Sports Science, LLC. Mr. Szymanski further serves on the Veteran Advisory Committee, at NanoDx Inc. and at Verkada Inc., on the Federal Advisory Board.  Additionally, he is the board chair of Navy SEAL Museum San Diego. Prior to his retirement from the United States Navy, Mr. Szymanski last served as deputy commander of United States Special Operations Command and prior as the Commander of Naval Special Warfare. Mr. Szymanski also served on the Joint Staff as the J3 deputy directorate for Special Operations, as the Global War on Terror branch chief and as chief staff officer of Pakistan-Afghanistan Coordination Cell. Mr. Szymanski graduated from the United States Naval Academy in 1985. He completed a Master of Joint Campaign Planning and Strategy at the Joint Advanced Warfighting School.</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The Board believes that Vice Admiral Szymanski’s experience in organizational efficiency and effectiveness, together with his military leadership experience, makes him a valuable member of the Board.</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b/>
          <w:sz w:val="20"/>
        </w:rPr>
        <w:t>John Shulman -</w:t>
      </w:r>
      <w:r>
        <w:rPr>
          <w:rFonts w:ascii="Times New Roman" w:hAnsi="Times New Roman"/>
          <w:sz w:val="20"/>
        </w:rPr>
        <w:t xml:space="preserve"> Mr. Shulman was appointed a director in October 2025. Mr. Shulman is the Founder and Managing Partner of Juggernaut Capital Partners, a private equity firm he founded in 2009, which has over $1 billion in assets under management. He leads the firm’s Investment Committee and has more than 25 years of experience in private equity and investment management, with a focus on the consumer, healthcare, pharmaceutical, and business services sectors. Prior to founding Juggernaut Capital Partners, Mr. Shulman served as a Managing Director at Allied Capital Corporation from 2001 to 2009, where he was a member of both the Management Committee and the Investment Committee. Earlier in his career, he held senior investment and financial roles with other institutional investment firms. Mr. Shulman currently serves on the boards of several private companies, including Foundation Consumer Brands, Kemper Sports Management, PLEZi Nutrition, and ZOA Energy, LLC. He holds a Bachelor of Science degree in Finance from the University of Virginia’s McIntire School of Commerce and also attended the London School of Economics.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Board believes that Mr. Shulman’s experience in private equity and investment management, together with his extensive knowledge and experience in capital formation and strategic growth initiatives, makes him a valuable member of the Board.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Executive Officers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 xml:space="preserve">Below is a list of the names, ages as </w:t>
      </w:r>
      <w:r>
        <w:rPr>
          <w:rFonts w:ascii="Times New Roman" w:hAnsi="Times New Roman"/>
          <w:sz w:val="20"/>
          <w:shd w:fill="FFFFFF" w:val="clear"/>
        </w:rPr>
        <w:t>of March 23, 20</w:t>
      </w:r>
      <w:r>
        <w:rPr>
          <w:rFonts w:ascii="Times New Roman" w:hAnsi="Times New Roman"/>
          <w:sz w:val="20"/>
        </w:rPr>
        <w:t>26, positions, and a brief account of the business experience of the individuals who serve as our executive officers.</w:t>
      </w:r>
      <w:r>
        <w:rPr>
          <w:rFonts w:ascii="Times New Roman" w:hAnsi="Times New Roman"/>
          <w:sz w:val="24"/>
        </w:rPr>
        <w:t xml:space="preserve"> </w:t>
      </w:r>
    </w:p>
    <w:p>
      <w:pPr>
        <w:pStyle w:val="TextBody"/>
        <w:bidi w:val="0"/>
        <w:spacing w:before="0" w:after="0"/>
        <w:jc w:val="both"/>
        <w:rPr/>
      </w:pPr>
      <w:r>
        <w:rPr/>
        <w:t> </w:t>
      </w:r>
    </w:p>
    <w:tbl>
      <w:tblPr>
        <w:tblW w:w="6810" w:type="dxa"/>
        <w:jc w:val="left"/>
        <w:tblInd w:w="0" w:type="dxa"/>
        <w:tblLayout w:type="fixed"/>
        <w:tblCellMar>
          <w:top w:w="0" w:type="dxa"/>
          <w:left w:w="0" w:type="dxa"/>
          <w:bottom w:w="0" w:type="dxa"/>
          <w:right w:w="0" w:type="dxa"/>
        </w:tblCellMar>
      </w:tblPr>
      <w:tblGrid>
        <w:gridCol w:w="1130"/>
        <w:gridCol w:w="90"/>
        <w:gridCol w:w="380"/>
        <w:gridCol w:w="90"/>
        <w:gridCol w:w="5120"/>
      </w:tblGrid>
      <w:tr>
        <w:trPr/>
        <w:tc>
          <w:tcPr>
            <w:tcW w:w="11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120" w:type="dxa"/>
            <w:tcBorders/>
            <w:vAlign w:val="center"/>
          </w:tcPr>
          <w:p>
            <w:pPr>
              <w:pStyle w:val="TableContents"/>
              <w:bidi w:val="0"/>
              <w:spacing w:before="0" w:after="283"/>
              <w:jc w:val="left"/>
              <w:rPr/>
            </w:pPr>
            <w:r>
              <w:rPr/>
              <w:t> </w:t>
            </w:r>
          </w:p>
        </w:tc>
      </w:tr>
      <w:tr>
        <w:trPr/>
        <w:tc>
          <w:tcPr>
            <w:tcW w:w="1130" w:type="dxa"/>
            <w:tcBorders>
              <w:bottom w:val="single" w:sz="2" w:space="0" w:color="000000"/>
            </w:tcBorders>
            <w:tcMar>
              <w:bottom w:w="28" w:type="dxa"/>
            </w:tcMar>
            <w:vAlign w:val="center"/>
          </w:tcPr>
          <w:p>
            <w:pPr>
              <w:pStyle w:val="TableContents"/>
              <w:bidi w:val="0"/>
              <w:spacing w:before="0" w:after="283"/>
              <w:jc w:val="left"/>
              <w:rPr>
                <w:b/>
                <w:sz w:val="20"/>
              </w:rPr>
            </w:pPr>
            <w:r>
              <w:rPr>
                <w:b/>
                <w:sz w:val="20"/>
              </w:rPr>
              <w:t>Name</w:t>
            </w:r>
          </w:p>
        </w:tc>
        <w:tc>
          <w:tcPr>
            <w:tcW w:w="90" w:type="dxa"/>
            <w:tcBorders/>
            <w:vAlign w:val="center"/>
          </w:tcPr>
          <w:p>
            <w:pPr>
              <w:pStyle w:val="TableContents"/>
              <w:bidi w:val="0"/>
              <w:spacing w:before="0" w:after="283"/>
              <w:jc w:val="left"/>
              <w:rPr/>
            </w:pPr>
            <w:r>
              <w:rPr/>
              <w:t> </w:t>
            </w:r>
          </w:p>
        </w:tc>
        <w:tc>
          <w:tcPr>
            <w:tcW w:w="380"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Age</w:t>
            </w:r>
          </w:p>
        </w:tc>
        <w:tc>
          <w:tcPr>
            <w:tcW w:w="90" w:type="dxa"/>
            <w:tcBorders/>
            <w:vAlign w:val="center"/>
          </w:tcPr>
          <w:p>
            <w:pPr>
              <w:pStyle w:val="TableContents"/>
              <w:bidi w:val="0"/>
              <w:spacing w:before="0" w:after="283"/>
              <w:jc w:val="left"/>
              <w:rPr/>
            </w:pPr>
            <w:r>
              <w:rPr/>
              <w:t> </w:t>
            </w:r>
          </w:p>
        </w:tc>
        <w:tc>
          <w:tcPr>
            <w:tcW w:w="5120"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Position</w:t>
            </w:r>
          </w:p>
        </w:tc>
      </w:tr>
      <w:tr>
        <w:trPr/>
        <w:tc>
          <w:tcPr>
            <w:tcW w:w="1130" w:type="dxa"/>
            <w:tcBorders/>
            <w:shd w:fill="CCEEFF" w:val="clear"/>
            <w:vAlign w:val="center"/>
          </w:tcPr>
          <w:p>
            <w:pPr>
              <w:pStyle w:val="TableContents"/>
              <w:bidi w:val="0"/>
              <w:spacing w:before="0" w:after="283"/>
              <w:jc w:val="left"/>
              <w:rPr>
                <w:sz w:val="20"/>
              </w:rPr>
            </w:pPr>
            <w:r>
              <w:rPr>
                <w:sz w:val="20"/>
              </w:rPr>
              <w:t>Scot Cohen</w:t>
            </w:r>
          </w:p>
        </w:tc>
        <w:tc>
          <w:tcPr>
            <w:tcW w:w="9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center"/>
              <w:rPr>
                <w:sz w:val="20"/>
              </w:rPr>
            </w:pPr>
            <w:r>
              <w:rPr>
                <w:sz w:val="20"/>
              </w:rPr>
              <w:t>57</w:t>
            </w:r>
          </w:p>
        </w:tc>
        <w:tc>
          <w:tcPr>
            <w:tcW w:w="90" w:type="dxa"/>
            <w:tcBorders/>
            <w:shd w:fill="CCEEFF" w:val="clear"/>
            <w:vAlign w:val="center"/>
          </w:tcPr>
          <w:p>
            <w:pPr>
              <w:pStyle w:val="TableContents"/>
              <w:bidi w:val="0"/>
              <w:spacing w:before="0" w:after="283"/>
              <w:jc w:val="left"/>
              <w:rPr/>
            </w:pPr>
            <w:r>
              <w:rPr/>
              <w:t> </w:t>
            </w:r>
          </w:p>
        </w:tc>
        <w:tc>
          <w:tcPr>
            <w:tcW w:w="5120" w:type="dxa"/>
            <w:tcBorders/>
            <w:shd w:fill="CCEEFF" w:val="clear"/>
            <w:vAlign w:val="center"/>
          </w:tcPr>
          <w:p>
            <w:pPr>
              <w:pStyle w:val="TableContents"/>
              <w:bidi w:val="0"/>
              <w:spacing w:before="0" w:after="283"/>
              <w:jc w:val="left"/>
              <w:rPr>
                <w:sz w:val="20"/>
              </w:rPr>
            </w:pPr>
            <w:r>
              <w:rPr>
                <w:sz w:val="20"/>
              </w:rPr>
              <w:t>Chief Executive Officer and Executive Chairman of the Board</w:t>
            </w:r>
          </w:p>
        </w:tc>
      </w:tr>
      <w:tr>
        <w:trPr/>
        <w:tc>
          <w:tcPr>
            <w:tcW w:w="1130" w:type="dxa"/>
            <w:tcBorders/>
            <w:vAlign w:val="center"/>
          </w:tcPr>
          <w:p>
            <w:pPr>
              <w:pStyle w:val="TableContents"/>
              <w:bidi w:val="0"/>
              <w:spacing w:before="0" w:after="283"/>
              <w:jc w:val="left"/>
              <w:rPr>
                <w:sz w:val="20"/>
              </w:rPr>
            </w:pPr>
            <w:r>
              <w:rPr>
                <w:sz w:val="20"/>
              </w:rPr>
              <w:t>Jared Novick</w:t>
            </w:r>
          </w:p>
        </w:tc>
        <w:tc>
          <w:tcPr>
            <w:tcW w:w="9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center"/>
              <w:rPr>
                <w:sz w:val="20"/>
              </w:rPr>
            </w:pPr>
            <w:r>
              <w:rPr>
                <w:sz w:val="20"/>
              </w:rPr>
              <w:t>42</w:t>
            </w:r>
          </w:p>
        </w:tc>
        <w:tc>
          <w:tcPr>
            <w:tcW w:w="90" w:type="dxa"/>
            <w:tcBorders/>
            <w:vAlign w:val="center"/>
          </w:tcPr>
          <w:p>
            <w:pPr>
              <w:pStyle w:val="TableContents"/>
              <w:bidi w:val="0"/>
              <w:spacing w:before="0" w:after="283"/>
              <w:jc w:val="left"/>
              <w:rPr/>
            </w:pPr>
            <w:r>
              <w:rPr/>
              <w:t> </w:t>
            </w:r>
          </w:p>
        </w:tc>
        <w:tc>
          <w:tcPr>
            <w:tcW w:w="5120" w:type="dxa"/>
            <w:tcBorders/>
            <w:vAlign w:val="center"/>
          </w:tcPr>
          <w:p>
            <w:pPr>
              <w:pStyle w:val="TableContents"/>
              <w:bidi w:val="0"/>
              <w:spacing w:before="0" w:after="283"/>
              <w:jc w:val="left"/>
              <w:rPr>
                <w:sz w:val="20"/>
              </w:rPr>
            </w:pPr>
            <w:r>
              <w:rPr>
                <w:sz w:val="20"/>
              </w:rPr>
              <w:t>President and Chief Operating Officer</w:t>
            </w:r>
          </w:p>
        </w:tc>
      </w:tr>
    </w:tbl>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60</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b/>
          <w:sz w:val="20"/>
        </w:rPr>
        <w:t>Executive Officer Biographies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Jared Novick</w:t>
      </w:r>
      <w:r>
        <w:rPr>
          <w:rFonts w:ascii="Times New Roman" w:hAnsi="Times New Roman"/>
          <w:sz w:val="24"/>
        </w:rPr>
        <w:t xml:space="preserve"> </w:t>
      </w:r>
      <w:r>
        <w:rPr>
          <w:rFonts w:ascii="Times New Roman" w:hAnsi="Times New Roman"/>
          <w:sz w:val="20"/>
        </w:rPr>
        <w:t>- Mr. Novick has served as Chief Operating Officer of the Company since December 2023 and has served as President of the Company since March 2025. From June 2023 to December 2023, Mr. Novick served as Chief Operating Officer and Senior Vice President of Strategy and Special Projects at Sidus Space, Inc. (NASDAQ:SIDU), where he oversaw diverse areas such as manufacturing, sales, product development, supply chain management, marketing, and human resources. Since 2018, he has also served on the Board of Advisors at BlueVoyant LLC (“Blue Voyant”), where he also served as Head of Strategy from 2017 until 2018. Before his tenure in public companies, Mr. Novick experienced success with two early-stage technology ventures, each culminating in notable exits. He co-founded and served as Chief Executive Officer of BitVoyant, a cybersecurity threat monitoring product and service provider for commercial enterprises, later acquired by cybersecurity unicorn BlueVoyant. Additionally, he founded and led CurvedSkies LLC, serving as Chief Executive Officer of a professional services firm catering to classified U.S. Federal Government customers in the aerospace and defense sectors. Mr. Novick’s professional career includes significant roles as a U.S. Intelligence Community Civil Servant and a contractor for Special Projects to the Office of the Secretary of Defense. He collaborated extensively with the U.S. Intelligence Community, the Department of Defense, and international partners to then deploy and operationally support critical National Security challenges across South America, Central-Asia and Africa. In the early stages of his career, Mr. Novick trained as a NASA Aircrew Member, operating High-Altitude Technologies above 60,000 feet and necessitating NASA pressure suit operations. He has logged over 2,000 hours of flight time in various fixed-wing aircrafts. During Operation Enduring Freedom, he accumulated over 400 combat flight hours while supporting special military units of the Special Operations community. Mr. Novick actively contributes to board activities, including a gubernatorial appointment by Florida Governor Ron DeSantis to the Department of Business &amp; Professional Regulation. Mr. Novick holds a Bachelor of Arts in Physics from the University of Florida in Gainesville.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Mr. Cohen’s biography is incorporated by reference from Item 10 of this Annual Report on Form 10-K above.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There is no arrangement or understanding between any of the directors or officers identified above and any other person pursuant to which he was selected as a director or officer. None of the directors or officers identified above is, or has been, a participant in any transaction involving the Company, and is not a participant in any proposed transaction with the Company, in each case, required to be disclosed pursuant to Item 404(a) of Regulation S-K, other than as described in the “Certain Relationships and Related Transactions, and Director Independence” section contained herein.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Family Relationships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There are no family relationships among our directors or executive officers.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Involvement in Certain Legal Proceedings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None of our directors or executive officers has been involved in any of the following events during the past ten years:</w:t>
      </w:r>
    </w:p>
    <w:p>
      <w:pPr>
        <w:pStyle w:val="TextBody"/>
        <w:bidi w:val="0"/>
        <w:jc w:val="both"/>
        <w:rPr/>
      </w:pPr>
      <w:r>
        <w:rPr/>
        <w:t> </w:t>
      </w:r>
    </w:p>
    <w:p>
      <w:pPr>
        <w:pStyle w:val="TextBody"/>
        <w:numPr>
          <w:ilvl w:val="0"/>
          <w:numId w:val="75"/>
        </w:numPr>
        <w:tabs>
          <w:tab w:val="clear" w:pos="1134"/>
          <w:tab w:val="left" w:pos="1429" w:leader="none"/>
        </w:tabs>
        <w:bidi w:val="0"/>
        <w:ind w:left="1429" w:right="0" w:hanging="283"/>
        <w:jc w:val="both"/>
        <w:rPr>
          <w:rFonts w:ascii="Times New Roman" w:hAnsi="Times New Roman"/>
          <w:spacing w:val="0"/>
          <w:sz w:val="20"/>
        </w:rPr>
      </w:pPr>
      <w:r>
        <w:rPr>
          <w:rFonts w:ascii="Times New Roman" w:hAnsi="Times New Roman"/>
          <w:spacing w:val="0"/>
          <w:sz w:val="20"/>
        </w:rPr>
        <w:t>any bankruptcy petition filed by or against any business of which such person was a general partner or executive officer either at the time of the bankruptcy or within two years prior to that time;</w:t>
      </w:r>
    </w:p>
    <w:p>
      <w:pPr>
        <w:pStyle w:val="TextBody"/>
        <w:bidi w:val="0"/>
        <w:spacing w:before="0" w:after="283"/>
        <w:jc w:val="left"/>
        <w:rPr/>
      </w:pPr>
      <w:r>
        <w:rPr/>
        <w:t> </w:t>
      </w:r>
    </w:p>
    <w:p>
      <w:pPr>
        <w:pStyle w:val="TextBody"/>
        <w:numPr>
          <w:ilvl w:val="0"/>
          <w:numId w:val="76"/>
        </w:numPr>
        <w:tabs>
          <w:tab w:val="clear" w:pos="1134"/>
          <w:tab w:val="left" w:pos="1429" w:leader="none"/>
        </w:tabs>
        <w:bidi w:val="0"/>
        <w:ind w:left="1429" w:right="0" w:hanging="283"/>
        <w:jc w:val="both"/>
        <w:rPr>
          <w:rFonts w:ascii="Times New Roman" w:hAnsi="Times New Roman"/>
          <w:sz w:val="20"/>
        </w:rPr>
      </w:pPr>
      <w:r>
        <w:rPr>
          <w:rFonts w:ascii="Times New Roman" w:hAnsi="Times New Roman"/>
          <w:spacing w:val="0"/>
          <w:sz w:val="20"/>
        </w:rPr>
        <w:t>any conviction in a criminal proceeding or being subject to a pending criminal proceeding (excluding traffic violations and other minor offences);</w:t>
      </w:r>
      <w:r>
        <w:rPr>
          <w:rFonts w:ascii="Times New Roman" w:hAnsi="Times New Roman"/>
          <w:sz w:val="20"/>
        </w:rPr>
        <w:t xml:space="preserve"> </w:t>
      </w:r>
    </w:p>
    <w:p>
      <w:pPr>
        <w:pStyle w:val="TextBody"/>
        <w:bidi w:val="0"/>
        <w:jc w:val="both"/>
        <w:rPr/>
      </w:pPr>
      <w:r>
        <w:rPr/>
        <w:t xml:space="preserve">  </w:t>
      </w:r>
    </w:p>
    <w:p>
      <w:pPr>
        <w:pStyle w:val="TextBody"/>
        <w:numPr>
          <w:ilvl w:val="0"/>
          <w:numId w:val="77"/>
        </w:numPr>
        <w:tabs>
          <w:tab w:val="clear" w:pos="1134"/>
          <w:tab w:val="left" w:pos="1429" w:leader="none"/>
        </w:tabs>
        <w:bidi w:val="0"/>
        <w:ind w:left="1429" w:right="0" w:hanging="283"/>
        <w:jc w:val="both"/>
        <w:rPr>
          <w:rFonts w:ascii="Times New Roman" w:hAnsi="Times New Roman"/>
          <w:sz w:val="20"/>
        </w:rPr>
      </w:pPr>
      <w:r>
        <w:rPr>
          <w:rFonts w:ascii="Times New Roman" w:hAnsi="Times New Roman"/>
          <w:spacing w:val="0"/>
          <w:sz w:val="20"/>
        </w:rPr>
        <w:t>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or</w:t>
      </w:r>
      <w:r>
        <w:rPr>
          <w:rFonts w:ascii="Times New Roman" w:hAnsi="Times New Roman"/>
          <w:sz w:val="20"/>
        </w:rPr>
        <w:t xml:space="preserve"> </w:t>
      </w:r>
    </w:p>
    <w:p>
      <w:pPr>
        <w:pStyle w:val="TextBody"/>
        <w:bidi w:val="0"/>
        <w:spacing w:before="0" w:after="283"/>
        <w:jc w:val="left"/>
        <w:rPr/>
      </w:pPr>
      <w:r>
        <w:rPr/>
        <w:t> </w:t>
      </w:r>
    </w:p>
    <w:p>
      <w:pPr>
        <w:pStyle w:val="TextBody"/>
        <w:numPr>
          <w:ilvl w:val="0"/>
          <w:numId w:val="78"/>
        </w:numPr>
        <w:tabs>
          <w:tab w:val="clear" w:pos="1134"/>
          <w:tab w:val="left" w:pos="1429" w:leader="none"/>
        </w:tabs>
        <w:bidi w:val="0"/>
        <w:ind w:left="1429" w:right="0" w:hanging="283"/>
        <w:jc w:val="both"/>
        <w:rPr>
          <w:rFonts w:ascii="Times New Roman" w:hAnsi="Times New Roman"/>
          <w:sz w:val="24"/>
        </w:rPr>
      </w:pPr>
      <w:r>
        <w:rPr>
          <w:rFonts w:ascii="Times New Roman" w:hAnsi="Times New Roman"/>
          <w:sz w:val="20"/>
        </w:rPr>
        <w:t>being found by a court of competent jurisdiction (in a civil action), the SEC or the Commodity Futures Trading Commission to have violated a federal or state securities or commodities law, any law or regulation respecting financial institutions or insurance companies, or any law or regulation prohibiting mail or wire fraud or fraud in connection with any business entity (not including any settlement of a civil proceeding among private litigants), and the judgment has not been reversed, suspended, or vacated.</w:t>
      </w:r>
      <w:r>
        <w:rPr>
          <w:rFonts w:ascii="Times New Roman" w:hAnsi="Times New Roman"/>
          <w:sz w:val="24"/>
        </w:rPr>
        <w:t xml:space="preserve"> </w:t>
      </w:r>
    </w:p>
    <w:p>
      <w:pPr>
        <w:pStyle w:val="TextBody"/>
        <w:bidi w:val="0"/>
        <w:spacing w:before="0" w:after="283"/>
        <w:jc w:val="left"/>
        <w:rPr/>
      </w:pPr>
      <w:r>
        <w:rPr/>
        <w:t> </w:t>
      </w:r>
    </w:p>
    <w:p>
      <w:pPr>
        <w:pStyle w:val="TextBody"/>
        <w:numPr>
          <w:ilvl w:val="0"/>
          <w:numId w:val="79"/>
        </w:numPr>
        <w:pBdr/>
        <w:tabs>
          <w:tab w:val="clear" w:pos="1134"/>
          <w:tab w:val="left" w:pos="720" w:leader="none"/>
        </w:tabs>
        <w:bidi w:val="0"/>
        <w:spacing w:before="0" w:after="0"/>
        <w:ind w:left="720" w:right="0" w:hanging="283"/>
        <w:jc w:val="both"/>
        <w:rPr>
          <w:rFonts w:ascii="Times New Roman" w:hAnsi="Times New Roman"/>
          <w:spacing w:val="0"/>
          <w:sz w:val="20"/>
        </w:rPr>
      </w:pPr>
      <w:r>
        <w:rPr>
          <w:rFonts w:ascii="Times New Roman" w:hAnsi="Times New Roman"/>
          <w:spacing w:val="0"/>
          <w:sz w:val="20"/>
        </w:rPr>
        <w:t>been the subject of, or a party to, any sanction or order, not subsequently reversed, suspended or vacated, of any self-regulatory organization (as defined in Section 3(a)(26) of the Exchange Act), any registered entity (as defined in Section 1(a)(29) of the Commodity Exchange Act), or any equivalent exchange, association, entity or organization that has disciplinary authority over its members or persons associated with a member.</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61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b/>
          <w:sz w:val="20"/>
        </w:rPr>
        <w:t>Director Independence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Our Board has reviewed the independence of our directors based on the listing standards of the Nasdaq Capital Market (“Nasdaq”). Based on this review, the Board determined that Messrs. Bernstein, Savas, Shulman, Srinivasan and Vice Admiral Szymanski are independent, as defined in Rule 5605(a)(2) of the Nasdaq rules. In making this determination, our Board considered the relationships that each of these non-employee directors has with us and all other facts and circumstances our Board deemed relevant in determining their independence.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Committees of the Board of Directors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Our Board currently has three standing committees which consist of the Audit Committee, Compensation Committee and Nominating and Governance Committee. Our Board has adopted written charters for each of the Audit Committee, Compensation Committee, and Nominating and Governance Committee, copies of which are publicly available on our website at https://ir.wrap.com/ under the “Governance” tab. Our Board may establish other committees from time to time as it deems necessary or appropriate.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Audit Committee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The Audit Committee assists our Board in fulfilling its legal and fiduciary obligations in matters involving our accounting, auditing, financial reporting, internal control and legal compliance functions by approving the services performed by our independent accountants and reviewing their reports regarding our accounting practices and systems of internal accounting controls. The Audit Committee also oversees the audit efforts of our independent accountants and takes those actions as it deems necessary to satisfy that the accountants are independent of management. The Audit Committee currently consists of Messrs. Bernstein, Savas and Srinivasan, with Mr. Bernstein serving as the Chair of the Audit Committee. Our Board has determined that Mr. Bernstein is an audit committee financial expert as defined under the applicable rules of the SEC and has the requisite financial sophistication and is considered independent under the applicable rules and regulations of Nasdaq.</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Compensation Committee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Compensation Committee determines our general compensation policies and the compensation provided to our directors and officers. The Compensation Committee also reviews and determines bonuses for our officers and other employees. In addition, the Compensation Committee reviews and determines equity-based compensation for our directors, officers, employees and consultants and administers the 2017 Plan. The Compensation Committee currently consists of Messrs. Szymanski, Bernstein and Srinivasan, with Mr. Bernstein serving as Chair of the Compensation Committee.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We adopted a Compensation Recovery Policy on November 20, 2023, as an additional safeguard to mitigate compensation risks. </w:t>
      </w:r>
    </w:p>
    <w:p>
      <w:pPr>
        <w:pStyle w:val="TextBody"/>
        <w:bidi w:val="0"/>
        <w:spacing w:before="0" w:after="0"/>
        <w:jc w:val="both"/>
        <w:rPr/>
      </w:pPr>
      <w:r>
        <w:rPr/>
        <w:t xml:space="preserve">  </w:t>
      </w:r>
    </w:p>
    <w:p>
      <w:pPr>
        <w:pStyle w:val="TextBody"/>
        <w:bidi w:val="0"/>
        <w:spacing w:before="0" w:after="0"/>
        <w:jc w:val="both"/>
        <w:rPr>
          <w:rFonts w:ascii="Times New Roman" w:hAnsi="Times New Roman"/>
          <w:b/>
          <w:sz w:val="20"/>
        </w:rPr>
      </w:pPr>
      <w:r>
        <w:rPr>
          <w:rFonts w:ascii="Times New Roman" w:hAnsi="Times New Roman"/>
          <w:b/>
          <w:sz w:val="20"/>
        </w:rPr>
        <w:t xml:space="preserve">Nominating and Governance Committee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Nominating and Governance Committee is responsible for making recommendations to our Board regarding candidates for directorships and the size and composition of our Board. In addition, the Nominating and Governance Committee is responsible for overseeing our corporate governance guidelines and reporting and making recommendations to the full Board concerning corporate governance matters. The Nominating and Governance Committee currently consists of Messrs. Savas, Srinivasan and Szymanski, with Mr. Savas serving as Chair of the Nominating and Governance Committee.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Code of Business Conduct and Ethics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We have adopted a Code of Business Conduct and Ethics (the “Code”) applicable to all of our employees, including our principal executive officer, principal financial officer and principal accounting officer. Our Code is available to security holders in the “Investors’’ section on our website, https://ir.wrap.com/. We intend to disclose any amendments to, or waivers from, our Code at the same website address provided above.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62</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b/>
          <w:sz w:val="20"/>
        </w:rPr>
        <w:t>Insider Trading Policy</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We have an insider trading policy designed to promote compliance with insider trading laws, rules and regulations that prohibits our directors, executive officers and all employees of the Company from the purchasing or selling our securities while being aware of material, non-public information about the Company as well as disclosing such information to others who may trade in securities of the Company. Our insider trading policy also prohibits our directors, executive officers, employees and their respective family members from engaging in hedging activities or other short-term or speculative transactions in the Company’s securities such as short sales, options trading, holding the Company’s securities in a margin account or pledging the Company’s securities as collateral for a loan, without the advance approval of our Principal Financial Officer. While the Company is not subject to the insider trading policy, the Company does not trade in its securities when it is in possession of material nonpublic information other than pursuant to previously adopted Rule 10b5-1 trading plans, if any. A copy of the insider trading policy is included in Exhibit 19.1 to this Annual Report on Form 10-K.</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Section 16(a) Beneficial Ownership Reporting Compliance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Section 16(a) of the Exchange Act requires that each of our directors and executive officers, and any other person who owns more than ten percent (10%) of our Common Stock, file with the SEC initial reports of ownership and reports of changes in ownership of our Common Stock. To our knowledge, based solely on information furnished to us and written representations by such persons that no such other reports were required to be filed, we believe that all such SEC filing requirements were met in a timely manner during 2025 other than with respect to the following: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January 6, 2025, a Form 4 for each of Rajiv Srinivasan, Marc Savas and Bruce Bernstein was filed late to report grants of RSUs on January 1, 2025.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On January 7, 2025, a Form 4 for Timothy Szymanski was filed late to report a grant of RSUs on January 1, 2025.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On February 13, 2025, a Form 4 for each of Rajiv Srinivasan, Marc Savas and Bruce Bernstein was filed late to report grants of RSUs on February 5, 2025.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On February 13, 2025, a Form 4 for each of Jared Novick and Scot Cohen was filed late to report grants of RSUs and stock options on February 5, 2025.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On March 12, 2025, a Form 4 for Jared Novick was filed late to report the acquisition of shares of Common Stock and warrants on February 24, 2025.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On April 16, 2025, a Form 4 for each of Jared Novick, Marc Savas, Bruce Bernstein and Timothy Szymanski was filed late to report grants of RSUs on April 10, 2025.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On June 17, 2025, a Form 4 for Elwood G. Norris was filed late to report the sale of shares of Common Stock on June 11, 2025.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On July 10, 2025, a Form 4 for Bruce Bernstein was filed late to report a grant of RSUs on July 1, 2025.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On July 21, 2025, a Form 4 for Gerald Ratigan was filed late to report grants of stock options on June 9, 2025.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On August 28, 2025, a Form 4 for Scot Cohen was filed late to report the acquisition of Series B Preferred Stock and warrants on August 18, 2025.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On October 7, 2025, a Form 4 for each of Rajiv Srinivasan, Marc Savas and Bruce Bernstein was filed late to report grants of RSUs on October 1, 2025.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On October 8, 2025, a Form 4 for Timothy Szymanski was filed late to report a grant of RSUs on October 1, 2025.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On December 29, 2025, a Form 4 for John Shulman was filed late to report grants of stock options on October 25, 2025.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63</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bookmarkStart w:id="21" w:name="ITEM_11_EXECUTIVE_COMPENSATION"/>
      <w:bookmarkEnd w:id="21"/>
      <w:r>
        <w:rPr>
          <w:rFonts w:ascii="Times New Roman" w:hAnsi="Times New Roman"/>
          <w:b/>
          <w:sz w:val="20"/>
        </w:rPr>
        <w:t>ITEM 11. EXECUTIVE COMPENSATION.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Summary Compensation Table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following table sets forth information regarding the compensation awarded to or earned by the current and former executive officers listed below during the years ended December 31, 2025, and 2024. We have opted to comply with the reduced executive compensation disclosure rules applicable to “smaller reporting companies,” as such term is defined in the rules promulgated under the Securities Act, which require compensation disclosure for only (i) our principal executive officer, (ii) the two most highly compensated executive officers other than our principal executive officer and (iii) if applicable, up to two individuals who would have qualified as our two most highly compensated executive officers other than the principal executive officer but for the fact that the individual was not serving as an executive officer of the Company at the end of the last completed fiscal year. Throughout this document, the officers below are referred to as our “named executive officers” or “NEOs”.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1333"/>
        <w:gridCol w:w="90"/>
        <w:gridCol w:w="560"/>
        <w:gridCol w:w="90"/>
        <w:gridCol w:w="170"/>
        <w:gridCol w:w="830"/>
        <w:gridCol w:w="90"/>
        <w:gridCol w:w="90"/>
        <w:gridCol w:w="170"/>
        <w:gridCol w:w="830"/>
        <w:gridCol w:w="90"/>
        <w:gridCol w:w="90"/>
        <w:gridCol w:w="170"/>
        <w:gridCol w:w="1012"/>
        <w:gridCol w:w="90"/>
        <w:gridCol w:w="90"/>
        <w:gridCol w:w="170"/>
        <w:gridCol w:w="866"/>
        <w:gridCol w:w="90"/>
        <w:gridCol w:w="90"/>
        <w:gridCol w:w="170"/>
        <w:gridCol w:w="1526"/>
        <w:gridCol w:w="90"/>
        <w:gridCol w:w="90"/>
        <w:gridCol w:w="170"/>
        <w:gridCol w:w="1010"/>
        <w:gridCol w:w="138"/>
      </w:tblGrid>
      <w:tr>
        <w:trPr/>
        <w:tc>
          <w:tcPr>
            <w:tcW w:w="133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r>
      <w:tr>
        <w:trPr/>
        <w:tc>
          <w:tcPr>
            <w:tcW w:w="13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center"/>
              <w:rPr>
                <w:b/>
              </w:rPr>
            </w:pPr>
            <w:r>
              <w:rPr>
                <w:b/>
              </w:rPr>
              <w:t>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center"/>
              <w:rPr>
                <w:b/>
              </w:rPr>
            </w:pPr>
            <w:r>
              <w:rPr>
                <w:b/>
              </w:rPr>
              <w:t>Option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26" w:type="dxa"/>
            <w:tcBorders/>
            <w:vAlign w:val="center"/>
          </w:tcPr>
          <w:p>
            <w:pPr>
              <w:pStyle w:val="TableContents"/>
              <w:bidi w:val="0"/>
              <w:spacing w:before="0" w:after="283"/>
              <w:jc w:val="center"/>
              <w:rPr>
                <w:b/>
              </w:rPr>
            </w:pPr>
            <w:r>
              <w:rPr>
                <w:b/>
              </w:rPr>
              <w:t>All Other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1333" w:type="dxa"/>
            <w:tcBorders>
              <w:bottom w:val="single" w:sz="2" w:space="0" w:color="000000"/>
            </w:tcBorders>
            <w:tcMar>
              <w:bottom w:w="28" w:type="dxa"/>
            </w:tcMar>
            <w:vAlign w:val="center"/>
          </w:tcPr>
          <w:p>
            <w:pPr>
              <w:pStyle w:val="TableContents"/>
              <w:bidi w:val="0"/>
              <w:spacing w:before="0" w:after="283"/>
              <w:jc w:val="left"/>
              <w:rPr>
                <w:b/>
              </w:rPr>
            </w:pPr>
            <w:r>
              <w:rPr>
                <w:b/>
              </w:rPr>
              <w:t>Name and Principal Position</w:t>
            </w:r>
          </w:p>
        </w:tc>
        <w:tc>
          <w:tcPr>
            <w:tcW w:w="90" w:type="dxa"/>
            <w:tcBorders/>
            <w:vAlign w:val="center"/>
          </w:tcPr>
          <w:p>
            <w:pPr>
              <w:pStyle w:val="TableContents"/>
              <w:bidi w:val="0"/>
              <w:spacing w:before="0" w:after="283"/>
              <w:jc w:val="left"/>
              <w:rPr/>
            </w:pPr>
            <w:r>
              <w:rPr/>
              <w:t> </w:t>
            </w:r>
          </w:p>
        </w:tc>
        <w:tc>
          <w:tcPr>
            <w:tcW w:w="560" w:type="dxa"/>
            <w:tcBorders>
              <w:bottom w:val="single" w:sz="2" w:space="0" w:color="000000"/>
            </w:tcBorders>
            <w:tcMar>
              <w:bottom w:w="28" w:type="dxa"/>
            </w:tcMar>
            <w:vAlign w:val="center"/>
          </w:tcPr>
          <w:p>
            <w:pPr>
              <w:pStyle w:val="TableContents"/>
              <w:bidi w:val="0"/>
              <w:spacing w:before="0" w:after="283"/>
              <w:jc w:val="center"/>
              <w:rPr>
                <w:b/>
              </w:rPr>
            </w:pPr>
            <w:r>
              <w:rPr>
                <w:b/>
              </w:rPr>
              <w:t>Year</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center"/>
              <w:rPr>
                <w:b/>
              </w:rPr>
            </w:pPr>
            <w:r>
              <w:rPr>
                <w:b/>
              </w:rPr>
              <w:t>Salary</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center"/>
              <w:rPr>
                <w:b/>
              </w:rPr>
            </w:pPr>
            <w:r>
              <w:rPr>
                <w:b/>
              </w:rPr>
              <w:t>Bonus</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012" w:type="dxa"/>
            <w:tcBorders>
              <w:bottom w:val="single" w:sz="2" w:space="0" w:color="000000"/>
            </w:tcBorders>
            <w:tcMar>
              <w:bottom w:w="28" w:type="dxa"/>
            </w:tcMar>
            <w:vAlign w:val="center"/>
          </w:tcPr>
          <w:p>
            <w:pPr>
              <w:pStyle w:val="TableContents"/>
              <w:bidi w:val="0"/>
              <w:spacing w:before="0" w:after="283"/>
              <w:jc w:val="center"/>
              <w:rPr>
                <w:b/>
              </w:rPr>
            </w:pPr>
            <w:r>
              <w:rPr>
                <w:b/>
              </w:rPr>
              <w:t>Awards(1)</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66" w:type="dxa"/>
            <w:tcBorders>
              <w:bottom w:val="single" w:sz="2" w:space="0" w:color="000000"/>
            </w:tcBorders>
            <w:tcMar>
              <w:bottom w:w="28" w:type="dxa"/>
            </w:tcMar>
            <w:vAlign w:val="center"/>
          </w:tcPr>
          <w:p>
            <w:pPr>
              <w:pStyle w:val="TableContents"/>
              <w:bidi w:val="0"/>
              <w:spacing w:before="0" w:after="283"/>
              <w:jc w:val="center"/>
              <w:rPr>
                <w:b/>
              </w:rPr>
            </w:pPr>
            <w:r>
              <w:rPr>
                <w:b/>
              </w:rPr>
              <w:t>Awards (2)</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526" w:type="dxa"/>
            <w:tcBorders>
              <w:bottom w:val="single" w:sz="2" w:space="0" w:color="000000"/>
            </w:tcBorders>
            <w:tcMar>
              <w:bottom w:w="28" w:type="dxa"/>
            </w:tcMar>
            <w:vAlign w:val="center"/>
          </w:tcPr>
          <w:p>
            <w:pPr>
              <w:pStyle w:val="TableContents"/>
              <w:bidi w:val="0"/>
              <w:spacing w:before="0" w:after="283"/>
              <w:jc w:val="center"/>
              <w:rPr>
                <w:b/>
              </w:rPr>
            </w:pPr>
            <w:r>
              <w:rPr>
                <w:b/>
              </w:rPr>
              <w:t>Compensation (3)</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010" w:type="dxa"/>
            <w:tcBorders>
              <w:bottom w:val="single" w:sz="2" w:space="0" w:color="000000"/>
            </w:tcBorders>
            <w:tcMar>
              <w:bottom w:w="28" w:type="dxa"/>
            </w:tcMar>
            <w:vAlign w:val="center"/>
          </w:tcPr>
          <w:p>
            <w:pPr>
              <w:pStyle w:val="TableContents"/>
              <w:bidi w:val="0"/>
              <w:spacing w:before="0" w:after="283"/>
              <w:jc w:val="center"/>
              <w:rPr>
                <w:b/>
              </w:rPr>
            </w:pPr>
            <w:r>
              <w:rPr>
                <w:b/>
              </w:rPr>
              <w:t>Total</w:t>
            </w:r>
          </w:p>
        </w:tc>
        <w:tc>
          <w:tcPr>
            <w:tcW w:w="138"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33"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26"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pPr>
            <w:r>
              <w:rPr/>
              <w:t> </w:t>
            </w:r>
          </w:p>
        </w:tc>
      </w:tr>
      <w:tr>
        <w:trPr/>
        <w:tc>
          <w:tcPr>
            <w:tcW w:w="1333" w:type="dxa"/>
            <w:tcBorders/>
            <w:shd w:fill="CCEEFF" w:val="clear"/>
            <w:vAlign w:val="center"/>
          </w:tcPr>
          <w:p>
            <w:pPr>
              <w:pStyle w:val="TableContents"/>
              <w:bidi w:val="0"/>
              <w:spacing w:before="0" w:after="283"/>
              <w:jc w:val="left"/>
              <w:rPr/>
            </w:pPr>
            <w:r>
              <w:rPr/>
              <w:t>Scot Cohen</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2025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r>
              <w:rPr/>
              <w:t>505,000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6" w:type="dxa"/>
            <w:tcBorders/>
            <w:shd w:fill="CCEEFF" w:val="clear"/>
            <w:vAlign w:val="center"/>
          </w:tcPr>
          <w:p>
            <w:pPr>
              <w:pStyle w:val="TableContents"/>
              <w:bidi w:val="0"/>
              <w:spacing w:before="0" w:after="283"/>
              <w:jc w:val="right"/>
              <w:rPr/>
            </w:pPr>
            <w:r>
              <w:rPr/>
              <w:t>699,918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5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1,404,918</w:t>
            </w:r>
          </w:p>
        </w:tc>
        <w:tc>
          <w:tcPr>
            <w:tcW w:w="138" w:type="dxa"/>
            <w:tcBorders/>
            <w:shd w:fill="CCEEFF" w:val="clear"/>
            <w:vAlign w:val="center"/>
          </w:tcPr>
          <w:p>
            <w:pPr>
              <w:pStyle w:val="TableContents"/>
              <w:bidi w:val="0"/>
              <w:spacing w:before="0" w:after="283"/>
              <w:jc w:val="left"/>
              <w:rPr/>
            </w:pPr>
            <w:r>
              <w:rPr/>
              <w:t> </w:t>
            </w:r>
          </w:p>
        </w:tc>
      </w:tr>
      <w:tr>
        <w:trPr/>
        <w:tc>
          <w:tcPr>
            <w:tcW w:w="1333" w:type="dxa"/>
            <w:tcBorders/>
            <w:shd w:fill="CCEEFF" w:val="clear"/>
            <w:vAlign w:val="center"/>
          </w:tcPr>
          <w:p>
            <w:pPr>
              <w:pStyle w:val="TableContents"/>
              <w:bidi w:val="0"/>
              <w:spacing w:before="0" w:after="283"/>
              <w:jc w:val="left"/>
              <w:rPr>
                <w:i/>
              </w:rPr>
            </w:pPr>
            <w:r>
              <w:rPr>
                <w:i/>
              </w:rPr>
              <w:t>Chief Executive Officer, Executive Chairman, Principal Financial Officer and Principal Accounting Officer</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2024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r>
              <w:rPr/>
              <w:t>1,764,753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5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1,964,753</w:t>
            </w:r>
          </w:p>
        </w:tc>
        <w:tc>
          <w:tcPr>
            <w:tcW w:w="138" w:type="dxa"/>
            <w:tcBorders/>
            <w:shd w:fill="CCEEFF" w:val="clear"/>
            <w:vAlign w:val="center"/>
          </w:tcPr>
          <w:p>
            <w:pPr>
              <w:pStyle w:val="TableContents"/>
              <w:bidi w:val="0"/>
              <w:spacing w:before="0" w:after="283"/>
              <w:jc w:val="left"/>
              <w:rPr/>
            </w:pPr>
            <w:r>
              <w:rPr/>
              <w:t> </w:t>
            </w:r>
          </w:p>
        </w:tc>
      </w:tr>
      <w:tr>
        <w:trPr/>
        <w:tc>
          <w:tcPr>
            <w:tcW w:w="13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1333" w:type="dxa"/>
            <w:tcBorders/>
            <w:shd w:fill="CCEEFF" w:val="clear"/>
            <w:vAlign w:val="center"/>
          </w:tcPr>
          <w:p>
            <w:pPr>
              <w:pStyle w:val="TableContents"/>
              <w:bidi w:val="0"/>
              <w:spacing w:before="0" w:after="283"/>
              <w:jc w:val="left"/>
              <w:rPr/>
            </w:pPr>
            <w:r>
              <w:rPr/>
              <w:t>Jared Novick</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2025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200,000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r>
              <w:rPr/>
              <w:t>505,000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6" w:type="dxa"/>
            <w:tcBorders/>
            <w:shd w:fill="CCEEFF" w:val="clear"/>
            <w:vAlign w:val="center"/>
          </w:tcPr>
          <w:p>
            <w:pPr>
              <w:pStyle w:val="TableContents"/>
              <w:bidi w:val="0"/>
              <w:spacing w:before="0" w:after="283"/>
              <w:jc w:val="right"/>
              <w:rPr/>
            </w:pPr>
            <w:r>
              <w:rPr/>
              <w:t>699,918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5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1,404,918</w:t>
            </w:r>
          </w:p>
        </w:tc>
        <w:tc>
          <w:tcPr>
            <w:tcW w:w="138" w:type="dxa"/>
            <w:tcBorders/>
            <w:shd w:fill="CCEEFF" w:val="clear"/>
            <w:vAlign w:val="center"/>
          </w:tcPr>
          <w:p>
            <w:pPr>
              <w:pStyle w:val="TableContents"/>
              <w:bidi w:val="0"/>
              <w:spacing w:before="0" w:after="283"/>
              <w:jc w:val="left"/>
              <w:rPr/>
            </w:pPr>
            <w:r>
              <w:rPr/>
              <w:t> </w:t>
            </w:r>
          </w:p>
        </w:tc>
      </w:tr>
      <w:tr>
        <w:trPr/>
        <w:tc>
          <w:tcPr>
            <w:tcW w:w="1333" w:type="dxa"/>
            <w:tcBorders/>
            <w:shd w:fill="CCEEFF" w:val="clear"/>
            <w:vAlign w:val="center"/>
          </w:tcPr>
          <w:p>
            <w:pPr>
              <w:pStyle w:val="TableContents"/>
              <w:bidi w:val="0"/>
              <w:spacing w:before="0" w:after="283"/>
              <w:jc w:val="left"/>
              <w:rPr>
                <w:i/>
              </w:rPr>
            </w:pPr>
            <w:r>
              <w:rPr>
                <w:i/>
              </w:rPr>
              <w:t>President and Chief Operating Officer</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2024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190,909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185,000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5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375,909</w:t>
            </w:r>
          </w:p>
        </w:tc>
        <w:tc>
          <w:tcPr>
            <w:tcW w:w="138" w:type="dxa"/>
            <w:tcBorders/>
            <w:shd w:fill="CCEEFF" w:val="clear"/>
            <w:vAlign w:val="center"/>
          </w:tcPr>
          <w:p>
            <w:pPr>
              <w:pStyle w:val="TableContents"/>
              <w:bidi w:val="0"/>
              <w:spacing w:before="0" w:after="283"/>
              <w:jc w:val="left"/>
              <w:rPr/>
            </w:pPr>
            <w:r>
              <w:rPr/>
              <w:t> </w:t>
            </w:r>
          </w:p>
        </w:tc>
      </w:tr>
      <w:tr>
        <w:trPr/>
        <w:tc>
          <w:tcPr>
            <w:tcW w:w="133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5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1333" w:type="dxa"/>
            <w:tcBorders/>
            <w:shd w:fill="CCEEFF" w:val="clear"/>
            <w:vAlign w:val="center"/>
          </w:tcPr>
          <w:p>
            <w:pPr>
              <w:pStyle w:val="TableContents"/>
              <w:bidi w:val="0"/>
              <w:spacing w:before="0" w:after="283"/>
              <w:jc w:val="left"/>
              <w:rPr/>
            </w:pPr>
            <w:r>
              <w:rPr/>
              <w:t>Gerald Ratigan (4)</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2025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75,694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6" w:type="dxa"/>
            <w:tcBorders/>
            <w:shd w:fill="CCEEFF" w:val="clear"/>
            <w:vAlign w:val="center"/>
          </w:tcPr>
          <w:p>
            <w:pPr>
              <w:pStyle w:val="TableContents"/>
              <w:bidi w:val="0"/>
              <w:spacing w:before="0" w:after="283"/>
              <w:jc w:val="right"/>
              <w:rPr/>
            </w:pPr>
            <w:r>
              <w:rPr/>
              <w:t>194,174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526" w:type="dxa"/>
            <w:tcBorders/>
            <w:shd w:fill="CCEEFF" w:val="clear"/>
            <w:vAlign w:val="center"/>
          </w:tcPr>
          <w:p>
            <w:pPr>
              <w:pStyle w:val="TableContents"/>
              <w:bidi w:val="0"/>
              <w:spacing w:before="0" w:after="283"/>
              <w:jc w:val="right"/>
              <w:rPr/>
            </w:pPr>
            <w:r>
              <w:rPr/>
              <w:t>50,000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319,868</w:t>
            </w:r>
          </w:p>
        </w:tc>
        <w:tc>
          <w:tcPr>
            <w:tcW w:w="138" w:type="dxa"/>
            <w:tcBorders/>
            <w:shd w:fill="CCEEFF" w:val="clear"/>
            <w:vAlign w:val="center"/>
          </w:tcPr>
          <w:p>
            <w:pPr>
              <w:pStyle w:val="TableContents"/>
              <w:bidi w:val="0"/>
              <w:spacing w:before="0" w:after="283"/>
              <w:jc w:val="left"/>
              <w:rPr/>
            </w:pPr>
            <w:r>
              <w:rPr/>
              <w:t> </w:t>
            </w:r>
          </w:p>
        </w:tc>
      </w:tr>
      <w:tr>
        <w:trPr/>
        <w:tc>
          <w:tcPr>
            <w:tcW w:w="1333" w:type="dxa"/>
            <w:tcBorders/>
            <w:shd w:fill="CCEEFF" w:val="clear"/>
            <w:vAlign w:val="center"/>
          </w:tcPr>
          <w:p>
            <w:pPr>
              <w:pStyle w:val="TableContents"/>
              <w:bidi w:val="0"/>
              <w:spacing w:before="0" w:after="283"/>
              <w:jc w:val="left"/>
              <w:rPr>
                <w:i/>
              </w:rPr>
            </w:pPr>
            <w:r>
              <w:rPr>
                <w:i/>
              </w:rPr>
              <w:t>Former Chief Financial Officer</w:t>
            </w:r>
          </w:p>
        </w:tc>
        <w:tc>
          <w:tcPr>
            <w:tcW w:w="9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2024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526"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w:t>
            </w:r>
          </w:p>
        </w:tc>
        <w:tc>
          <w:tcPr>
            <w:tcW w:w="138"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ind w:left="0" w:right="0" w:hanging="375"/>
        <w:jc w:val="both"/>
        <w:rPr>
          <w:rFonts w:ascii="Times New Roman" w:hAnsi="Times New Roman"/>
          <w:sz w:val="20"/>
        </w:rPr>
      </w:pPr>
      <w:r>
        <w:rPr>
          <w:rFonts w:ascii="Times New Roman" w:hAnsi="Times New Roman"/>
          <w:sz w:val="20"/>
        </w:rPr>
        <w:t>(1)   A</w:t>
      </w:r>
      <w:r>
        <w:rPr>
          <w:rFonts w:ascii="Times New Roman" w:hAnsi="Times New Roman"/>
          <w:spacing w:val="0"/>
          <w:sz w:val="20"/>
        </w:rPr>
        <w:t>mounts reported in this column do not reflect the amounts actually received by our named executive officers. Instead, these amounts reflect the aggregate grant date fair value of restricted stock units (“RSUs”) granted to the named executive officers during each fiscal year, as computed in accordance with the Financial Accounting Standards Board Accounting Standards Codification 718 (“ASC 718”). Assumptions used in the calculation of these amounts are included in the notes to our financial statements included in this Annual Report. As required by SEC rules, the amounts shown exclude the impact of estimated forfeitures related to service-based vesting conditions. Specifically, the number in the table above includes:</w:t>
      </w:r>
    </w:p>
    <w:p>
      <w:pPr>
        <w:pStyle w:val="TextBody"/>
        <w:bidi w:val="0"/>
        <w:spacing w:before="0" w:after="283"/>
        <w:jc w:val="left"/>
        <w:rPr/>
      </w:pPr>
      <w:r>
        <w:rPr/>
        <w:t> </w:t>
      </w:r>
    </w:p>
    <w:p>
      <w:pPr>
        <w:pStyle w:val="TextBody"/>
        <w:numPr>
          <w:ilvl w:val="0"/>
          <w:numId w:val="80"/>
        </w:numPr>
        <w:tabs>
          <w:tab w:val="clear" w:pos="1134"/>
          <w:tab w:val="left" w:pos="1429" w:leader="none"/>
        </w:tabs>
        <w:bidi w:val="0"/>
        <w:spacing w:before="0" w:after="0"/>
        <w:ind w:left="1429" w:right="0" w:hanging="433"/>
        <w:jc w:val="both"/>
        <w:rPr>
          <w:rFonts w:ascii="Times New Roman" w:hAnsi="Times New Roman"/>
          <w:spacing w:val="0"/>
          <w:sz w:val="20"/>
        </w:rPr>
      </w:pPr>
      <w:r>
        <w:rPr>
          <w:rFonts w:ascii="Times New Roman" w:hAnsi="Times New Roman"/>
          <w:spacing w:val="0"/>
          <w:sz w:val="20"/>
        </w:rPr>
        <w:t xml:space="preserve">for Mr. Cohen, RSUs granted in February 2025 in connection with his continued service as Chief Executive Officer; and </w:t>
      </w:r>
    </w:p>
    <w:p>
      <w:pPr>
        <w:pStyle w:val="TextBody"/>
        <w:numPr>
          <w:ilvl w:val="0"/>
          <w:numId w:val="80"/>
        </w:numPr>
        <w:tabs>
          <w:tab w:val="clear" w:pos="1134"/>
          <w:tab w:val="left" w:pos="1429" w:leader="none"/>
        </w:tabs>
        <w:bidi w:val="0"/>
        <w:spacing w:before="0" w:after="0"/>
        <w:ind w:left="1429" w:right="0" w:hanging="433"/>
        <w:jc w:val="both"/>
        <w:rPr>
          <w:rFonts w:ascii="Times New Roman" w:hAnsi="Times New Roman"/>
          <w:spacing w:val="0"/>
          <w:sz w:val="20"/>
        </w:rPr>
      </w:pPr>
      <w:r>
        <w:rPr>
          <w:rFonts w:ascii="Times New Roman" w:hAnsi="Times New Roman"/>
          <w:spacing w:val="0"/>
          <w:sz w:val="20"/>
        </w:rPr>
        <w:t xml:space="preserve">for Mr. Novick, RSUs granted in February 2025 in connection with his continued service as Chief Operating Officer; and </w:t>
      </w:r>
    </w:p>
    <w:p>
      <w:pPr>
        <w:pStyle w:val="TextBody"/>
        <w:numPr>
          <w:ilvl w:val="0"/>
          <w:numId w:val="80"/>
        </w:numPr>
        <w:tabs>
          <w:tab w:val="clear" w:pos="1134"/>
          <w:tab w:val="left" w:pos="1429" w:leader="none"/>
        </w:tabs>
        <w:bidi w:val="0"/>
        <w:ind w:left="1429" w:right="0" w:hanging="433"/>
        <w:jc w:val="both"/>
        <w:rPr>
          <w:rFonts w:ascii="Times New Roman" w:hAnsi="Times New Roman"/>
          <w:sz w:val="20"/>
        </w:rPr>
      </w:pPr>
      <w:r>
        <w:rPr>
          <w:rFonts w:ascii="Times New Roman" w:hAnsi="Times New Roman"/>
          <w:spacing w:val="0"/>
          <w:sz w:val="20"/>
        </w:rPr>
        <w:t>for Mr. Cohen, RSUs granted in January 2024 for continued services as a member of the Board ($5,261 of the $1,764,753 relating to such continued services as a member of the Board) and as Chief Executive Officer and RSUs granted in October 2023, as part of an inducement grant in connection with being named Chief Executive Officer</w:t>
      </w:r>
      <w:r>
        <w:rPr>
          <w:rFonts w:ascii="Times New Roman" w:hAnsi="Times New Roman"/>
          <w:sz w:val="20"/>
        </w:rPr>
        <w:t xml:space="preserve"> </w:t>
      </w:r>
    </w:p>
    <w:p>
      <w:pPr>
        <w:pStyle w:val="TextBody"/>
        <w:bidi w:val="0"/>
        <w:spacing w:before="0" w:after="0"/>
        <w:jc w:val="both"/>
        <w:rPr/>
      </w:pPr>
      <w:r>
        <w:rPr/>
        <w:t> </w:t>
      </w:r>
    </w:p>
    <w:p>
      <w:pPr>
        <w:pStyle w:val="TextBody"/>
        <w:bidi w:val="0"/>
        <w:spacing w:before="0" w:after="0"/>
        <w:ind w:left="0" w:right="0" w:hanging="375"/>
        <w:jc w:val="both"/>
        <w:rPr>
          <w:rFonts w:ascii="Times New Roman" w:hAnsi="Times New Roman"/>
          <w:sz w:val="20"/>
        </w:rPr>
      </w:pPr>
      <w:r>
        <w:rPr>
          <w:rFonts w:ascii="Times New Roman" w:hAnsi="Times New Roman"/>
          <w:sz w:val="20"/>
        </w:rPr>
        <w:t>(2)   </w:t>
      </w:r>
      <w:r>
        <w:rPr>
          <w:rFonts w:ascii="Times New Roman" w:hAnsi="Times New Roman"/>
          <w:spacing w:val="0"/>
          <w:sz w:val="20"/>
        </w:rPr>
        <w:t>Amounts reported in this column do not reflect the amounts actually received by our named executive officers. Instead, these amounts reflect the aggregate grant date fair value of each stock option granted to the named executive officers during each fiscal year, as computed in accordance with ASC 718. Assumptions used in the calculation of these amounts are included in the notes to our financial statements included in our Annual Report. As required by SEC rules, the amounts shown exclude the impact of estimated forfeitures related to service-based vesting conditions. Our named executive officers will only realize compensation to the extent the trading price of our Common Stock is greater than the exercise price of such stock options. Specifically, the number in the table above includes:</w:t>
      </w:r>
    </w:p>
    <w:p>
      <w:pPr>
        <w:pStyle w:val="TextBody"/>
        <w:bidi w:val="0"/>
        <w:spacing w:before="0" w:after="283"/>
        <w:jc w:val="left"/>
        <w:rPr/>
      </w:pPr>
      <w:r>
        <w:rPr/>
        <w:t> </w:t>
      </w:r>
    </w:p>
    <w:p>
      <w:pPr>
        <w:pStyle w:val="TextBody"/>
        <w:numPr>
          <w:ilvl w:val="0"/>
          <w:numId w:val="81"/>
        </w:numPr>
        <w:tabs>
          <w:tab w:val="clear" w:pos="1134"/>
          <w:tab w:val="left" w:pos="1429" w:leader="none"/>
        </w:tabs>
        <w:bidi w:val="0"/>
        <w:spacing w:before="0" w:after="0"/>
        <w:ind w:left="1429" w:right="0" w:hanging="283"/>
        <w:jc w:val="both"/>
        <w:rPr>
          <w:rFonts w:ascii="Times New Roman" w:hAnsi="Times New Roman"/>
          <w:spacing w:val="0"/>
          <w:sz w:val="20"/>
          <w:shd w:fill="FFFFFF" w:val="clear"/>
        </w:rPr>
      </w:pPr>
      <w:r>
        <w:rPr>
          <w:rFonts w:ascii="Times New Roman" w:hAnsi="Times New Roman"/>
          <w:spacing w:val="0"/>
          <w:sz w:val="20"/>
          <w:shd w:fill="FFFFFF" w:val="clear"/>
        </w:rPr>
        <w:t xml:space="preserve">for Mr. Cohen, options granted in February 2025 in connection with his continued service as Chief Executive Officer; and </w:t>
      </w:r>
    </w:p>
    <w:p>
      <w:pPr>
        <w:pStyle w:val="TextBody"/>
        <w:numPr>
          <w:ilvl w:val="0"/>
          <w:numId w:val="81"/>
        </w:numPr>
        <w:tabs>
          <w:tab w:val="clear" w:pos="1134"/>
          <w:tab w:val="left" w:pos="1429" w:leader="none"/>
        </w:tabs>
        <w:bidi w:val="0"/>
        <w:spacing w:before="0" w:after="0"/>
        <w:ind w:left="1429" w:right="0" w:hanging="283"/>
        <w:jc w:val="both"/>
        <w:rPr>
          <w:rFonts w:ascii="Times New Roman" w:hAnsi="Times New Roman"/>
          <w:spacing w:val="0"/>
          <w:sz w:val="20"/>
          <w:shd w:fill="FFFFFF" w:val="clear"/>
        </w:rPr>
      </w:pPr>
      <w:r>
        <w:rPr>
          <w:rFonts w:ascii="Times New Roman" w:hAnsi="Times New Roman"/>
          <w:spacing w:val="0"/>
          <w:sz w:val="20"/>
          <w:shd w:fill="FFFFFF" w:val="clear"/>
        </w:rPr>
        <w:t xml:space="preserve">for Mr. Novick, options granted in February 2025 in connection with his continued service as Chief Operating Officer; and </w:t>
      </w:r>
    </w:p>
    <w:p>
      <w:pPr>
        <w:pStyle w:val="TextBody"/>
        <w:numPr>
          <w:ilvl w:val="0"/>
          <w:numId w:val="81"/>
        </w:numPr>
        <w:tabs>
          <w:tab w:val="clear" w:pos="1134"/>
          <w:tab w:val="left" w:pos="1429" w:leader="none"/>
        </w:tabs>
        <w:bidi w:val="0"/>
        <w:ind w:left="1429" w:right="0" w:hanging="283"/>
        <w:jc w:val="both"/>
        <w:rPr>
          <w:rFonts w:ascii="Times New Roman" w:hAnsi="Times New Roman"/>
          <w:spacing w:val="0"/>
          <w:sz w:val="20"/>
          <w:shd w:fill="FFFFFF" w:val="clear"/>
        </w:rPr>
      </w:pPr>
      <w:r>
        <w:rPr>
          <w:rFonts w:ascii="Times New Roman" w:hAnsi="Times New Roman"/>
          <w:spacing w:val="0"/>
          <w:sz w:val="20"/>
          <w:shd w:fill="FFFFFF" w:val="clear"/>
        </w:rPr>
        <w:t xml:space="preserve">for Mr. Ratigan, options granted in June 2025 in connection with his employment with the Company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(3)   </w:t>
      </w:r>
      <w:r>
        <w:rPr>
          <w:rFonts w:ascii="Times New Roman" w:hAnsi="Times New Roman"/>
          <w:spacing w:val="0"/>
          <w:sz w:val="20"/>
        </w:rPr>
        <w:t>Amounts reported in this column represent other compensation paid to named executive officers.</w:t>
      </w:r>
    </w:p>
    <w:p>
      <w:pPr>
        <w:pStyle w:val="TextBody"/>
        <w:bidi w:val="0"/>
        <w:spacing w:before="0" w:after="0"/>
        <w:ind w:left="0" w:right="0" w:hanging="540"/>
        <w:jc w:val="both"/>
        <w:rPr/>
      </w:pPr>
      <w:r>
        <w:rPr/>
        <w:t xml:space="preserve">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42900" cy="175260"/>
                <wp:effectExtent l="0" t="0" r="0" b="0"/>
                <wp:wrapSquare wrapText="right"/>
                <wp:docPr id="2" name="Frame1"/>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w:t>
                      </w:r>
                    </w:p>
                  </w:txbxContent>
                </v:textbox>
                <w10:wrap type="square" side="right"/>
              </v:rect>
            </w:pict>
          </mc:Fallback>
        </mc:AlternateContent>
      </w:r>
    </w:p>
    <w:p>
      <w:pPr>
        <w:pStyle w:val="TextBody"/>
        <w:bidi w:val="0"/>
        <w:spacing w:before="0" w:after="0"/>
        <w:jc w:val="left"/>
        <w:rPr>
          <w:rFonts w:ascii="Times New Roman" w:hAnsi="Times New Roman"/>
          <w:sz w:val="20"/>
        </w:rPr>
      </w:pPr>
      <w:r>
        <w:rPr>
          <w:rFonts w:ascii="Times New Roman" w:hAnsi="Times New Roman"/>
          <w:sz w:val="20"/>
        </w:rPr>
        <w:t>(4)   </w:t>
      </w:r>
      <w:r>
        <w:rPr>
          <w:rFonts w:ascii="Times New Roman" w:hAnsi="Times New Roman"/>
          <w:spacing w:val="0"/>
          <w:sz w:val="20"/>
        </w:rPr>
        <w:t>Gerald Ratigan served as the Company’s Chief Financial Officer from June 23, 2025, to October 24, 2025.</w:t>
      </w:r>
    </w:p>
    <w:p>
      <w:pPr>
        <w:pStyle w:val="TextBody"/>
        <w:bidi w:val="0"/>
        <w:spacing w:before="0" w:after="0"/>
        <w:ind w:left="540" w:right="0" w:hanging="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64</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b/>
          <w:sz w:val="20"/>
        </w:rPr>
      </w:pPr>
      <w:r>
        <w:rPr>
          <w:rFonts w:ascii="Times New Roman" w:hAnsi="Times New Roman"/>
          <w:b/>
          <w:sz w:val="20"/>
        </w:rPr>
        <w:t>Employment Arrangements - Potential Payments Upon Termination or Change-in-Control</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Scot Cohen.</w:t>
      </w:r>
      <w:r>
        <w:rPr>
          <w:rFonts w:ascii="Times New Roman" w:hAnsi="Times New Roman"/>
          <w:sz w:val="24"/>
        </w:rPr>
        <w:t xml:space="preserve"> </w:t>
      </w:r>
      <w:r>
        <w:rPr>
          <w:rFonts w:ascii="Times New Roman" w:hAnsi="Times New Roman"/>
          <w:sz w:val="20"/>
        </w:rPr>
        <w:t>On October 12, 2023, the Board of Directors appointed Scot Cohen to the position of Executive Chairman, effective October 12, 2023. On October 25, 2025, the Board of the Company appointed Scot Cohen to the position of Chief Executive Officer, Principal Executive Officer, Principal Financial Officer and Principal Accounting Officer.</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In connection with Mr. Cohen’s appointment as Executive Chairman, the Company and Mr. Cohen entered into an agreement on October 12, 2023 (the “Cohen Employment Agreement”). Pursuant to the Cohen Employment Agreement, unless earlier terminated pursuant to the terms therein, Mr. Cohen will serve as the Company’s Executive Chairman for an initial term of two years from the effective date of his appointment (the “Initial Term”). On the second anniversary of such effective date of appointment (if Mr. Cohen’s employment has not been earlier terminated), and on each subsequent anniversary thereafter, the Cohen Employment Agreement will automatically renew and extend for a period of twelve (12) months (each such twelve (12)-month period, a “Renewal Term”) unless written notice of non-renewal is delivered by either party to the other not less than sixty (60) days prior to the expiration of the then-existing Initial Term or Renewal Term, as applicable, or the Cohen Employment Agreement has been earlier terminated in accordance with its terms. As compensation for Mr. Cohen’s services to the Company, the Cohen Employment Agreement entitles Mr. Cohen to an annualized base salary of $200,000 (the “Base Salary”) and eligibility to participate in customary benefits offered to other executives of the Company. In the event Mr. Cohen’s employment is terminated by either party for any reason, Mr. Cohen will be entitled to: (i) any earned but unpaid Base Salary earned during his employment and applicable to all pay periods prior to the termination date; (ii) any documented and actually incurred unreimbursed business expenses, so long as Mr. Cohen makes any reimbursement request within 30 days following termination; and (iii) any employee benefits to which Mr. Cohen may be entitled under the Company’s employee benefit plans or programs in which Mr. Cohen participates as of the date of termination of Mr. Cohen’s employment. If Mr. Cohen’s employment is terminated by the Company without Cause (as defined in the Cohen Employment Agreement), or by Mr. Cohen for Good Reason (as defined in the Cohen Employment Agreement), or upon the end of the Initial Term or a Renewal Term, as applicable, as the result of the Company’s issuance of a notice of non-renewal, then, subject to certain conditions set forth in the Cohen Employment Agreement (including the execution and non-revocation of a general release of claims), Mr. Cohen will be entitled to: (i) severance payments in a total amount equal to 12 months’ worth of the Base Salary; (ii) any earned but unpaid annual bonus in respect of any completed year that has ended prior to the date of termination; and (iii) receive reimbursement, for a period of up to 12 months, for a portion of the premiums that Mr. Cohen elects to pay for continuation coverage under the Company’s group health plans pursuant to the Consolidated Omnibus Budget Reconciliation Act of 1985, subject to Mr. Cohen’s timely submission of applicable documentation.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December 12, 2023, the Board appointed Mr. Cohen to the position of Principal Executive Officer. On January 14, 2024, the Board appointed Mr. Cohen, who previously served as the Company’s Executive Chairman and Principal Executive Officer, to the position of Executive Chairman and Chief Executive Officer. In connection therewith, the Company and Mr. Cohen entered into an amendment, dated January 14, 2024, to the Cohen Employment Agreement, dated October 12, 2023, to, among other things, reflect Mr. Cohen’s new title. On April 5, 2024, the Board appointed Mr. Cohen to the position of Interim Principal Financial Officer and Principal Accounting Officer. In connection with the appointment of Mr. Ratigan as Chief Financial Officer, principal accounting officer and principal financial officer of the Company, on June 23, 2025, Mr. Cohen was appointed as Executive Chairman, Chief Executive Officer and Principal Executive Officer of the Company. In connection with the mutual separation of Mr. Ratigan from the Company, on October 24, 2025, Mr. Cohen was appointed as interim Principal Accounting Officer and Principal Financial Officer. Mr. Cohen currently serves as Executive Chairman, Chief Executive Officer, Principal Executive Officer, Principal Accounting Officer and Principal Financial Officer of the Company.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Jared Novick.</w:t>
      </w:r>
      <w:r>
        <w:rPr>
          <w:rFonts w:ascii="Times New Roman" w:hAnsi="Times New Roman"/>
          <w:sz w:val="24"/>
        </w:rPr>
        <w:t xml:space="preserve"> </w:t>
      </w:r>
      <w:r>
        <w:rPr>
          <w:rFonts w:ascii="Times New Roman" w:hAnsi="Times New Roman"/>
          <w:sz w:val="20"/>
        </w:rPr>
        <w:t>On December 26, 2023, the Board of appointed Jared Novick to the position of Chief Operating Officer. In connection with Mr. Novick’s appointment, on December 26, 2023 (the “Novick Effective Date”), the Company entered into an employment agreement (the “Novick Employment Agreement”) with Mr. Novick setting forth the terms and conditions of Mr. Novick’s employment as the Company’s Chief Operating Officer. Pursuant to the Novick Employment Agreement, Mr. Novick will serve as the Chief Operating Officer of the Company for a two-year initial term commencing on the Effective Date, which term automatically renews each year for successive one-year terms, unless earlier terminated by either party in accordance with the terms of the Novick Employment Agreement.</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65</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sz w:val="20"/>
        </w:rPr>
        <w:t>The Novick Employment Agreement provides that Mr. Novick will be entitled to receive an annual base salary of two hundred thousand dollars ($200,000) (“COO Base Salary”), payable in equal installments pursuant to the Company’s customary payroll practices. Mr. Novick is entitled to a one-time sign-on bonus of $75,000, payable in two equal installments as follows, subject to Mr. Novick’s continued service on such dates: (i) 50% on the first payroll date following the Novick Effective Date, and (ii) 50% on the first payroll date following the six-month anniversary of the Novick Effective Date. Mr. Novick is also eligible to receive for each fiscal year during the term of his employment, an annual discretionary bonus, with the actual amount determined by the Board in its sole discretion (“Annual Bonus”), payable prior to March 15 of the fiscal year following the fiscal year to which the bonus relates. The Novick Employment Agreement also entitles Mr. Novick to receive customary benefits and reimbursement for reasonable out-of-pocket business expenses.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Company may terminate Mr. Novick’s employment due to death or disability, for cause (as defined in the Novick Employment Agreement) at any time, and without cause at any time upon written notice. Mr. Novick may terminate his employment without good reason (as defined in the Novick Employment Agreement) at any time upon thirty days’ written notice or with good reason, which requires delivery of a written notice to the Board of the existence of condition(s) giving rise to the good reason within forty-five days after the initial occurrence of such condition(s), and failure of the Company to cure such condition(s) within thirty days following the Board's receipt of such notice.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If Mr. Novick’s employment is terminated by either the Company or Mr. Novick for any reason, Mr. Novick shall receive any earned but unpaid COO Base Salary and expenses required to be reimbursed pursuant to the Novick Employment Agreement and any employee benefits Mr. Novick is entitled to under the Company’s employee benefit plans or programs in which Mr. Novick participates. In addition, if Mr. Novick’s employment is terminated by the Company without Cause (as defined in the Novick Employment Agreement) or upon non-renewal or by Mr. Novick for good reason (as defined in the Novick Employment Agreement), then, subject to compliance with the restrictive covenants set forth in the Novick Employment Agreement and the execution of a release of claims in favor of the Company, the Company will pay the following severance payments and benefits: (i) an amount equal to twelve months’ COO Base Salary, payable in equal monthly installments over a twelve-month severance period; (ii) an amount equal to any earned, but unpaid, Annual Bonus for services rendered during the year preceding the date of termination; and (iii) an amount intended to assist Mr. Novick with his post-termination health coverage, provided however, he is under no obligation to use such amounts to pay for continuation of coverage under the Company’s group health plan pursuant to COBRA.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March 10, 2025, the Board appointed Mr. Novick to the position of President and Chief Operating Officer. Mr. Novick will not be provided any additional compensation for his service as President and Chief Operating Officer. The terms of the Novick Employment Agreement have not changed in connection with Mr. Novick’s appointment as President and Chief Operating Officer of the Company.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Gerald Ratigan.</w:t>
      </w:r>
      <w:r>
        <w:rPr>
          <w:rFonts w:ascii="Times New Roman" w:hAnsi="Times New Roman"/>
          <w:sz w:val="20"/>
        </w:rPr>
        <w:t xml:space="preserve"> In June 2025, the Board appointed Mr. Ratigan to the position of Chief Financial Officer, principal accounting officer and principal financial officer of the Company. Beginning June 2025 through October 2025, Mr. Ratigan was paid a base salary equal to $200,000 for his service as Chief Financial Officer, principal accounting officer and principal financial officer of the Company, and on June 23, 2025, was granted stock options to purchase up to 200,000 shares of the Company’s Common Stock, at an exercise price equal to $1.41, which was the closing price of the Company’s Common Stock on the day prior to the grant, which would have vest in four substantially equal installments on each annual anniversary of the date of grant, provided that Mr. Ratigan was employed by or providing services to the Company through the applicable vesting date. In addition, Mr. Ratigan was eligible to receive an annual bonus based on performance targets set at the discretion of the Board. On October 21, 2025, the Company and Mr. Ratigan, mutually agreed to the separation of Mr. Ratigan from such roles, effective as of October 24, 2025. The terms of Mr. Ratigan’s separation from the Company have been memorialized pursuant to a General Release and Severance Agreement, dated as of October 21, 2025, which was executed by the Company and Mr. Ratigan on October 24, 2025 (the “Ratigan Separation Agreement”). Pursuant to the Ratigan Separation Agreement, Mr. Ratigan received a severance payment in an amount equal to $50,000, representing three months of Mr. Ratigan’s base salary, less all lawful and authorized withholdings and deductions, payable in a lump sum on the Company’s first regular pay date following the Effective Date (as defined in the Ratigan Separation Agreement). In exchange for the consideration provided to Mr. Ratigan in the Ratigan Separation Agreement, Mr. Ratigan agreed to waive and release any claims in connection with Mr. Ratigan’s employment and separation from the Company.</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66</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b/>
          <w:sz w:val="20"/>
        </w:rPr>
        <w:t>Outstanding Equity Awards at 2025 Fiscal Year-End</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following table sets forth information concerning outstanding equity awards held by each of our named executive officers as of December 31, 2025.</w:t>
      </w:r>
      <w:r>
        <w:rPr>
          <w:rFonts w:ascii="Times New Roman" w:hAnsi="Times New Roman"/>
          <w:sz w:val="24"/>
        </w:rPr>
        <w:t xml:space="preserve"> </w:t>
      </w:r>
    </w:p>
    <w:p>
      <w:pPr>
        <w:pStyle w:val="TextBody"/>
        <w:bidi w:val="0"/>
        <w:spacing w:before="0" w:after="0"/>
        <w:jc w:val="both"/>
        <w:rPr/>
      </w:pPr>
      <w:r>
        <w:rPr/>
        <w:t> </w:t>
      </w:r>
    </w:p>
    <w:tbl>
      <w:tblPr>
        <w:tblW w:w="13560" w:type="dxa"/>
        <w:jc w:val="left"/>
        <w:tblInd w:w="0" w:type="dxa"/>
        <w:tblLayout w:type="fixed"/>
        <w:tblCellMar>
          <w:top w:w="0" w:type="dxa"/>
          <w:left w:w="0" w:type="dxa"/>
          <w:bottom w:w="0" w:type="dxa"/>
          <w:right w:w="0" w:type="dxa"/>
        </w:tblCellMar>
      </w:tblPr>
      <w:tblGrid>
        <w:gridCol w:w="815"/>
        <w:gridCol w:w="90"/>
        <w:gridCol w:w="590"/>
        <w:gridCol w:w="90"/>
        <w:gridCol w:w="90"/>
        <w:gridCol w:w="1475"/>
        <w:gridCol w:w="90"/>
        <w:gridCol w:w="245"/>
        <w:gridCol w:w="90"/>
        <w:gridCol w:w="90"/>
        <w:gridCol w:w="1730"/>
        <w:gridCol w:w="90"/>
        <w:gridCol w:w="245"/>
        <w:gridCol w:w="90"/>
        <w:gridCol w:w="170"/>
        <w:gridCol w:w="860"/>
        <w:gridCol w:w="90"/>
        <w:gridCol w:w="90"/>
        <w:gridCol w:w="1040"/>
        <w:gridCol w:w="90"/>
        <w:gridCol w:w="170"/>
        <w:gridCol w:w="830"/>
        <w:gridCol w:w="90"/>
        <w:gridCol w:w="245"/>
        <w:gridCol w:w="90"/>
        <w:gridCol w:w="170"/>
        <w:gridCol w:w="1010"/>
        <w:gridCol w:w="90"/>
        <w:gridCol w:w="90"/>
        <w:gridCol w:w="170"/>
        <w:gridCol w:w="980"/>
        <w:gridCol w:w="90"/>
        <w:gridCol w:w="90"/>
        <w:gridCol w:w="170"/>
        <w:gridCol w:w="980"/>
        <w:gridCol w:w="135"/>
      </w:tblGrid>
      <w:tr>
        <w:trPr/>
        <w:tc>
          <w:tcPr>
            <w:tcW w:w="81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r>
      <w:tr>
        <w:trPr/>
        <w:tc>
          <w:tcPr>
            <w:tcW w:w="815" w:type="dxa"/>
            <w:tcBorders>
              <w:bottom w:val="single" w:sz="2" w:space="0" w:color="000000"/>
            </w:tcBorders>
            <w:tcMar>
              <w:bottom w:w="28" w:type="dxa"/>
            </w:tcMar>
            <w:vAlign w:val="center"/>
          </w:tcPr>
          <w:p>
            <w:pPr>
              <w:pStyle w:val="TableContents"/>
              <w:bidi w:val="0"/>
              <w:spacing w:before="0" w:after="283"/>
              <w:jc w:val="center"/>
              <w:rPr/>
            </w:pPr>
            <w:r>
              <w:rPr/>
              <w:t>Option Awards</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5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47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24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73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24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86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4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bottom w:val="single" w:sz="2" w:space="0" w:color="000000"/>
            </w:tcBorders>
            <w:tcMar>
              <w:bottom w:w="28" w:type="dxa"/>
            </w:tcMar>
            <w:vAlign w:val="center"/>
          </w:tcPr>
          <w:p>
            <w:pPr>
              <w:pStyle w:val="TableContents"/>
              <w:bidi w:val="0"/>
              <w:spacing w:before="0" w:after="283"/>
              <w:jc w:val="center"/>
              <w:rPr/>
            </w:pPr>
            <w:r>
              <w:rPr/>
              <w:t>Stock Awards</w:t>
            </w:r>
          </w:p>
        </w:tc>
        <w:tc>
          <w:tcPr>
            <w:tcW w:w="90" w:type="dxa"/>
            <w:tcBorders/>
            <w:vAlign w:val="center"/>
          </w:tcPr>
          <w:p>
            <w:pPr>
              <w:pStyle w:val="TableContents"/>
              <w:bidi w:val="0"/>
              <w:spacing w:before="0" w:after="283"/>
              <w:jc w:val="left"/>
              <w:rPr>
                <w:sz w:val="4"/>
                <w:szCs w:val="4"/>
              </w:rPr>
            </w:pPr>
            <w:r>
              <w:rPr>
                <w:sz w:val="4"/>
                <w:szCs w:val="4"/>
              </w:rPr>
            </w:r>
          </w:p>
        </w:tc>
        <w:tc>
          <w:tcPr>
            <w:tcW w:w="24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01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98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98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5" w:type="dxa"/>
            <w:tcBorders>
              <w:bottom w:val="single" w:sz="2" w:space="0" w:color="000000"/>
            </w:tcBorders>
            <w:tcMar>
              <w:bottom w:w="28" w:type="dxa"/>
            </w:tcMar>
            <w:vAlign w:val="center"/>
          </w:tcPr>
          <w:p>
            <w:pPr>
              <w:pStyle w:val="TableContents"/>
              <w:bidi w:val="0"/>
              <w:spacing w:before="0" w:after="283"/>
              <w:jc w:val="center"/>
              <w:rPr/>
            </w:pPr>
            <w:r>
              <w:rPr/>
              <w:t> </w:t>
            </w:r>
          </w:p>
        </w:tc>
      </w:tr>
      <w:tr>
        <w:trPr/>
        <w:tc>
          <w:tcPr>
            <w:tcW w:w="815" w:type="dxa"/>
            <w:tcBorders>
              <w:bottom w:val="single" w:sz="2" w:space="0" w:color="000000"/>
            </w:tcBorders>
            <w:tcMar>
              <w:bottom w:w="28" w:type="dxa"/>
            </w:tcMar>
            <w:vAlign w:val="center"/>
          </w:tcPr>
          <w:p>
            <w:pPr>
              <w:pStyle w:val="TableContents"/>
              <w:bidi w:val="0"/>
              <w:spacing w:before="0" w:after="283"/>
              <w:jc w:val="left"/>
              <w:rPr/>
            </w:pPr>
            <w:r>
              <w:rPr/>
              <w:t>Name</w:t>
            </w:r>
          </w:p>
        </w:tc>
        <w:tc>
          <w:tcPr>
            <w:tcW w:w="90" w:type="dxa"/>
            <w:tcBorders/>
            <w:vAlign w:val="center"/>
          </w:tcPr>
          <w:p>
            <w:pPr>
              <w:pStyle w:val="TableContents"/>
              <w:bidi w:val="0"/>
              <w:spacing w:before="0" w:after="283"/>
              <w:jc w:val="left"/>
              <w:rPr/>
            </w:pPr>
            <w:r>
              <w:rPr/>
              <w:t> </w:t>
            </w:r>
          </w:p>
        </w:tc>
        <w:tc>
          <w:tcPr>
            <w:tcW w:w="590" w:type="dxa"/>
            <w:tcBorders>
              <w:bottom w:val="single" w:sz="2" w:space="0" w:color="000000"/>
            </w:tcBorders>
            <w:tcMar>
              <w:bottom w:w="28" w:type="dxa"/>
            </w:tcMar>
            <w:vAlign w:val="center"/>
          </w:tcPr>
          <w:p>
            <w:pPr>
              <w:pStyle w:val="TableContents"/>
              <w:bidi w:val="0"/>
              <w:spacing w:before="0" w:after="283"/>
              <w:jc w:val="center"/>
              <w:rPr/>
            </w:pPr>
            <w:r>
              <w:rPr/>
              <w:t>Grant Date</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475" w:type="dxa"/>
            <w:tcBorders>
              <w:bottom w:val="single" w:sz="2" w:space="0" w:color="000000"/>
            </w:tcBorders>
            <w:tcMar>
              <w:bottom w:w="28" w:type="dxa"/>
            </w:tcMar>
            <w:vAlign w:val="center"/>
          </w:tcPr>
          <w:p>
            <w:pPr>
              <w:pStyle w:val="TableContents"/>
              <w:bidi w:val="0"/>
              <w:spacing w:before="0" w:after="283"/>
              <w:jc w:val="center"/>
              <w:rPr/>
            </w:pPr>
            <w:r>
              <w:rPr/>
              <w:t xml:space="preserve">Number of Securities Underlying Unexercised Options (#) Exercisable </w:t>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730" w:type="dxa"/>
            <w:tcBorders>
              <w:bottom w:val="single" w:sz="2" w:space="0" w:color="000000"/>
            </w:tcBorders>
            <w:tcMar>
              <w:bottom w:w="28" w:type="dxa"/>
            </w:tcMar>
            <w:vAlign w:val="center"/>
          </w:tcPr>
          <w:p>
            <w:pPr>
              <w:pStyle w:val="TableContents"/>
              <w:bidi w:val="0"/>
              <w:spacing w:before="0" w:after="283"/>
              <w:jc w:val="center"/>
              <w:rPr/>
            </w:pPr>
            <w:r>
              <w:rPr/>
              <w:t>Number of Securities Underlying Unexercised Options (#) Unexercisable</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860" w:type="dxa"/>
            <w:tcBorders>
              <w:bottom w:val="single" w:sz="2" w:space="0" w:color="000000"/>
            </w:tcBorders>
            <w:tcMar>
              <w:bottom w:w="28" w:type="dxa"/>
            </w:tcMar>
            <w:vAlign w:val="center"/>
          </w:tcPr>
          <w:p>
            <w:pPr>
              <w:pStyle w:val="TableContents"/>
              <w:bidi w:val="0"/>
              <w:spacing w:before="0" w:after="283"/>
              <w:jc w:val="center"/>
              <w:rPr/>
            </w:pPr>
            <w:r>
              <w:rPr/>
              <w:t>Option Exercise Price</w:t>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40" w:type="dxa"/>
            <w:tcBorders>
              <w:bottom w:val="single" w:sz="2" w:space="0" w:color="000000"/>
            </w:tcBorders>
            <w:tcMar>
              <w:bottom w:w="28" w:type="dxa"/>
            </w:tcMar>
            <w:vAlign w:val="center"/>
          </w:tcPr>
          <w:p>
            <w:pPr>
              <w:pStyle w:val="TableContents"/>
              <w:bidi w:val="0"/>
              <w:spacing w:before="0" w:after="283"/>
              <w:jc w:val="center"/>
              <w:rPr/>
            </w:pPr>
            <w:r>
              <w:rPr/>
              <w:t xml:space="preserve">Option Expiration Date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830" w:type="dxa"/>
            <w:tcBorders>
              <w:bottom w:val="single" w:sz="2" w:space="0" w:color="000000"/>
            </w:tcBorders>
            <w:tcMar>
              <w:bottom w:w="28" w:type="dxa"/>
            </w:tcMar>
            <w:vAlign w:val="center"/>
          </w:tcPr>
          <w:p>
            <w:pPr>
              <w:pStyle w:val="TableContents"/>
              <w:bidi w:val="0"/>
              <w:spacing w:before="0" w:after="283"/>
              <w:jc w:val="center"/>
              <w:rPr/>
            </w:pPr>
            <w:r>
              <w:rPr/>
              <w:t>Number of Shares of Stock That Have Not Vested (#)</w:t>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1010" w:type="dxa"/>
            <w:tcBorders>
              <w:bottom w:val="single" w:sz="2" w:space="0" w:color="000000"/>
            </w:tcBorders>
            <w:tcMar>
              <w:bottom w:w="28" w:type="dxa"/>
            </w:tcMar>
            <w:vAlign w:val="center"/>
          </w:tcPr>
          <w:p>
            <w:pPr>
              <w:pStyle w:val="TableContents"/>
              <w:bidi w:val="0"/>
              <w:spacing w:before="0" w:after="283"/>
              <w:jc w:val="left"/>
              <w:rPr/>
            </w:pPr>
            <w:r>
              <w:rPr/>
              <w:t>Market Value of Shares of Stock That Have Not Vested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980" w:type="dxa"/>
            <w:tcBorders>
              <w:bottom w:val="single" w:sz="2" w:space="0" w:color="000000"/>
            </w:tcBorders>
            <w:tcMar>
              <w:bottom w:w="28" w:type="dxa"/>
            </w:tcMar>
            <w:vAlign w:val="center"/>
          </w:tcPr>
          <w:p>
            <w:pPr>
              <w:pStyle w:val="TableContents"/>
              <w:bidi w:val="0"/>
              <w:spacing w:before="0" w:after="283"/>
              <w:jc w:val="center"/>
              <w:rPr/>
            </w:pPr>
            <w:r>
              <w:rPr/>
              <w:t>Equity Incentive Plan Awards: Number of Unearned Shares, Units or Other Rights That Have Not Vested (#)</w:t>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bottom w:val="single" w:sz="2" w:space="0" w:color="000000"/>
            </w:tcBorders>
            <w:tcMar>
              <w:bottom w:w="28" w:type="dxa"/>
            </w:tcMar>
            <w:vAlign w:val="center"/>
          </w:tcPr>
          <w:p>
            <w:pPr>
              <w:pStyle w:val="TableContents"/>
              <w:bidi w:val="0"/>
              <w:spacing w:before="0" w:after="283"/>
              <w:jc w:val="center"/>
              <w:rPr/>
            </w:pPr>
            <w:r>
              <w:rPr/>
              <w:t> </w:t>
            </w:r>
          </w:p>
        </w:tc>
        <w:tc>
          <w:tcPr>
            <w:tcW w:w="980" w:type="dxa"/>
            <w:tcBorders>
              <w:bottom w:val="single" w:sz="2" w:space="0" w:color="000000"/>
            </w:tcBorders>
            <w:tcMar>
              <w:bottom w:w="28" w:type="dxa"/>
            </w:tcMar>
            <w:vAlign w:val="center"/>
          </w:tcPr>
          <w:p>
            <w:pPr>
              <w:pStyle w:val="TableContents"/>
              <w:bidi w:val="0"/>
              <w:spacing w:before="0" w:after="283"/>
              <w:jc w:val="center"/>
              <w:rPr/>
            </w:pPr>
            <w:r>
              <w:rPr/>
              <w:t>Equity Incentive Plan Awards: Market or Payout Value of Unearned Shares, Units or Other Rights That Have Not Vested ($)</w:t>
            </w:r>
          </w:p>
        </w:tc>
        <w:tc>
          <w:tcPr>
            <w:tcW w:w="135" w:type="dxa"/>
            <w:tcBorders>
              <w:bottom w:val="single" w:sz="2" w:space="0" w:color="000000"/>
            </w:tcBorders>
            <w:tcMar>
              <w:bottom w:w="28" w:type="dxa"/>
            </w:tcMar>
            <w:vAlign w:val="center"/>
          </w:tcPr>
          <w:p>
            <w:pPr>
              <w:pStyle w:val="TableContents"/>
              <w:bidi w:val="0"/>
              <w:spacing w:before="0" w:after="283"/>
              <w:jc w:val="center"/>
              <w:rPr/>
            </w:pPr>
            <w:r>
              <w:rPr/>
              <w:t> </w:t>
            </w:r>
          </w:p>
        </w:tc>
      </w:tr>
      <w:tr>
        <w:trPr/>
        <w:tc>
          <w:tcPr>
            <w:tcW w:w="815" w:type="dxa"/>
            <w:tcBorders/>
            <w:shd w:fill="CCEEFF" w:val="clear"/>
            <w:vAlign w:val="center"/>
          </w:tcPr>
          <w:p>
            <w:pPr>
              <w:pStyle w:val="TableContents"/>
              <w:bidi w:val="0"/>
              <w:spacing w:before="0" w:after="283"/>
              <w:jc w:val="left"/>
              <w:rPr/>
            </w:pPr>
            <w:r>
              <w:rPr/>
              <w:t>Scot Cohen</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2/5/2025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 </w:t>
            </w: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pPr>
            <w:r>
              <w:rPr/>
              <w:t>500,000</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(7)</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2/5/2035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3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1/2/2024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632,911</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1,506,328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 </w:t>
            </w: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 </w:t>
            </w:r>
            <w:r>
              <w:rPr/>
              <w:t>- </w:t>
            </w:r>
          </w:p>
        </w:tc>
        <w:tc>
          <w:tcPr>
            <w:tcW w:w="135" w:type="dxa"/>
            <w:tcBorders/>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10/12/2023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241,071</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pPr>
            <w:r>
              <w:rPr/>
              <w:t>241,072</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(2)</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10/12/2033</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 </w:t>
            </w: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 </w:t>
            </w:r>
            <w:r>
              <w:rPr/>
              <w:t>- </w:t>
            </w:r>
          </w:p>
        </w:tc>
        <w:tc>
          <w:tcPr>
            <w:tcW w:w="135" w:type="dxa"/>
            <w:tcBorders/>
            <w:shd w:fill="CCEEFF" w:val="clear"/>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10/12/2023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pPr>
            <w:r>
              <w:rPr/>
              <w:t>430,055</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right"/>
              <w:rPr/>
            </w:pPr>
            <w:r>
              <w:rPr/>
              <w:t>860,111</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(3)</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1.40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10/12/2033</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321,429</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(4)</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765,001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 </w:t>
            </w: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 </w:t>
            </w:r>
            <w:r>
              <w:rPr/>
              <w:t>- </w:t>
            </w:r>
          </w:p>
        </w:tc>
        <w:tc>
          <w:tcPr>
            <w:tcW w:w="135" w:type="dxa"/>
            <w:tcBorders/>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4/1/2021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100,000</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(5)</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5.56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4/1/2031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 </w:t>
            </w: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 </w:t>
            </w:r>
            <w:r>
              <w:rPr/>
              <w:t>- </w:t>
            </w:r>
          </w:p>
        </w:tc>
        <w:tc>
          <w:tcPr>
            <w:tcW w:w="135" w:type="dxa"/>
            <w:tcBorders/>
            <w:shd w:fill="CCEEFF" w:val="clear"/>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815" w:type="dxa"/>
            <w:tcBorders/>
            <w:shd w:fill="CCEEFF" w:val="clear"/>
            <w:vAlign w:val="center"/>
          </w:tcPr>
          <w:p>
            <w:pPr>
              <w:pStyle w:val="TableContents"/>
              <w:bidi w:val="0"/>
              <w:spacing w:before="0" w:after="283"/>
              <w:jc w:val="left"/>
              <w:rPr/>
            </w:pPr>
            <w:r>
              <w:rPr/>
              <w:t>Jared Novick</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center"/>
              <w:rPr/>
            </w:pPr>
            <w:r>
              <w:rPr/>
              <w:t>2/5/2025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1730" w:type="dxa"/>
            <w:tcBorders/>
            <w:shd w:fill="CCEEFF" w:val="clear"/>
            <w:vAlign w:val="center"/>
          </w:tcPr>
          <w:p>
            <w:pPr>
              <w:pStyle w:val="TableContents"/>
              <w:bidi w:val="0"/>
              <w:spacing w:before="0" w:after="283"/>
              <w:jc w:val="right"/>
              <w:rPr/>
            </w:pPr>
            <w:r>
              <w:rPr/>
              <w:t>500,000</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right"/>
              <w:rPr/>
            </w:pPr>
            <w:r>
              <w:rPr/>
              <w:t>(8)</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60" w:type="dxa"/>
            <w:tcBorders/>
            <w:shd w:fill="CCEEFF" w:val="clear"/>
            <w:vAlign w:val="center"/>
          </w:tcPr>
          <w:p>
            <w:pPr>
              <w:pStyle w:val="TableContents"/>
              <w:bidi w:val="0"/>
              <w:spacing w:before="0" w:after="283"/>
              <w:jc w:val="right"/>
              <w:rPr/>
            </w:pPr>
            <w:r>
              <w:rPr/>
              <w:t>1.98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center"/>
              <w:rPr/>
            </w:pPr>
            <w:r>
              <w:rPr/>
              <w:t>2/5/2035</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 </w:t>
            </w: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 </w:t>
            </w:r>
            <w:r>
              <w:rPr/>
              <w:t>- </w:t>
            </w:r>
          </w:p>
        </w:tc>
        <w:tc>
          <w:tcPr>
            <w:tcW w:w="135" w:type="dxa"/>
            <w:tcBorders/>
            <w:shd w:fill="CCEEFF" w:val="clear"/>
            <w:vAlign w:val="center"/>
          </w:tcPr>
          <w:p>
            <w:pPr>
              <w:pStyle w:val="TableContents"/>
              <w:bidi w:val="0"/>
              <w:spacing w:before="0" w:after="283"/>
              <w:jc w:val="left"/>
              <w:rPr/>
            </w:pPr>
            <w:r>
              <w:rPr/>
              <w:t> </w:t>
            </w:r>
          </w:p>
        </w:tc>
      </w:tr>
      <w:tr>
        <w:trPr/>
        <w:tc>
          <w:tcPr>
            <w:tcW w:w="8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12/23/2023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right"/>
              <w:rPr/>
            </w:pPr>
            <w:r>
              <w:rPr/>
              <w:t>166,675</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right"/>
              <w:rPr/>
            </w:pPr>
            <w:r>
              <w:rPr/>
              <w:t>83,325</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(6)</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right"/>
              <w:rPr/>
            </w:pPr>
            <w:r>
              <w:rPr/>
              <w:t>2.51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12/26/2033</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 </w:t>
            </w: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 </w:t>
            </w:r>
            <w:r>
              <w:rPr/>
              <w:t>- </w:t>
            </w:r>
          </w:p>
        </w:tc>
        <w:tc>
          <w:tcPr>
            <w:tcW w:w="135" w:type="dxa"/>
            <w:tcBorders/>
            <w:vAlign w:val="center"/>
          </w:tcPr>
          <w:p>
            <w:pPr>
              <w:pStyle w:val="TableContents"/>
              <w:bidi w:val="0"/>
              <w:spacing w:before="0" w:after="283"/>
              <w:jc w:val="left"/>
              <w:rPr/>
            </w:pPr>
            <w:r>
              <w:rPr/>
              <w:t> </w:t>
            </w:r>
          </w:p>
        </w:tc>
      </w:tr>
    </w:tbl>
    <w:p>
      <w:pPr>
        <w:pStyle w:val="TextBody"/>
        <w:numPr>
          <w:ilvl w:val="0"/>
          <w:numId w:val="82"/>
        </w:numPr>
        <w:tabs>
          <w:tab w:val="clear" w:pos="1134"/>
          <w:tab w:val="left" w:pos="709" w:leader="none"/>
        </w:tabs>
        <w:bidi w:val="0"/>
        <w:spacing w:before="0" w:after="0"/>
        <w:ind w:left="709" w:hanging="283"/>
        <w:jc w:val="both"/>
        <w:rPr>
          <w:rFonts w:ascii="Times New Roman" w:hAnsi="Times New Roman"/>
          <w:spacing w:val="0"/>
          <w:sz w:val="20"/>
        </w:rPr>
      </w:pPr>
      <w:r>
        <w:rPr>
          <w:rFonts w:ascii="Times New Roman" w:hAnsi="Times New Roman"/>
          <w:spacing w:val="0"/>
          <w:sz w:val="20"/>
        </w:rPr>
        <w:t xml:space="preserve">The market value is computed based on the closing market price of our Common Stock on December 31, 2025, of $2.38 per share. </w:t>
      </w:r>
    </w:p>
    <w:p>
      <w:pPr>
        <w:pStyle w:val="TextBody"/>
        <w:numPr>
          <w:ilvl w:val="0"/>
          <w:numId w:val="82"/>
        </w:numPr>
        <w:tabs>
          <w:tab w:val="clear" w:pos="1134"/>
          <w:tab w:val="left" w:pos="709" w:leader="none"/>
        </w:tabs>
        <w:bidi w:val="0"/>
        <w:spacing w:before="0" w:after="0"/>
        <w:ind w:left="709" w:hanging="283"/>
        <w:jc w:val="both"/>
        <w:rPr>
          <w:rFonts w:ascii="Times New Roman" w:hAnsi="Times New Roman"/>
          <w:spacing w:val="0"/>
          <w:sz w:val="20"/>
        </w:rPr>
      </w:pPr>
      <w:r>
        <w:rPr>
          <w:rFonts w:ascii="Times New Roman" w:hAnsi="Times New Roman"/>
          <w:spacing w:val="0"/>
          <w:sz w:val="20"/>
        </w:rPr>
        <w:t xml:space="preserve">Mr. Cohen was awarded stock options which vest in four substantially equal installments at the end of each of the Company’s fiscal years beginning on December 31, 2024, and ending on December 31, 2027, provided Mr. Cohen is employed by or providing services to the Company or an affiliate on the applicable vesting date. </w:t>
      </w:r>
    </w:p>
    <w:p>
      <w:pPr>
        <w:pStyle w:val="TextBody"/>
        <w:numPr>
          <w:ilvl w:val="0"/>
          <w:numId w:val="82"/>
        </w:numPr>
        <w:tabs>
          <w:tab w:val="clear" w:pos="1134"/>
          <w:tab w:val="left" w:pos="709" w:leader="none"/>
        </w:tabs>
        <w:bidi w:val="0"/>
        <w:spacing w:before="0" w:after="0"/>
        <w:ind w:left="709" w:hanging="283"/>
        <w:jc w:val="both"/>
        <w:rPr>
          <w:rFonts w:ascii="Times New Roman" w:hAnsi="Times New Roman"/>
          <w:spacing w:val="0"/>
          <w:sz w:val="20"/>
        </w:rPr>
      </w:pPr>
      <w:r>
        <w:rPr>
          <w:rFonts w:ascii="Times New Roman" w:hAnsi="Times New Roman"/>
          <w:spacing w:val="0"/>
          <w:sz w:val="20"/>
        </w:rPr>
        <w:t xml:space="preserve">Mr. Cohen nonqualified stock options issued in connection with Mr. Cohen’s appointment as Executive Chairman. The stock options will vest, subject to Mr. Cohen’s continued employment with the Company through each vesting date, as follows: (i) 1/3rd on the date on which the Company’s market capitalization meets or exceeds $100 million for each trading day during 2 consecutive months; (ii) 1/3rd on the date on which the Company’s market capitalization meets or exceeds $150 million for each trading day during 2 consecutive months; and (ii) 1/3rd on the date on which the Company’s market capitalization meets or exceeds $200 million for each trading day during 2 consecutive months, subject to accelerated vesting upon the occurrence of certain events. </w:t>
      </w:r>
    </w:p>
    <w:p>
      <w:pPr>
        <w:pStyle w:val="TextBody"/>
        <w:numPr>
          <w:ilvl w:val="0"/>
          <w:numId w:val="82"/>
        </w:numPr>
        <w:tabs>
          <w:tab w:val="clear" w:pos="1134"/>
          <w:tab w:val="left" w:pos="709" w:leader="none"/>
        </w:tabs>
        <w:bidi w:val="0"/>
        <w:spacing w:before="0" w:after="0"/>
        <w:ind w:left="709" w:hanging="283"/>
        <w:jc w:val="both"/>
        <w:rPr>
          <w:rFonts w:ascii="Times New Roman" w:hAnsi="Times New Roman"/>
          <w:spacing w:val="0"/>
          <w:sz w:val="20"/>
        </w:rPr>
      </w:pPr>
      <w:r>
        <w:rPr>
          <w:rFonts w:ascii="Times New Roman" w:hAnsi="Times New Roman"/>
          <w:spacing w:val="0"/>
          <w:sz w:val="20"/>
        </w:rPr>
        <w:t xml:space="preserve">Mr. Cohen was granted restricted shares of Common Stock of the Company issued in connection with Mr. Cohen’s appointment as Executive Chairman. The restricted shares will be issued upon vesting and shall vest, subject to Mr. Cohen’s continued employment, (i) 1/3rd on the date on which the Company’s market capitalization meets or exceeds $100 million for each trading day during 2 consecutive months; (ii) 1/3rd on the date on which the Company’s market capitalization meets or exceeds $150 million for each trading day during 2 consecutive months; and (iii) 1/3rd on the date on which the Company’s market capitalization meets or exceeds $200 million for each trading day during 2 consecutive months. </w:t>
      </w:r>
    </w:p>
    <w:p>
      <w:pPr>
        <w:pStyle w:val="TextBody"/>
        <w:numPr>
          <w:ilvl w:val="0"/>
          <w:numId w:val="82"/>
        </w:numPr>
        <w:tabs>
          <w:tab w:val="clear" w:pos="1134"/>
          <w:tab w:val="left" w:pos="709" w:leader="none"/>
        </w:tabs>
        <w:bidi w:val="0"/>
        <w:spacing w:before="0" w:after="0"/>
        <w:ind w:left="709" w:hanging="283"/>
        <w:jc w:val="both"/>
        <w:rPr>
          <w:rFonts w:ascii="Times New Roman" w:hAnsi="Times New Roman"/>
          <w:spacing w:val="0"/>
          <w:sz w:val="20"/>
        </w:rPr>
      </w:pPr>
      <w:r>
        <w:rPr>
          <w:rFonts w:ascii="Times New Roman" w:hAnsi="Times New Roman"/>
          <w:spacing w:val="0"/>
          <w:sz w:val="20"/>
        </w:rPr>
        <w:t xml:space="preserve">Mr. Cohen was awarded stock options in connection with his previous position with the Company. </w:t>
      </w:r>
    </w:p>
    <w:p>
      <w:pPr>
        <w:pStyle w:val="TextBody"/>
        <w:numPr>
          <w:ilvl w:val="0"/>
          <w:numId w:val="82"/>
        </w:numPr>
        <w:tabs>
          <w:tab w:val="clear" w:pos="1134"/>
          <w:tab w:val="left" w:pos="709" w:leader="none"/>
        </w:tabs>
        <w:bidi w:val="0"/>
        <w:spacing w:before="0" w:after="0"/>
        <w:ind w:left="709" w:hanging="283"/>
        <w:jc w:val="both"/>
        <w:rPr>
          <w:rFonts w:ascii="Times New Roman" w:hAnsi="Times New Roman"/>
          <w:spacing w:val="0"/>
          <w:sz w:val="20"/>
        </w:rPr>
      </w:pPr>
      <w:r>
        <w:rPr>
          <w:rFonts w:ascii="Times New Roman" w:hAnsi="Times New Roman"/>
          <w:spacing w:val="0"/>
          <w:sz w:val="20"/>
        </w:rPr>
        <w:t xml:space="preserve">Mr. Novick was granted stock options in connection with the Novick Employment Agreement. The stock options vest in three substantially equal installments at the end of each of the Company’s first through third fiscal years beginning on December 31, 2024, and ending on December 31, 2026, provided that Mr. Novick is employed by or providing services to the Company through the applicable vesting date. </w:t>
      </w:r>
    </w:p>
    <w:p>
      <w:pPr>
        <w:pStyle w:val="TextBody"/>
        <w:numPr>
          <w:ilvl w:val="0"/>
          <w:numId w:val="82"/>
        </w:numPr>
        <w:tabs>
          <w:tab w:val="clear" w:pos="1134"/>
          <w:tab w:val="left" w:pos="709" w:leader="none"/>
        </w:tabs>
        <w:bidi w:val="0"/>
        <w:spacing w:before="0" w:after="0"/>
        <w:ind w:left="709" w:hanging="283"/>
        <w:jc w:val="both"/>
        <w:rPr>
          <w:rFonts w:ascii="Times New Roman" w:hAnsi="Times New Roman"/>
          <w:spacing w:val="0"/>
          <w:sz w:val="20"/>
        </w:rPr>
      </w:pPr>
      <w:r>
        <w:rPr>
          <w:rFonts w:ascii="Times New Roman" w:hAnsi="Times New Roman"/>
          <w:spacing w:val="0"/>
          <w:sz w:val="20"/>
        </w:rPr>
        <w:t xml:space="preserve">Mr. Cohen was granted stock options by the Board in February 2025 in connection with his continued service as Chief Executive Officer. The options vest in four equal annual installments beginning on the first anniversary of the date of grant. </w:t>
      </w:r>
    </w:p>
    <w:p>
      <w:pPr>
        <w:pStyle w:val="TextBody"/>
        <w:numPr>
          <w:ilvl w:val="0"/>
          <w:numId w:val="82"/>
        </w:numPr>
        <w:tabs>
          <w:tab w:val="clear" w:pos="1134"/>
          <w:tab w:val="left" w:pos="709" w:leader="none"/>
        </w:tabs>
        <w:bidi w:val="0"/>
        <w:ind w:left="709" w:hanging="283"/>
        <w:jc w:val="both"/>
        <w:rPr>
          <w:rFonts w:ascii="Times New Roman" w:hAnsi="Times New Roman"/>
          <w:spacing w:val="0"/>
          <w:sz w:val="20"/>
        </w:rPr>
      </w:pPr>
      <w:r>
        <w:rPr>
          <w:rFonts w:ascii="Times New Roman" w:hAnsi="Times New Roman"/>
          <w:spacing w:val="0"/>
          <w:sz w:val="20"/>
        </w:rPr>
        <w:t>Mr. Novick was granted stock options by the Board in February 2025 in connection with his continued service as Chief Operating Officer. The options vest in four equal annual installments beginning on the first anniversary of the date of grant.</w:t>
      </w:r>
    </w:p>
    <w:p>
      <w:pPr>
        <w:pStyle w:val="TextBody"/>
        <w:bidi w:val="0"/>
        <w:spacing w:before="0" w:after="0"/>
        <w:jc w:val="both"/>
        <w:rPr/>
      </w:pPr>
      <w:r>
        <w:rPr/>
        <w:t> </w:t>
      </w:r>
      <w:r>
        <w:rPr>
          <w:rFonts w:ascii="Times New Roman" w:hAnsi="Times New Roman"/>
          <w:b/>
          <w:sz w:val="20"/>
        </w:rPr>
        <w:t xml:space="preserve">Timing and Issuance of Stock Options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Our Board does not have a formal policy on the timing of stock option awards in relation to the disclosure of material non-public information; however, it would take into account material non-public information when determining the timing and terms of such an award to avoid an inappropriate impact on the value of the award. The Company has not timed the disclosure of material non-public information for the purpose of affecting the value of executive compensation.</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67</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b/>
          <w:sz w:val="20"/>
        </w:rPr>
        <w:t>Director Compensation Program</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following table sets forth the compensation awarded to, earned by, or paid to each person who served as a director during the fiscal year ended December 31, 2025.</w:t>
      </w:r>
      <w:r>
        <w:rPr>
          <w:rFonts w:ascii="Times New Roman" w:hAnsi="Times New Roman"/>
          <w:sz w:val="24"/>
        </w:rPr>
        <w:t xml:space="preserve"> </w:t>
      </w:r>
    </w:p>
    <w:p>
      <w:pPr>
        <w:pStyle w:val="TextBody"/>
        <w:bidi w:val="0"/>
        <w:spacing w:before="0" w:after="0"/>
        <w:jc w:val="both"/>
        <w:rPr/>
      </w:pPr>
      <w:r>
        <w:rPr/>
        <w:t> </w:t>
      </w:r>
    </w:p>
    <w:tbl>
      <w:tblPr>
        <w:tblW w:w="7410" w:type="dxa"/>
        <w:jc w:val="left"/>
        <w:tblInd w:w="0" w:type="dxa"/>
        <w:tblLayout w:type="fixed"/>
        <w:tblCellMar>
          <w:top w:w="0" w:type="dxa"/>
          <w:left w:w="0" w:type="dxa"/>
          <w:bottom w:w="0" w:type="dxa"/>
          <w:right w:w="0" w:type="dxa"/>
        </w:tblCellMar>
      </w:tblPr>
      <w:tblGrid>
        <w:gridCol w:w="1970"/>
        <w:gridCol w:w="90"/>
        <w:gridCol w:w="170"/>
        <w:gridCol w:w="1235"/>
        <w:gridCol w:w="90"/>
        <w:gridCol w:w="90"/>
        <w:gridCol w:w="170"/>
        <w:gridCol w:w="920"/>
        <w:gridCol w:w="90"/>
        <w:gridCol w:w="90"/>
        <w:gridCol w:w="170"/>
        <w:gridCol w:w="920"/>
        <w:gridCol w:w="90"/>
        <w:gridCol w:w="90"/>
        <w:gridCol w:w="170"/>
        <w:gridCol w:w="920"/>
        <w:gridCol w:w="135"/>
      </w:tblGrid>
      <w:tr>
        <w:trPr/>
        <w:tc>
          <w:tcPr>
            <w:tcW w:w="19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9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b/>
              </w:rPr>
            </w:pPr>
            <w:r>
              <w:rPr>
                <w:b/>
              </w:rPr>
              <w:t xml:space="preserve">Fees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b/>
              </w:rPr>
            </w:pPr>
            <w:r>
              <w:rPr>
                <w:b/>
              </w:rPr>
              <w:t>Earned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rPr>
            </w:pPr>
            <w:r>
              <w:rPr>
                <w:b/>
              </w:rPr>
              <w:t xml:space="preserve">Stock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rPr>
            </w:pPr>
            <w:r>
              <w:rPr>
                <w:b/>
              </w:rPr>
              <w:t>Option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35" w:type="dxa"/>
            <w:tcBorders/>
            <w:vAlign w:val="center"/>
          </w:tcPr>
          <w:p>
            <w:pPr>
              <w:pStyle w:val="TableContents"/>
              <w:bidi w:val="0"/>
              <w:spacing w:before="0" w:after="283"/>
              <w:jc w:val="center"/>
              <w:rPr>
                <w:b/>
              </w:rPr>
            </w:pPr>
            <w:r>
              <w:rPr>
                <w:b/>
              </w:rPr>
              <w:t xml:space="preserve">or Paid in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rPr>
            </w:pPr>
            <w:r>
              <w:rPr>
                <w:b/>
              </w:rPr>
              <w:t xml:space="preserve">Awards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rPr>
            </w:pPr>
            <w:r>
              <w:rPr>
                <w:b/>
              </w:rPr>
              <w:t xml:space="preserve">Awards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r>
      <w:tr>
        <w:trPr/>
        <w:tc>
          <w:tcPr>
            <w:tcW w:w="1970" w:type="dxa"/>
            <w:tcBorders>
              <w:bottom w:val="single" w:sz="2" w:space="0" w:color="000000"/>
            </w:tcBorders>
            <w:tcMar>
              <w:bottom w:w="28" w:type="dxa"/>
            </w:tcMar>
            <w:vAlign w:val="center"/>
          </w:tcPr>
          <w:p>
            <w:pPr>
              <w:pStyle w:val="TableContents"/>
              <w:bidi w:val="0"/>
              <w:spacing w:before="0" w:after="283"/>
              <w:jc w:val="center"/>
              <w:rPr>
                <w:b/>
              </w:rPr>
            </w:pPr>
            <w:r>
              <w:rPr>
                <w:b/>
              </w:rPr>
              <w:t>Name (1)</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235" w:type="dxa"/>
            <w:tcBorders>
              <w:bottom w:val="single" w:sz="2" w:space="0" w:color="000000"/>
            </w:tcBorders>
            <w:tcMar>
              <w:bottom w:w="28" w:type="dxa"/>
            </w:tcMar>
            <w:vAlign w:val="center"/>
          </w:tcPr>
          <w:p>
            <w:pPr>
              <w:pStyle w:val="TableContents"/>
              <w:bidi w:val="0"/>
              <w:spacing w:before="0" w:after="283"/>
              <w:jc w:val="center"/>
              <w:rPr>
                <w:b/>
              </w:rPr>
            </w:pPr>
            <w:r>
              <w:rPr>
                <w:b/>
              </w:rPr>
              <w:t>Cash ($) (2)</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20" w:type="dxa"/>
            <w:tcBorders>
              <w:bottom w:val="single" w:sz="2" w:space="0" w:color="000000"/>
            </w:tcBorders>
            <w:tcMar>
              <w:bottom w:w="28" w:type="dxa"/>
            </w:tcMar>
            <w:vAlign w:val="center"/>
          </w:tcPr>
          <w:p>
            <w:pPr>
              <w:pStyle w:val="TableContents"/>
              <w:bidi w:val="0"/>
              <w:spacing w:before="0" w:after="283"/>
              <w:jc w:val="center"/>
              <w:rPr>
                <w:b/>
              </w:rPr>
            </w:pPr>
            <w:r>
              <w:rPr>
                <w:b/>
              </w:rPr>
              <w:t>($) (3)</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20" w:type="dxa"/>
            <w:tcBorders>
              <w:bottom w:val="single" w:sz="2" w:space="0" w:color="000000"/>
            </w:tcBorders>
            <w:tcMar>
              <w:bottom w:w="28" w:type="dxa"/>
            </w:tcMar>
            <w:vAlign w:val="center"/>
          </w:tcPr>
          <w:p>
            <w:pPr>
              <w:pStyle w:val="TableContents"/>
              <w:bidi w:val="0"/>
              <w:spacing w:before="0" w:after="283"/>
              <w:jc w:val="center"/>
              <w:rPr>
                <w:b/>
              </w:rPr>
            </w:pPr>
            <w:r>
              <w:rPr>
                <w:b/>
              </w:rPr>
              <w:t>($) (4)</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920" w:type="dxa"/>
            <w:tcBorders>
              <w:bottom w:val="single" w:sz="2" w:space="0" w:color="000000"/>
            </w:tcBorders>
            <w:tcMar>
              <w:bottom w:w="28" w:type="dxa"/>
            </w:tcMar>
            <w:vAlign w:val="center"/>
          </w:tcPr>
          <w:p>
            <w:pPr>
              <w:pStyle w:val="TableContents"/>
              <w:bidi w:val="0"/>
              <w:spacing w:before="0" w:after="283"/>
              <w:jc w:val="center"/>
              <w:rPr>
                <w:b/>
              </w:rPr>
            </w:pPr>
            <w:r>
              <w:rPr>
                <w:b/>
              </w:rPr>
              <w:t>Total ($)</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pPr>
            <w:r>
              <w:rPr/>
              <w:t>Bruce Bernstein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212,390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212,390</w:t>
            </w:r>
          </w:p>
        </w:tc>
        <w:tc>
          <w:tcPr>
            <w:tcW w:w="13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Marc Savas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204,106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204,106</w:t>
            </w:r>
          </w:p>
        </w:tc>
        <w:tc>
          <w:tcPr>
            <w:tcW w:w="13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pPr>
            <w:r>
              <w:rPr/>
              <w:t>Rajiv Srinivasan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131,651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131,651</w:t>
            </w:r>
          </w:p>
        </w:tc>
        <w:tc>
          <w:tcPr>
            <w:tcW w:w="13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Timothy Szymanski</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123,368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283"/>
              <w:jc w:val="right"/>
              <w:rPr/>
            </w:pPr>
            <w:r>
              <w:rPr/>
              <w:t>123,368</w:t>
            </w:r>
          </w:p>
        </w:tc>
        <w:tc>
          <w:tcPr>
            <w:tcW w:w="13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pPr>
            <w:r>
              <w:rPr/>
              <w:t>John Shulman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3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83,100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20" w:type="dxa"/>
            <w:tcBorders/>
            <w:shd w:fill="CCEEFF" w:val="clear"/>
            <w:vAlign w:val="center"/>
          </w:tcPr>
          <w:p>
            <w:pPr>
              <w:pStyle w:val="TableContents"/>
              <w:bidi w:val="0"/>
              <w:spacing w:before="0" w:after="283"/>
              <w:jc w:val="right"/>
              <w:rPr/>
            </w:pPr>
            <w:r>
              <w:rPr/>
              <w:t>83,100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b/>
          <w:sz w:val="20"/>
        </w:rPr>
        <w:t>Additional Director Compensation Information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April 1, 2021, the Board approved a new director compensation plan payable to all non-employee independent directors (“Amended Board Plan”). As revised, under the terms of the Amended Board Plan, non-employee independent directors received $121,000 annually effective January 1, 2021, payable one-half in cash and one half in restricted stock units to be settled in shares of the Company’s Common Stock, with 30% vesting immediately, and the remaining 70% vesting in monthly installments throughout the remainder of the year following the date of grant. In addition, each independent director that chairs a standing committee of the Board will receive an additional annual cash payment of $10,000, and any independent director serving as lead independent director of the Board received additional annual cash compensation of $25,000. In lieu of director compensation, the Executive Chairman, if any, was to be paid $121,000 annually, effective January 1, 2021, in addition to the grant of an option to purchase 100,000 shares of Common Stock with 30% vesting immediately and the remaining 70% vesting in equal monthly installments over the twelve months from the date of grant.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In addition to annual compensation paid to each member of the Board, each new director appointed to the Board received an initial grant of options to purchase 30,000 shares of Common Stock at an exercise price based on the closing price of the Company’s common stock as reported on the Nasdaq Capital Market on the date of grant, which options shall expire, if not previously exercised, ten years from the date of grant, and shall vest as follows: (i) 50% on the one-year anniversary of the date of grant, and (ii) the remaining 50% in four equal quarterly installments over the following year.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In October 2023, the Board approved a revised director compensation plan payable to all non-employee independent directors, effective October 1, 2023 (“Revised Board Plan”). As revised, under the terms of the Revised Board Plan, non-employee independent directors receive $121,000 annually, payable in restricted stock units to be settled in shares of the Company’s Common Stock, with 30% vesting immediately, and the remaining 70% vesting in monthly installments throughout the remainder of the year following the date of grant. In addition, each independent director that chairs a standing committee of the Board will receive an additional annual payment of $10,000, payable in restricted stock units to be settled in shares of the Company’s Common Stock, with 30% vesting immediately, and the remaining 70% vesting in monthly installments throughout the remainder of the year following the date of grant.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In February 2025, the Board approved a revised director compensation plan payable to all non-employee independent directors, effective February 1, 2025 (“Second Revised Board Plan”). As revised, under the terms of the Second Revised Board Plan, the chair of the Audit Committee of the Board will receive an additional annual payment of $18,000 and each independent director of the Compensation Committee and the Nominating Committee of the Board will receive an additional annual payment of $10,000, payable in restricted stock units to be settled in shares of the Company’s Common Stock, with 30% vesting immediately, and the remaining 70% vesting in monthly installments throughout the remainder of the year following the date of grant. In addition, each independent director that is a member of the audit committee of the Board will receive an additional annual payment of $9,000, payable in restricted stock units to be settled in shares of the Company’s Common Stock, with 30% vesting immediately, and the remaining 70% vesting in monthly installments throughout the remainder of the year following the date of grant.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68</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bookmarkStart w:id="22" w:name="ITEM_12_SECURITY_OWNERSHIP_OF_CERTAIN_BE"/>
      <w:bookmarkEnd w:id="22"/>
      <w:r>
        <w:rPr>
          <w:rFonts w:ascii="Times New Roman" w:hAnsi="Times New Roman"/>
          <w:b/>
          <w:sz w:val="20"/>
        </w:rPr>
        <w:t>ITEM 12. SECURITY OWNERSHIP OF CERTAIN BENEFICIAL OWNERS AND MANAGEMENT AND RELATED STOCKHOLDER MATTERS.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Equity Compensation Plan Information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March 31, 2017, the Company adopted, and the stockholders approved, the 2017 Equity Incentive Plan (the "Incentive Plan"). The Incentive Plan reserved 2.0 million shares of our Common Stock for issuance as one of four types of equity incentive awards: (i) stock options, (ii) shares of Common Stock, (iii) restricted stock awards, and (iv) restricted stock units.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Stockholders authorized an increase to the shares of Common Stock authorized under the plan of an additional 2,100,000 shares in May 2019, an additional 1,900,000 shares in June 2020, an additional 1,500,000 shares in June 2021, an additional 1,500,000 shares in May 2022, an additional 7,500,000 in December 2024, and an additional 4,000,000 in December 2025, for a total of 20,500,000 shares authorized for issuance under the Incentive Plan as of the date of this Annual Report on Form 10-K. As of December 31, 2025, there were 8,011,625 shares of Common Stock available for grant under the Incentive Plan.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following table sets forth information as of December 31, 2025, with respect to compensation plans (including individual compensation arrangements) under which our equity securities are authorized for issuance, aggregated as follows:</w:t>
      </w:r>
      <w:r>
        <w:rPr>
          <w:rFonts w:ascii="Times New Roman" w:hAnsi="Times New Roman"/>
          <w:sz w:val="24"/>
        </w:rPr>
        <w:t xml:space="preserve"> </w:t>
      </w:r>
    </w:p>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3270"/>
        <w:gridCol w:w="90"/>
        <w:gridCol w:w="90"/>
        <w:gridCol w:w="90"/>
        <w:gridCol w:w="2047"/>
        <w:gridCol w:w="90"/>
        <w:gridCol w:w="90"/>
        <w:gridCol w:w="90"/>
        <w:gridCol w:w="170"/>
        <w:gridCol w:w="1678"/>
        <w:gridCol w:w="90"/>
        <w:gridCol w:w="90"/>
        <w:gridCol w:w="90"/>
        <w:gridCol w:w="90"/>
        <w:gridCol w:w="2002"/>
        <w:gridCol w:w="138"/>
      </w:tblGrid>
      <w:tr>
        <w:trPr/>
        <w:tc>
          <w:tcPr>
            <w:tcW w:w="32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200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r>
      <w:tr>
        <w:trPr/>
        <w:tc>
          <w:tcPr>
            <w:tcW w:w="32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78"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2" w:type="dxa"/>
            <w:tcBorders/>
            <w:vAlign w:val="center"/>
          </w:tcPr>
          <w:p>
            <w:pPr>
              <w:pStyle w:val="TableContents"/>
              <w:bidi w:val="0"/>
              <w:spacing w:before="0" w:after="283"/>
              <w:jc w:val="center"/>
              <w:rPr>
                <w:b/>
              </w:rPr>
            </w:pPr>
            <w:r>
              <w:rPr>
                <w:b/>
              </w:rPr>
              <w:t>(c) Number of securities</w:t>
            </w:r>
          </w:p>
        </w:tc>
        <w:tc>
          <w:tcPr>
            <w:tcW w:w="138" w:type="dxa"/>
            <w:tcBorders/>
            <w:vAlign w:val="center"/>
          </w:tcPr>
          <w:p>
            <w:pPr>
              <w:pStyle w:val="TableContents"/>
              <w:bidi w:val="0"/>
              <w:spacing w:before="0" w:after="283"/>
              <w:jc w:val="left"/>
              <w:rPr/>
            </w:pPr>
            <w:r>
              <w:rPr/>
              <w:t> </w:t>
            </w:r>
          </w:p>
        </w:tc>
      </w:tr>
      <w:tr>
        <w:trPr/>
        <w:tc>
          <w:tcPr>
            <w:tcW w:w="32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78"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2" w:type="dxa"/>
            <w:tcBorders/>
            <w:vAlign w:val="center"/>
          </w:tcPr>
          <w:p>
            <w:pPr>
              <w:pStyle w:val="TableContents"/>
              <w:bidi w:val="0"/>
              <w:spacing w:before="0" w:after="283"/>
              <w:jc w:val="center"/>
              <w:rPr>
                <w:b/>
              </w:rPr>
            </w:pPr>
            <w:r>
              <w:rPr>
                <w:b/>
              </w:rPr>
              <w:t>remaining available for</w:t>
            </w:r>
          </w:p>
        </w:tc>
        <w:tc>
          <w:tcPr>
            <w:tcW w:w="138" w:type="dxa"/>
            <w:tcBorders/>
            <w:vAlign w:val="center"/>
          </w:tcPr>
          <w:p>
            <w:pPr>
              <w:pStyle w:val="TableContents"/>
              <w:bidi w:val="0"/>
              <w:spacing w:before="0" w:after="283"/>
              <w:jc w:val="left"/>
              <w:rPr/>
            </w:pPr>
            <w:r>
              <w:rPr/>
              <w:t> </w:t>
            </w:r>
          </w:p>
        </w:tc>
      </w:tr>
      <w:tr>
        <w:trPr/>
        <w:tc>
          <w:tcPr>
            <w:tcW w:w="32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7" w:type="dxa"/>
            <w:tcBorders/>
            <w:vAlign w:val="center"/>
          </w:tcPr>
          <w:p>
            <w:pPr>
              <w:pStyle w:val="TableContents"/>
              <w:bidi w:val="0"/>
              <w:spacing w:before="0" w:after="283"/>
              <w:jc w:val="center"/>
              <w:rPr>
                <w:b/>
              </w:rPr>
            </w:pPr>
            <w:r>
              <w:rPr>
                <w:b/>
              </w:rPr>
              <w:t>(a) Number of securities to be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78" w:type="dxa"/>
            <w:tcBorders/>
            <w:vAlign w:val="center"/>
          </w:tcPr>
          <w:p>
            <w:pPr>
              <w:pStyle w:val="TableContents"/>
              <w:bidi w:val="0"/>
              <w:spacing w:before="0" w:after="283"/>
              <w:jc w:val="center"/>
              <w:rPr>
                <w:b/>
              </w:rPr>
            </w:pPr>
            <w:r>
              <w:rPr>
                <w:b/>
              </w:rPr>
              <w:t>(b) Weighted-average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2" w:type="dxa"/>
            <w:tcBorders/>
            <w:vAlign w:val="center"/>
          </w:tcPr>
          <w:p>
            <w:pPr>
              <w:pStyle w:val="TableContents"/>
              <w:bidi w:val="0"/>
              <w:spacing w:before="0" w:after="283"/>
              <w:jc w:val="center"/>
              <w:rPr>
                <w:b/>
              </w:rPr>
            </w:pPr>
            <w:r>
              <w:rPr>
                <w:b/>
              </w:rPr>
              <w:t>future issuance under</w:t>
            </w:r>
          </w:p>
        </w:tc>
        <w:tc>
          <w:tcPr>
            <w:tcW w:w="138" w:type="dxa"/>
            <w:tcBorders/>
            <w:vAlign w:val="center"/>
          </w:tcPr>
          <w:p>
            <w:pPr>
              <w:pStyle w:val="TableContents"/>
              <w:bidi w:val="0"/>
              <w:spacing w:before="0" w:after="283"/>
              <w:jc w:val="left"/>
              <w:rPr/>
            </w:pPr>
            <w:r>
              <w:rPr/>
              <w:t> </w:t>
            </w:r>
          </w:p>
        </w:tc>
      </w:tr>
      <w:tr>
        <w:trPr/>
        <w:tc>
          <w:tcPr>
            <w:tcW w:w="32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7" w:type="dxa"/>
            <w:tcBorders/>
            <w:vAlign w:val="center"/>
          </w:tcPr>
          <w:p>
            <w:pPr>
              <w:pStyle w:val="TableContents"/>
              <w:bidi w:val="0"/>
              <w:spacing w:before="0" w:after="283"/>
              <w:jc w:val="center"/>
              <w:rPr>
                <w:b/>
              </w:rPr>
            </w:pPr>
            <w:r>
              <w:rPr>
                <w:b/>
              </w:rPr>
              <w:t>issued upon exercise of</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78" w:type="dxa"/>
            <w:tcBorders/>
            <w:vAlign w:val="center"/>
          </w:tcPr>
          <w:p>
            <w:pPr>
              <w:pStyle w:val="TableContents"/>
              <w:bidi w:val="0"/>
              <w:spacing w:before="0" w:after="283"/>
              <w:jc w:val="center"/>
              <w:rPr>
                <w:b/>
              </w:rPr>
            </w:pPr>
            <w:r>
              <w:rPr>
                <w:b/>
              </w:rPr>
              <w:t>exercise price of</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2" w:type="dxa"/>
            <w:tcBorders/>
            <w:vAlign w:val="center"/>
          </w:tcPr>
          <w:p>
            <w:pPr>
              <w:pStyle w:val="TableContents"/>
              <w:bidi w:val="0"/>
              <w:spacing w:before="0" w:after="283"/>
              <w:jc w:val="center"/>
              <w:rPr>
                <w:b/>
              </w:rPr>
            </w:pPr>
            <w:r>
              <w:rPr>
                <w:b/>
              </w:rPr>
              <w:t>equity compensation plans</w:t>
            </w:r>
          </w:p>
        </w:tc>
        <w:tc>
          <w:tcPr>
            <w:tcW w:w="138" w:type="dxa"/>
            <w:tcBorders/>
            <w:vAlign w:val="center"/>
          </w:tcPr>
          <w:p>
            <w:pPr>
              <w:pStyle w:val="TableContents"/>
              <w:bidi w:val="0"/>
              <w:spacing w:before="0" w:after="283"/>
              <w:jc w:val="left"/>
              <w:rPr/>
            </w:pPr>
            <w:r>
              <w:rPr/>
              <w:t> </w:t>
            </w:r>
          </w:p>
        </w:tc>
      </w:tr>
      <w:tr>
        <w:trPr/>
        <w:tc>
          <w:tcPr>
            <w:tcW w:w="32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7" w:type="dxa"/>
            <w:tcBorders/>
            <w:vAlign w:val="center"/>
          </w:tcPr>
          <w:p>
            <w:pPr>
              <w:pStyle w:val="TableContents"/>
              <w:bidi w:val="0"/>
              <w:spacing w:before="0" w:after="283"/>
              <w:jc w:val="center"/>
              <w:rPr>
                <w:b/>
              </w:rPr>
            </w:pPr>
            <w:r>
              <w:rPr>
                <w:b/>
              </w:rPr>
              <w:t>outstanding options, warrants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678" w:type="dxa"/>
            <w:tcBorders/>
            <w:vAlign w:val="center"/>
          </w:tcPr>
          <w:p>
            <w:pPr>
              <w:pStyle w:val="TableContents"/>
              <w:bidi w:val="0"/>
              <w:spacing w:before="0" w:after="283"/>
              <w:jc w:val="center"/>
              <w:rPr>
                <w:b/>
              </w:rPr>
            </w:pPr>
            <w:r>
              <w:rPr>
                <w:b/>
              </w:rPr>
              <w:t>outstanding options,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02" w:type="dxa"/>
            <w:tcBorders/>
            <w:vAlign w:val="center"/>
          </w:tcPr>
          <w:p>
            <w:pPr>
              <w:pStyle w:val="TableContents"/>
              <w:bidi w:val="0"/>
              <w:spacing w:before="0" w:after="283"/>
              <w:jc w:val="center"/>
              <w:rPr>
                <w:b/>
              </w:rPr>
            </w:pPr>
            <w:r>
              <w:rPr>
                <w:b/>
              </w:rPr>
              <w:t>(excluding securities</w:t>
            </w:r>
          </w:p>
        </w:tc>
        <w:tc>
          <w:tcPr>
            <w:tcW w:w="138" w:type="dxa"/>
            <w:tcBorders/>
            <w:vAlign w:val="center"/>
          </w:tcPr>
          <w:p>
            <w:pPr>
              <w:pStyle w:val="TableContents"/>
              <w:bidi w:val="0"/>
              <w:spacing w:before="0" w:after="283"/>
              <w:jc w:val="left"/>
              <w:rPr/>
            </w:pPr>
            <w:r>
              <w:rPr/>
              <w:t> </w:t>
            </w:r>
          </w:p>
        </w:tc>
      </w:tr>
      <w:tr>
        <w:trPr/>
        <w:tc>
          <w:tcPr>
            <w:tcW w:w="3270" w:type="dxa"/>
            <w:tcBorders>
              <w:bottom w:val="single" w:sz="2" w:space="0" w:color="000000"/>
            </w:tcBorders>
            <w:tcMar>
              <w:bottom w:w="28" w:type="dxa"/>
            </w:tcMar>
            <w:vAlign w:val="center"/>
          </w:tcPr>
          <w:p>
            <w:pPr>
              <w:pStyle w:val="TableContents"/>
              <w:bidi w:val="0"/>
              <w:spacing w:before="0" w:after="283"/>
              <w:jc w:val="left"/>
              <w:rPr>
                <w:b/>
              </w:rPr>
            </w:pPr>
            <w:r>
              <w:rPr>
                <w:b/>
              </w:rPr>
              <w:t>Name (1)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2047" w:type="dxa"/>
            <w:tcBorders>
              <w:bottom w:val="single" w:sz="2" w:space="0" w:color="000000"/>
            </w:tcBorders>
            <w:tcMar>
              <w:bottom w:w="28" w:type="dxa"/>
            </w:tcMar>
            <w:vAlign w:val="center"/>
          </w:tcPr>
          <w:p>
            <w:pPr>
              <w:pStyle w:val="TableContents"/>
              <w:bidi w:val="0"/>
              <w:spacing w:before="0" w:after="283"/>
              <w:jc w:val="center"/>
              <w:rPr>
                <w:b/>
              </w:rPr>
            </w:pPr>
            <w:r>
              <w:rPr>
                <w:b/>
              </w:rPr>
              <w:t>and rights</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678" w:type="dxa"/>
            <w:tcBorders>
              <w:bottom w:val="single" w:sz="2" w:space="0" w:color="000000"/>
            </w:tcBorders>
            <w:tcMar>
              <w:bottom w:w="28" w:type="dxa"/>
            </w:tcMar>
            <w:vAlign w:val="center"/>
          </w:tcPr>
          <w:p>
            <w:pPr>
              <w:pStyle w:val="TableContents"/>
              <w:bidi w:val="0"/>
              <w:spacing w:before="0" w:after="283"/>
              <w:jc w:val="center"/>
              <w:rPr>
                <w:b/>
              </w:rPr>
            </w:pPr>
            <w:r>
              <w:rPr>
                <w:b/>
              </w:rPr>
              <w:t>warrants and rights</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2002" w:type="dxa"/>
            <w:tcBorders>
              <w:bottom w:val="single" w:sz="2" w:space="0" w:color="000000"/>
            </w:tcBorders>
            <w:tcMar>
              <w:bottom w:w="28" w:type="dxa"/>
            </w:tcMar>
            <w:vAlign w:val="center"/>
          </w:tcPr>
          <w:p>
            <w:pPr>
              <w:pStyle w:val="TableContents"/>
              <w:bidi w:val="0"/>
              <w:spacing w:before="0" w:after="283"/>
              <w:jc w:val="center"/>
              <w:rPr>
                <w:b/>
              </w:rPr>
            </w:pPr>
            <w:r>
              <w:rPr>
                <w:b/>
              </w:rPr>
              <w:t>reflected in column (a))</w:t>
            </w:r>
          </w:p>
        </w:tc>
        <w:tc>
          <w:tcPr>
            <w:tcW w:w="138"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70" w:type="dxa"/>
            <w:tcBorders/>
            <w:shd w:fill="CCEEFF" w:val="clear"/>
            <w:vAlign w:val="center"/>
          </w:tcPr>
          <w:p>
            <w:pPr>
              <w:pStyle w:val="TableContents"/>
              <w:bidi w:val="0"/>
              <w:spacing w:before="0" w:after="283"/>
              <w:jc w:val="left"/>
              <w:rPr/>
            </w:pPr>
            <w:r>
              <w:rPr/>
              <w:t>Equity compensation plans approved by security holders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047" w:type="dxa"/>
            <w:tcBorders/>
            <w:shd w:fill="CCEEFF" w:val="clear"/>
            <w:vAlign w:val="center"/>
          </w:tcPr>
          <w:p>
            <w:pPr>
              <w:pStyle w:val="TableContents"/>
              <w:bidi w:val="0"/>
              <w:spacing w:before="0" w:after="283"/>
              <w:jc w:val="right"/>
              <w:rPr>
                <w:b/>
              </w:rPr>
            </w:pPr>
            <w:r>
              <w:rPr>
                <w:b/>
              </w:rPr>
              <w:t>6,449,534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b/>
              </w:rPr>
            </w:pPr>
            <w:r>
              <w:rPr>
                <w:b/>
              </w:rPr>
              <w:t>$</w:t>
            </w:r>
          </w:p>
        </w:tc>
        <w:tc>
          <w:tcPr>
            <w:tcW w:w="1678" w:type="dxa"/>
            <w:tcBorders/>
            <w:shd w:fill="CCEEFF" w:val="clear"/>
            <w:vAlign w:val="center"/>
          </w:tcPr>
          <w:p>
            <w:pPr>
              <w:pStyle w:val="TableContents"/>
              <w:bidi w:val="0"/>
              <w:spacing w:before="0" w:after="283"/>
              <w:jc w:val="right"/>
              <w:rPr>
                <w:b/>
              </w:rPr>
            </w:pPr>
            <w:r>
              <w:rPr>
                <w:b/>
              </w:rPr>
              <w:t>2.05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002" w:type="dxa"/>
            <w:tcBorders/>
            <w:shd w:fill="CCEEFF" w:val="clear"/>
            <w:vAlign w:val="center"/>
          </w:tcPr>
          <w:p>
            <w:pPr>
              <w:pStyle w:val="TableContents"/>
              <w:bidi w:val="0"/>
              <w:spacing w:before="0" w:after="283"/>
              <w:jc w:val="right"/>
              <w:rPr>
                <w:b/>
              </w:rPr>
            </w:pPr>
            <w:r>
              <w:rPr>
                <w:b/>
              </w:rPr>
              <w:t>8,011,625</w:t>
            </w:r>
          </w:p>
        </w:tc>
        <w:tc>
          <w:tcPr>
            <w:tcW w:w="138" w:type="dxa"/>
            <w:tcBorders/>
            <w:shd w:fill="CCEEFF" w:val="clear"/>
            <w:vAlign w:val="center"/>
          </w:tcPr>
          <w:p>
            <w:pPr>
              <w:pStyle w:val="TableContents"/>
              <w:bidi w:val="0"/>
              <w:spacing w:before="0" w:after="283"/>
              <w:jc w:val="left"/>
              <w:rPr/>
            </w:pPr>
            <w:r>
              <w:rPr/>
              <w:t> </w:t>
            </w:r>
          </w:p>
        </w:tc>
      </w:tr>
      <w:tr>
        <w:trPr/>
        <w:tc>
          <w:tcPr>
            <w:tcW w:w="3270" w:type="dxa"/>
            <w:tcBorders/>
            <w:vAlign w:val="center"/>
          </w:tcPr>
          <w:p>
            <w:pPr>
              <w:pStyle w:val="TableContents"/>
              <w:bidi w:val="0"/>
              <w:spacing w:before="0" w:after="283"/>
              <w:jc w:val="left"/>
              <w:rPr/>
            </w:pPr>
            <w:r>
              <w:rPr/>
              <w:t>Equity compensation plans not approved by security holders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047" w:type="dxa"/>
            <w:tcBorders/>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b/>
              </w:rPr>
            </w:pPr>
            <w:r>
              <w:rPr>
                <w:b/>
              </w:rPr>
              <w:t>$</w:t>
            </w:r>
          </w:p>
        </w:tc>
        <w:tc>
          <w:tcPr>
            <w:tcW w:w="1678" w:type="dxa"/>
            <w:tcBorders/>
            <w:vAlign w:val="center"/>
          </w:tcPr>
          <w:p>
            <w:pPr>
              <w:pStyle w:val="TableContents"/>
              <w:bidi w:val="0"/>
              <w:spacing w:before="0" w:after="283"/>
              <w:jc w:val="right"/>
              <w:rPr>
                <w:b/>
              </w:rPr>
            </w:pPr>
            <w:r>
              <w:rPr>
                <w:b/>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002" w:type="dxa"/>
            <w:tcBorders/>
            <w:vAlign w:val="center"/>
          </w:tcPr>
          <w:p>
            <w:pPr>
              <w:pStyle w:val="TableContents"/>
              <w:bidi w:val="0"/>
              <w:spacing w:before="0" w:after="283"/>
              <w:jc w:val="right"/>
              <w:rPr>
                <w:b/>
              </w:rPr>
            </w:pPr>
            <w:r>
              <w:rPr>
                <w:b/>
              </w:rPr>
              <w:t>-</w:t>
            </w:r>
          </w:p>
        </w:tc>
        <w:tc>
          <w:tcPr>
            <w:tcW w:w="138" w:type="dxa"/>
            <w:tcBorders/>
            <w:vAlign w:val="center"/>
          </w:tcPr>
          <w:p>
            <w:pPr>
              <w:pStyle w:val="TableContents"/>
              <w:bidi w:val="0"/>
              <w:spacing w:before="0" w:after="283"/>
              <w:jc w:val="left"/>
              <w:rPr/>
            </w:pPr>
            <w:r>
              <w:rPr/>
              <w:t> </w:t>
            </w:r>
          </w:p>
        </w:tc>
      </w:tr>
      <w:tr>
        <w:trPr/>
        <w:tc>
          <w:tcPr>
            <w:tcW w:w="327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047" w:type="dxa"/>
            <w:tcBorders/>
            <w:shd w:fill="CCEEFF" w:val="clear"/>
            <w:vAlign w:val="center"/>
          </w:tcPr>
          <w:p>
            <w:pPr>
              <w:pStyle w:val="TableContents"/>
              <w:bidi w:val="0"/>
              <w:spacing w:before="0" w:after="283"/>
              <w:jc w:val="right"/>
              <w:rPr>
                <w:b/>
              </w:rPr>
            </w:pPr>
            <w:r>
              <w:rPr>
                <w:b/>
              </w:rPr>
              <w:t>6,449,534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283"/>
              <w:jc w:val="left"/>
              <w:rPr>
                <w:b/>
              </w:rPr>
            </w:pPr>
            <w:r>
              <w:rPr>
                <w:b/>
              </w:rPr>
              <w:t>$</w:t>
            </w:r>
          </w:p>
        </w:tc>
        <w:tc>
          <w:tcPr>
            <w:tcW w:w="1678" w:type="dxa"/>
            <w:tcBorders/>
            <w:shd w:fill="CCEEFF" w:val="clear"/>
            <w:vAlign w:val="center"/>
          </w:tcPr>
          <w:p>
            <w:pPr>
              <w:pStyle w:val="TableContents"/>
              <w:bidi w:val="0"/>
              <w:spacing w:before="0" w:after="283"/>
              <w:jc w:val="right"/>
              <w:rPr>
                <w:b/>
              </w:rPr>
            </w:pPr>
            <w:r>
              <w:rPr>
                <w:b/>
              </w:rPr>
              <w:t>2.05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pPr>
            <w:r>
              <w:rPr/>
              <w:t> </w:t>
            </w:r>
          </w:p>
        </w:tc>
        <w:tc>
          <w:tcPr>
            <w:tcW w:w="2002" w:type="dxa"/>
            <w:tcBorders/>
            <w:shd w:fill="CCEEFF" w:val="clear"/>
            <w:vAlign w:val="center"/>
          </w:tcPr>
          <w:p>
            <w:pPr>
              <w:pStyle w:val="TableContents"/>
              <w:bidi w:val="0"/>
              <w:spacing w:before="0" w:after="283"/>
              <w:jc w:val="right"/>
              <w:rPr>
                <w:b/>
              </w:rPr>
            </w:pPr>
            <w:r>
              <w:rPr>
                <w:b/>
              </w:rPr>
              <w:t>8,011,625</w:t>
            </w:r>
          </w:p>
        </w:tc>
        <w:tc>
          <w:tcPr>
            <w:tcW w:w="138"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69</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b/>
          <w:sz w:val="20"/>
        </w:rPr>
        <w:t>Security Ownership of Certain Beneficial Owners and Management</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following table sets forth information with respect to the beneficial ownership of our voting securities as of Marc</w:t>
      </w:r>
      <w:r>
        <w:rPr>
          <w:rFonts w:ascii="Times New Roman" w:hAnsi="Times New Roman"/>
          <w:sz w:val="20"/>
          <w:shd w:fill="FFFFFF" w:val="clear"/>
        </w:rPr>
        <w:t>h 23, 2</w:t>
      </w:r>
      <w:r>
        <w:rPr>
          <w:rFonts w:ascii="Times New Roman" w:hAnsi="Times New Roman"/>
          <w:sz w:val="20"/>
        </w:rPr>
        <w:t>026, by (i) each stockholder known by us to be the beneficial owner of more than 5% of our voting securities, (ii) each of our directors and named executive officers, and (iii) all of our directors and executive officers as a group. Unless otherwise noted, the address for each person named in the table is c/o Wrap Technologies, Inc., 3350 Virginia Street, Miami, Florida 33133.</w:t>
      </w:r>
      <w:r>
        <w:rPr>
          <w:rFonts w:ascii="Times New Roman" w:hAnsi="Times New Roman"/>
          <w:sz w:val="24"/>
        </w:rPr>
        <w:t xml:space="preserve"> </w:t>
      </w:r>
    </w:p>
    <w:p>
      <w:pPr>
        <w:pStyle w:val="TextBody"/>
        <w:bidi w:val="0"/>
        <w:spacing w:before="0" w:after="0"/>
        <w:jc w:val="both"/>
        <w:rPr/>
      </w:pPr>
      <w:r>
        <w:rPr/>
        <w:t> </w:t>
      </w:r>
    </w:p>
    <w:tbl>
      <w:tblPr>
        <w:tblW w:w="9305" w:type="dxa"/>
        <w:jc w:val="left"/>
        <w:tblInd w:w="0" w:type="dxa"/>
        <w:tblLayout w:type="fixed"/>
        <w:tblCellMar>
          <w:top w:w="0" w:type="dxa"/>
          <w:left w:w="0" w:type="dxa"/>
          <w:bottom w:w="0" w:type="dxa"/>
          <w:right w:w="0" w:type="dxa"/>
        </w:tblCellMar>
      </w:tblPr>
      <w:tblGrid>
        <w:gridCol w:w="5510"/>
        <w:gridCol w:w="90"/>
        <w:gridCol w:w="90"/>
        <w:gridCol w:w="1625"/>
        <w:gridCol w:w="90"/>
        <w:gridCol w:w="90"/>
        <w:gridCol w:w="90"/>
        <w:gridCol w:w="1430"/>
        <w:gridCol w:w="290"/>
      </w:tblGrid>
      <w:tr>
        <w:trPr/>
        <w:tc>
          <w:tcPr>
            <w:tcW w:w="55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5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center"/>
              <w:rPr>
                <w:b/>
              </w:rPr>
            </w:pPr>
            <w:r>
              <w:rPr>
                <w:b/>
              </w:rPr>
              <w:t>Number of</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center"/>
              <w:rPr>
                <w:b/>
              </w:rPr>
            </w:pPr>
            <w:r>
              <w:rPr>
                <w:b/>
              </w:rPr>
              <w:t>Shares of</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center"/>
              <w:rPr>
                <w:b/>
              </w:rPr>
            </w:pPr>
            <w:r>
              <w:rPr>
                <w:b/>
              </w:rPr>
              <w:t>Beneficially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b/>
              </w:rPr>
            </w:pPr>
            <w:r>
              <w:rPr>
                <w:b/>
              </w:rPr>
              <w:t>Percentage of</w:t>
            </w:r>
          </w:p>
        </w:tc>
        <w:tc>
          <w:tcPr>
            <w:tcW w:w="290" w:type="dxa"/>
            <w:tcBorders/>
            <w:vAlign w:val="center"/>
          </w:tcPr>
          <w:p>
            <w:pPr>
              <w:pStyle w:val="TableContents"/>
              <w:bidi w:val="0"/>
              <w:spacing w:before="0" w:after="283"/>
              <w:jc w:val="left"/>
              <w:rPr/>
            </w:pPr>
            <w:r>
              <w:rPr/>
              <w:t> </w:t>
            </w:r>
          </w:p>
        </w:tc>
      </w:tr>
      <w:tr>
        <w:trPr/>
        <w:tc>
          <w:tcPr>
            <w:tcW w:w="5510" w:type="dxa"/>
            <w:tcBorders>
              <w:bottom w:val="single" w:sz="2" w:space="0" w:color="000000"/>
            </w:tcBorders>
            <w:tcMar>
              <w:bottom w:w="28" w:type="dxa"/>
            </w:tcMar>
            <w:vAlign w:val="center"/>
          </w:tcPr>
          <w:p>
            <w:pPr>
              <w:pStyle w:val="TableContents"/>
              <w:bidi w:val="0"/>
              <w:spacing w:before="0" w:after="283"/>
              <w:jc w:val="left"/>
              <w:rPr>
                <w:b/>
              </w:rPr>
            </w:pPr>
            <w:r>
              <w:rPr>
                <w:b/>
              </w:rPr>
              <w:t>Name and Address of Beneficial Owner</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625" w:type="dxa"/>
            <w:tcBorders>
              <w:bottom w:val="single" w:sz="2" w:space="0" w:color="000000"/>
            </w:tcBorders>
            <w:tcMar>
              <w:bottom w:w="28" w:type="dxa"/>
            </w:tcMar>
            <w:vAlign w:val="center"/>
          </w:tcPr>
          <w:p>
            <w:pPr>
              <w:pStyle w:val="TableContents"/>
              <w:bidi w:val="0"/>
              <w:spacing w:before="0" w:after="283"/>
              <w:jc w:val="center"/>
              <w:rPr>
                <w:b/>
              </w:rPr>
            </w:pPr>
            <w:r>
              <w:rPr>
                <w:b/>
              </w:rPr>
              <w:t>Owned (1)</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430" w:type="dxa"/>
            <w:tcBorders>
              <w:bottom w:val="single" w:sz="2" w:space="0" w:color="000000"/>
            </w:tcBorders>
            <w:tcMar>
              <w:bottom w:w="28" w:type="dxa"/>
            </w:tcMar>
            <w:vAlign w:val="center"/>
          </w:tcPr>
          <w:p>
            <w:pPr>
              <w:pStyle w:val="TableContents"/>
              <w:bidi w:val="0"/>
              <w:spacing w:before="0" w:after="283"/>
              <w:jc w:val="center"/>
              <w:rPr>
                <w:b/>
              </w:rPr>
            </w:pPr>
            <w:r>
              <w:rPr>
                <w:b/>
              </w:rPr>
              <w:t>Class (2)</w:t>
            </w:r>
          </w:p>
        </w:tc>
        <w:tc>
          <w:tcPr>
            <w:tcW w:w="29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b/>
              </w:rPr>
            </w:pPr>
            <w:r>
              <w:rPr>
                <w:b/>
              </w:rPr>
              <w:t>5% Stockholders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283"/>
              <w:jc w:val="left"/>
              <w:rPr/>
            </w:pPr>
            <w:r>
              <w:rPr/>
              <w:t>Elwood G. Norris(3)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right"/>
              <w:rPr/>
            </w:pPr>
            <w:r>
              <w:rPr/>
              <w:t>5,505,981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9.92</w:t>
            </w:r>
          </w:p>
        </w:tc>
        <w:tc>
          <w:tcPr>
            <w:tcW w:w="290" w:type="dxa"/>
            <w:tcBorders/>
            <w:shd w:fill="CCEEFF" w:val="clear"/>
            <w:vAlign w:val="center"/>
          </w:tcPr>
          <w:p>
            <w:pPr>
              <w:pStyle w:val="TableContents"/>
              <w:bidi w:val="0"/>
              <w:spacing w:before="0" w:after="283"/>
              <w:jc w:val="left"/>
              <w:rPr/>
            </w:pPr>
            <w:r>
              <w:rPr/>
              <w:t>%</w:t>
            </w:r>
          </w:p>
        </w:tc>
      </w:tr>
      <w:tr>
        <w:trPr/>
        <w:tc>
          <w:tcPr>
            <w:tcW w:w="5510" w:type="dxa"/>
            <w:tcBorders/>
            <w:vAlign w:val="center"/>
          </w:tcPr>
          <w:p>
            <w:pPr>
              <w:pStyle w:val="TableContents"/>
              <w:bidi w:val="0"/>
              <w:spacing w:before="0" w:after="283"/>
              <w:jc w:val="left"/>
              <w:rPr/>
            </w:pPr>
            <w:r>
              <w:rPr/>
              <w:t>Iroquois Capital Investment Group, LLC (4)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6,159,822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9.99</w:t>
            </w:r>
          </w:p>
        </w:tc>
        <w:tc>
          <w:tcPr>
            <w:tcW w:w="290" w:type="dxa"/>
            <w:tcBorders/>
            <w:vAlign w:val="center"/>
          </w:tcPr>
          <w:p>
            <w:pPr>
              <w:pStyle w:val="TableContents"/>
              <w:bidi w:val="0"/>
              <w:spacing w:before="0" w:after="283"/>
              <w:jc w:val="left"/>
              <w:rPr/>
            </w:pPr>
            <w:r>
              <w:rPr/>
              <w:t>%</w:t>
            </w:r>
          </w:p>
        </w:tc>
      </w:tr>
      <w:tr>
        <w:trPr/>
        <w:tc>
          <w:tcPr>
            <w:tcW w:w="5510" w:type="dxa"/>
            <w:tcBorders/>
            <w:shd w:fill="CCEEFF" w:val="clear"/>
            <w:vAlign w:val="center"/>
          </w:tcPr>
          <w:p>
            <w:pPr>
              <w:pStyle w:val="TableContents"/>
              <w:bidi w:val="0"/>
              <w:spacing w:before="0" w:after="283"/>
              <w:jc w:val="left"/>
              <w:rPr/>
            </w:pPr>
            <w:r>
              <w:rPr/>
              <w:t>Scot Cohen/V4 Global LLC (5)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right"/>
              <w:rPr/>
            </w:pPr>
            <w:r>
              <w:rPr/>
              <w:t>11,808,987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17.75</w:t>
            </w:r>
          </w:p>
        </w:tc>
        <w:tc>
          <w:tcPr>
            <w:tcW w:w="290" w:type="dxa"/>
            <w:tcBorders/>
            <w:shd w:fill="CCEEFF" w:val="clear"/>
            <w:vAlign w:val="center"/>
          </w:tcPr>
          <w:p>
            <w:pPr>
              <w:pStyle w:val="TableContents"/>
              <w:bidi w:val="0"/>
              <w:spacing w:before="0" w:after="283"/>
              <w:jc w:val="left"/>
              <w:rPr/>
            </w:pPr>
            <w:r>
              <w:rPr/>
              <w:t>%</w:t>
            </w:r>
          </w:p>
        </w:tc>
      </w:tr>
      <w:tr>
        <w:trPr/>
        <w:tc>
          <w:tcPr>
            <w:tcW w:w="551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283"/>
              <w:jc w:val="left"/>
              <w:rPr>
                <w:b/>
              </w:rPr>
            </w:pPr>
            <w:r>
              <w:rPr>
                <w:b/>
              </w:rPr>
              <w:t>Named Executive Officers and Directors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lef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Scot Cohen/V4 Global LLC (5)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11,808,987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17.75</w:t>
            </w:r>
          </w:p>
        </w:tc>
        <w:tc>
          <w:tcPr>
            <w:tcW w:w="290" w:type="dxa"/>
            <w:tcBorders/>
            <w:vAlign w:val="center"/>
          </w:tcPr>
          <w:p>
            <w:pPr>
              <w:pStyle w:val="TableContents"/>
              <w:bidi w:val="0"/>
              <w:spacing w:before="0" w:after="283"/>
              <w:jc w:val="left"/>
              <w:rPr/>
            </w:pPr>
            <w:r>
              <w:rPr/>
              <w:t>%</w:t>
            </w:r>
          </w:p>
        </w:tc>
      </w:tr>
      <w:tr>
        <w:trPr/>
        <w:tc>
          <w:tcPr>
            <w:tcW w:w="5510" w:type="dxa"/>
            <w:tcBorders/>
            <w:shd w:fill="CCEEFF" w:val="clear"/>
            <w:vAlign w:val="center"/>
          </w:tcPr>
          <w:p>
            <w:pPr>
              <w:pStyle w:val="TableContents"/>
              <w:bidi w:val="0"/>
              <w:spacing w:before="0" w:after="283"/>
              <w:jc w:val="left"/>
              <w:rPr/>
            </w:pPr>
            <w:r>
              <w:rPr/>
              <w:t>Jared Novick/Continuum Ventures, LLC (6)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right"/>
              <w:rPr/>
            </w:pPr>
            <w:r>
              <w:rPr/>
              <w:t>2,383,350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4.14</w:t>
            </w:r>
          </w:p>
        </w:tc>
        <w:tc>
          <w:tcPr>
            <w:tcW w:w="290" w:type="dxa"/>
            <w:tcBorders/>
            <w:shd w:fill="CCEEFF" w:val="clear"/>
            <w:vAlign w:val="center"/>
          </w:tcPr>
          <w:p>
            <w:pPr>
              <w:pStyle w:val="TableContents"/>
              <w:bidi w:val="0"/>
              <w:spacing w:before="0" w:after="283"/>
              <w:jc w:val="left"/>
              <w:rPr/>
            </w:pPr>
            <w:r>
              <w:rPr/>
              <w:t>%</w:t>
            </w:r>
          </w:p>
        </w:tc>
      </w:tr>
      <w:tr>
        <w:trPr/>
        <w:tc>
          <w:tcPr>
            <w:tcW w:w="5510" w:type="dxa"/>
            <w:tcBorders/>
            <w:vAlign w:val="center"/>
          </w:tcPr>
          <w:p>
            <w:pPr>
              <w:pStyle w:val="TableContents"/>
              <w:bidi w:val="0"/>
              <w:spacing w:before="0" w:after="283"/>
              <w:jc w:val="left"/>
              <w:rPr/>
            </w:pPr>
            <w:r>
              <w:rPr/>
              <w:t>Bruce Bernstein (7)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297,673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283"/>
              <w:jc w:val="left"/>
              <w:rPr/>
            </w:pPr>
            <w:r>
              <w:rPr/>
              <w:t>Marc Savas/Savbo Investments LLC (8)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right"/>
              <w:rPr/>
            </w:pPr>
            <w:r>
              <w:rPr/>
              <w:t>1,098,837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1.95</w:t>
            </w:r>
          </w:p>
        </w:tc>
        <w:tc>
          <w:tcPr>
            <w:tcW w:w="290" w:type="dxa"/>
            <w:tcBorders/>
            <w:shd w:fill="CCEEFF" w:val="clear"/>
            <w:vAlign w:val="center"/>
          </w:tcPr>
          <w:p>
            <w:pPr>
              <w:pStyle w:val="TableContents"/>
              <w:bidi w:val="0"/>
              <w:spacing w:before="0" w:after="283"/>
              <w:jc w:val="left"/>
              <w:rPr/>
            </w:pPr>
            <w:r>
              <w:rPr/>
              <w:t>%</w:t>
            </w:r>
          </w:p>
        </w:tc>
      </w:tr>
      <w:tr>
        <w:trPr/>
        <w:tc>
          <w:tcPr>
            <w:tcW w:w="5510" w:type="dxa"/>
            <w:tcBorders/>
            <w:vAlign w:val="center"/>
          </w:tcPr>
          <w:p>
            <w:pPr>
              <w:pStyle w:val="TableContents"/>
              <w:bidi w:val="0"/>
              <w:spacing w:before="0" w:after="283"/>
              <w:jc w:val="left"/>
              <w:rPr/>
            </w:pPr>
            <w:r>
              <w:rPr/>
              <w:t>Rajiv Srinivasan (9)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123,672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510" w:type="dxa"/>
            <w:tcBorders/>
            <w:shd w:fill="CCEEFF" w:val="clear"/>
            <w:vAlign w:val="center"/>
          </w:tcPr>
          <w:p>
            <w:pPr>
              <w:pStyle w:val="TableContents"/>
              <w:bidi w:val="0"/>
              <w:spacing w:before="0" w:after="283"/>
              <w:jc w:val="left"/>
              <w:rPr/>
            </w:pPr>
            <w:r>
              <w:rPr/>
              <w:t>Vice Admiral Tim Szymanski (10)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right"/>
              <w:rPr/>
            </w:pPr>
            <w:r>
              <w:rPr/>
              <w:t>119,752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John Shulman / Juggernaut Management, LLC (11)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605,394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1.09</w:t>
            </w:r>
          </w:p>
        </w:tc>
        <w:tc>
          <w:tcPr>
            <w:tcW w:w="290" w:type="dxa"/>
            <w:tcBorders/>
            <w:vAlign w:val="center"/>
          </w:tcPr>
          <w:p>
            <w:pPr>
              <w:pStyle w:val="TableContents"/>
              <w:bidi w:val="0"/>
              <w:spacing w:before="0" w:after="283"/>
              <w:jc w:val="left"/>
              <w:rPr/>
            </w:pPr>
            <w:r>
              <w:rPr/>
              <w:t>%</w:t>
            </w:r>
          </w:p>
        </w:tc>
      </w:tr>
      <w:tr>
        <w:trPr/>
        <w:tc>
          <w:tcPr>
            <w:tcW w:w="5510" w:type="dxa"/>
            <w:tcBorders/>
            <w:shd w:fill="CCEEFF" w:val="clear"/>
            <w:vAlign w:val="center"/>
          </w:tcPr>
          <w:p>
            <w:pPr>
              <w:pStyle w:val="TableContents"/>
              <w:bidi w:val="0"/>
              <w:spacing w:before="0" w:after="283"/>
              <w:jc w:val="left"/>
              <w:rPr/>
            </w:pPr>
            <w:r>
              <w:rPr/>
              <w:t>Gerald Ratigan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25"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5510" w:type="dxa"/>
            <w:tcBorders/>
            <w:vAlign w:val="center"/>
          </w:tcPr>
          <w:p>
            <w:pPr>
              <w:pStyle w:val="TableContents"/>
              <w:bidi w:val="0"/>
              <w:spacing w:before="0" w:after="283"/>
              <w:jc w:val="left"/>
              <w:rPr/>
            </w:pPr>
            <w:r>
              <w:rPr/>
              <w:t>All directors and executive officers as a group (8 persons)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5" w:type="dxa"/>
            <w:tcBorders/>
            <w:vAlign w:val="center"/>
          </w:tcPr>
          <w:p>
            <w:pPr>
              <w:pStyle w:val="TableContents"/>
              <w:bidi w:val="0"/>
              <w:spacing w:before="0" w:after="283"/>
              <w:jc w:val="right"/>
              <w:rPr/>
            </w:pPr>
            <w:r>
              <w:rPr/>
              <w:t>16,437,665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25.89</w:t>
            </w:r>
          </w:p>
        </w:tc>
        <w:tc>
          <w:tcPr>
            <w:tcW w:w="290" w:type="dxa"/>
            <w:tcBorders/>
            <w:vAlign w:val="center"/>
          </w:tcPr>
          <w:p>
            <w:pPr>
              <w:pStyle w:val="TableContents"/>
              <w:bidi w:val="0"/>
              <w:spacing w:before="0" w:after="283"/>
              <w:jc w:val="left"/>
              <w:rPr/>
            </w:pPr>
            <w:r>
              <w:rPr/>
              <w:t>%</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Represents ownership of less than 1%.</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70</w:t>
      </w:r>
    </w:p>
    <w:p>
      <w:pPr>
        <w:pStyle w:val="HorizontalLine"/>
        <w:bidi w:val="0"/>
        <w:spacing w:before="0" w:after="0"/>
        <w:jc w:val="left"/>
        <w:rPr/>
      </w:pPr>
      <w:r>
        <w:rPr/>
      </w:r>
    </w:p>
    <w:p>
      <w:pPr>
        <w:pStyle w:val="TextBody"/>
        <w:bidi w:val="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numPr>
          <w:ilvl w:val="0"/>
          <w:numId w:val="83"/>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Beneficial ownership is determined in accordance with the rules of the SEC and generally includes voting or investment power with respect to securities. Each of the beneficial owners listed above has direct ownership of and sole voting power and investment power with respect to the shares set forth in the above table.</w:t>
      </w:r>
    </w:p>
    <w:p>
      <w:pPr>
        <w:pStyle w:val="TextBody"/>
        <w:numPr>
          <w:ilvl w:val="0"/>
          <w:numId w:val="83"/>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A total of 55,500,054 shares of our Common Stock are considered to be outstanding, pursuant to SEC Rule 13d-3(d)(1) as of March 23, 2026</w:t>
      </w:r>
    </w:p>
    <w:p>
      <w:pPr>
        <w:pStyle w:val="TextBody"/>
        <w:numPr>
          <w:ilvl w:val="0"/>
          <w:numId w:val="83"/>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 xml:space="preserve">Based on the Schedule 13D/A filed jointly with the SEC on January 29, 2026, by the Norris Family 1997 Trust (the “Norris Trust”), Elwood G. Norris and Stephanie A. Norris and certain information made available to the Company. The shares of Common Stock are directly held by the Trust and Mr. Norris. The shares of Common Stock directly held by Mr. Norris and the Norris Trust are also indirectly beneficially owned by Stephanie A. Norris, as a trustee of the Norris Trust. The amount reported herein consists of 5,505,981 shares of Common Stock. The address of each of the parties herein is 15891 Blue Crystal Trail, Poway, CA 92064. </w:t>
      </w:r>
    </w:p>
    <w:p>
      <w:pPr>
        <w:pStyle w:val="TextBody"/>
        <w:numPr>
          <w:ilvl w:val="0"/>
          <w:numId w:val="83"/>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 xml:space="preserve">Based on certain information made available to the Company. The securities reported herein are directly held by Iroquois Capital Investment Group LLC (“ICIG”) and Iroquois Master Fund, Ltd. (“IMF”). Consists of (i) 412,129 shares of common stock held by ICIG, (ii) 425,000 Pre-Funded Warrant Shares and held by ICIG (subject to a 9.99% beneficial ownership limitation), (iii) 425,000 Common Warrant Shares held by ICIG (subject to a 9.99% beneficial ownership limitation), (iv) 1,210,574 shares of common stock issuable upon exercise of certain warrants (subject to a 4.99% beneficial ownership limitation) held by ICIG, (v) 200,000 shares of common stock issuable upon conversion of 290 shares of the Company’s Series A Preferred Stock (subject to a 4.99% beneficial ownership limitation) held by ICIG, (vi) 408,333 shares of common stock issuable upon conversion of 612.5 shares of Series B Preferred Stock held by ICIG (subject to a 4.99% beneficial ownership limitation), (vii) 294,045 shares of common stock held by IMF, (viii) 375,000 Pre-Funded Warrant Shares and held by IMF (subject to a 9.99% beneficial ownership limitation), (ix) 375,000 Common Warrant Shares held by IMF (subject to a 9.99% beneficial ownership limitation), (x) 1,410,344 shares of common stock issuable upon conversion of 2,045 shares of the Company’s Series A Convertible Preferred Stock (subject to a 4.99% beneficial ownership limitation) held by IMF, (xi) 825,000 shares of common stock issuable upon exercise of 1,237.5 shares of Series B Preferred Stock held by IMF, and (xii) 3,643,966 shares of common stock issuable upon exercise of certain warrants (subject to a 4.99% beneficial ownership limitation) held by IMF. Iroquois Capital Management L.L.C. (“ICM”) is the investment manager of IMF. ICM has voting control and investment discretion over securities held by IMF. As Managing Members of ICM, Richard Abbe and Kimberly Page make voting and investment decisions on behalf of ICM in its capacity as investment manager to IMF. Mr. Abbe is the managing member of ICIG. Mr. Abbe has sole voting control and investment discretion over securities held by ICIG. As such, Mr. Abbe may be deemed to be the beneficial owner (as determined under Section 13(d) of the Securities Exchange Act of 1934, as amended) of the securities held by ICIG. As a result of the foregoing, Mr. Abbe and Mrs. Page may be deemed to have beneficial ownership (as determined under Section 13(d) of the Securities Exchange Act of 1934, as amended) of the securities held by ICM and IMF. The principal business address for ICIG and IMF is 2 Overhill Road, Suite 400, Scarsdale, NY 10583. </w:t>
      </w:r>
    </w:p>
    <w:p>
      <w:pPr>
        <w:pStyle w:val="TextBody"/>
        <w:numPr>
          <w:ilvl w:val="0"/>
          <w:numId w:val="83"/>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 xml:space="preserve">Based on certain information made available to the Company. Includes (i) 294,045 shares of Common Stock, (ii) 475,000 shares of Common Stock held by V4 Global, LLC (“V4 Global”), (iii) 1,410,344 shares of Common Stock issuable upon conversion of 2,045 shares of Series A Preferred Stock, (iv) 825,000 shares of Common Stock issuable upon conversion of 1237.5 shares of Series B Preferred Stock (subject to a 4.99% beneficial ownership blocker), (v) 3,643,966 shares of Common Stock issuable upon exercise of certain warrants (subject to a 4.99% beneficial ownership blocker), (vi) 375,000 shares of Common Stock issuable upon exercise of certain pre-funded warrants (subject to a 9.99% beneficial ownership blocker), (vii) 375,000 shares of Common Stock issuable upon exercise of certain warrants (subject to a 9.99% beneficial ownership blocker, and (viii) 4,310,632 shares of Common Stock issuable upon exercise of certain warrants held by V4 Global. Mr. Cohen has voting and dispositive control with respect to the securities held by V4 Capital Partners, LLC (“V4 Capital”) and V4 Global. As a result, Mr. Cohen may be deemed to have beneficial ownership (as determined under Section 13(d) of the Exchange Act) of the securities held by V4 Capital and V4 Global. The principal business address of V4 Capital, V4 Global and Mr. Cohen is 445 Grand Bay Drive, Apt. P1A, Key Biscayne, FL 33149. </w:t>
      </w:r>
    </w:p>
    <w:p>
      <w:pPr>
        <w:pStyle w:val="TextBody"/>
        <w:numPr>
          <w:ilvl w:val="0"/>
          <w:numId w:val="83"/>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 xml:space="preserve">Represents (i) 275,000 shares of Common Stock, (ii) 1,583,350 shares of Common Stock underlying stock options that were vested as of the date hereof, or could vest within 60 days hereafter, (iii) 250,000 shares of Common Stock underlying RSUs that were vested as of the date hereof, or could vest within 60 days hereafter and (iv) 275,000 shares of Common Stock underlying certain warrants (subject to a beneficial ownership limitation of 4.99%). The securities reported herein are directly held by Continuum Ventures, LLC and Jared Novick. Jared Novick is a manager of Continuum Ventures, LLC and has voting control and investment discretion over the securities reported herein that are held by Continuum Ventures, LLC. As a result, Mr. Novick may be deemed to have beneficial ownership (as determined under Section 13(d) of the Exchange Act of the securities reported herein that are held by Continuum Ventures, LLC. </w:t>
      </w:r>
    </w:p>
    <w:p>
      <w:pPr>
        <w:pStyle w:val="TextBody"/>
        <w:numPr>
          <w:ilvl w:val="0"/>
          <w:numId w:val="83"/>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 xml:space="preserve">Mr. Bernstein holds (i) 48,706 shares of Common Stock, (ii) 222,500 shares of Common Stock underlying stock options that were vested as of the date hereof, or will vest within 60 days hereafter, and (iii) 26,467 shares of Common Stock underlying RSUs that were vested as of the date hereof, or will vest within 60 days hereafter. </w:t>
      </w:r>
    </w:p>
    <w:p>
      <w:pPr>
        <w:pStyle w:val="TextBody"/>
        <w:numPr>
          <w:ilvl w:val="0"/>
          <w:numId w:val="83"/>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 xml:space="preserve">Represents (i) 139,409 shares of Common Stock, (ii) 394,827 shares of Common Stock issuable upon exercise of certain warrants (with certain warrants subject to a 4.99% beneficial ownership blocker), (iii) 500 shares of Series A Preferred Stock, convertible into up to approximately 344,828 shares of Common Stock (subject to a 4.99% beneficial ownership blocker), (iv) 69,773 shares of Common Stock underlying RSUs that were vested as of the date hereof, or will vest within 60 days hereafter, (v) 75,000 shares of Common Stock held by Savbo Investments LLC (“Savbo”), and (vi) 75,000 shares of Common Stock issuable upon exercise of certain warrants (with certain warrants subject to a 4.99% beneficial ownership blocker) held by Savbo. Marc Savas is a manager of Savbo Investments LLC and has voting control and investment discretion over the securities reported herein that are held by Savbo Investments LLC. As a result, Mr. Savas may be deemed to have beneficial ownership (as determined under Section 13(d) of the Exchange Act of the securities reported herein that are held by Savbo Investments LLC. </w:t>
      </w:r>
    </w:p>
    <w:p>
      <w:pPr>
        <w:pStyle w:val="TextBody"/>
        <w:numPr>
          <w:ilvl w:val="0"/>
          <w:numId w:val="83"/>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 xml:space="preserve">Mr. Srinivasan holds (i) 29,370 shares of common stock, (ii) 75,000 shares of common stock underlying stock options that were vested as of the date hereof, or will vest within 60 days hereafter and (iii) 19,302 shares of common stock underlying RSUs that were vested as of the date hereof, or will vest within 60 days hereafter. </w:t>
      </w:r>
    </w:p>
    <w:p>
      <w:pPr>
        <w:pStyle w:val="TextBody"/>
        <w:numPr>
          <w:ilvl w:val="0"/>
          <w:numId w:val="83"/>
        </w:numPr>
        <w:tabs>
          <w:tab w:val="clear" w:pos="1134"/>
          <w:tab w:val="left" w:pos="709" w:leader="none"/>
        </w:tabs>
        <w:bidi w:val="0"/>
        <w:spacing w:before="0" w:after="0"/>
        <w:ind w:left="709" w:hanging="283"/>
        <w:jc w:val="left"/>
        <w:rPr>
          <w:rFonts w:ascii="Times New Roman" w:hAnsi="Times New Roman"/>
          <w:sz w:val="20"/>
        </w:rPr>
      </w:pPr>
      <w:r>
        <w:rPr>
          <w:rFonts w:ascii="Times New Roman" w:hAnsi="Times New Roman"/>
          <w:sz w:val="20"/>
        </w:rPr>
        <w:t xml:space="preserve">Mr. Szymanski holds (i) 79,810 shares of common stock, (ii) 22,500 shares of common stock underlying stock options that were vested as of the date hereof, or will vest within 60 days hereafter and (iii) 17,442 shares of common stock underlying RSUs that were vested as of the date hereof, or will vest within 60 days hereafter. </w:t>
      </w:r>
    </w:p>
    <w:p>
      <w:pPr>
        <w:pStyle w:val="TextBody"/>
        <w:numPr>
          <w:ilvl w:val="0"/>
          <w:numId w:val="83"/>
        </w:numPr>
        <w:tabs>
          <w:tab w:val="clear" w:pos="1134"/>
          <w:tab w:val="left" w:pos="709" w:leader="none"/>
        </w:tabs>
        <w:bidi w:val="0"/>
        <w:ind w:left="709" w:hanging="283"/>
        <w:jc w:val="left"/>
        <w:rPr>
          <w:rFonts w:ascii="Times New Roman" w:hAnsi="Times New Roman"/>
          <w:sz w:val="20"/>
        </w:rPr>
      </w:pPr>
      <w:r>
        <w:rPr>
          <w:rFonts w:ascii="Times New Roman" w:hAnsi="Times New Roman"/>
          <w:sz w:val="20"/>
        </w:rPr>
        <w:t>Based on certain information available to the Company. Consists of (i) 66,000 shares of Common Stock, (ii) 30,000 shares of common stock underlying stock options that were vested as of the date hereof, or will vest within 60 days hereafter, (iii) 9,394 shares of common stock underlying RSUs that were vested as of the date hereof, or will vest within 60 days hereafter, (iv) 250,000 shares of Common Stock held by Juggernaut Management, LLC (“Juggernaut”), and (v) 250,000 shares of Common Stock issuable upon exercise of certain warrants (subject to a 4.99% beneficial ownership blocker). John Shulman is a manager of Juggernaut and has voting control and investment discretion over the securities reported herein that are held by Juggernaut. As a result, Mr. Shulman may be deemed to have beneficial ownership (as determined under Section 13(d) of the Exchange Act of the securities reported herein that are held by Juggernaut.</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71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bookmarkStart w:id="23" w:name="ITEM_13_CERTAIN_RELATIONSHIPS_AND_RELATE"/>
      <w:bookmarkEnd w:id="23"/>
      <w:r>
        <w:rPr>
          <w:rFonts w:ascii="Times New Roman" w:hAnsi="Times New Roman"/>
          <w:b/>
          <w:sz w:val="20"/>
        </w:rPr>
        <w:t>ITEM 13. CERTAIN RELATIONSHIPS AND RELATED TRANSACTIONS AND DIRECTOR INDEPENDENCE.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Transactions with Related Persons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SEC rules require us to disclose any transaction or currently proposed transaction in which we are a participant and in which any related person has or will have a direct or indirect material interest involving an amount that exceeds the lesser of $120,000 or one percent (1%) of the average of the Company’s total assets as of the end of the last two completed fiscal years. A related person is any executive officer, director, nominee for director, or holder of 5% or more of the Company’s Common Stock, or an immediate family member of any of those persons.</w:t>
      </w:r>
      <w:r>
        <w:rPr>
          <w:rFonts w:ascii="Times New Roman" w:hAnsi="Times New Roman"/>
          <w:sz w:val="24"/>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 Company has adopted a Related Person Transaction Policy pursuant to which the Audit Committee of the Board is responsible for reviewing and approving all transactions in which the Company is a participant and in which any director, executive officer, holder of more than 5% of the Company's voting securities, or any immediate family member of such persons has or will have a direct or indirect material interest. In reviewing and approving any related party transaction, the Audit Committee considers all relevant facts and circumstances, including whether the transaction is on terms no less favorable to the Company than terms that could have been reached with an unrelated third party and whether the transaction is in the best interests of the Company and its stockholders. The Company's Code requires directors, officers, and employees to disclose to their supervisor, the Chair of the Audit Committee, or the Chair of the Board any material transaction or relationship that could reasonably be expected to give rise to a conflict of interest. All of the related party transactions described herein were reviewed and approved or ratified by the Audit Committee in accordance with the Company's Related Person Transaction Policy.</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b/>
          <w:sz w:val="20"/>
        </w:rPr>
        <w:t>Series A Preferred Stock</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On June 29, 2023, the Company entered into the Series A Purchase Agreement with certain investors, including Scot Cohen, the Company’s Chief Executive Officer, and V4 Global. Mr. Cohen has voting and dispositive control with respect to the securities and is deemed to be the beneficial owner of the securities held by V4 Global. Pursuant to the Series A Purchase Agreement, the Company issued to Mr. Cohen and V4 Global an aggregate of 3,000 shares of Series A Preferred Stock and Series A Warrants to purchase up to an aggregate of 2,068,966 shares of Common Stock for aggregate gross proceeds of $3,000,000. For the year ended December 31, 2025, Mr. Cohen earned dividends totaling $300,000 on his Series A Preferred Stock.</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February 2025 Private Placement</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On February 24, 2025, the Company entered into the PIPE Purchase Agreement with the PIPE Purchasers for the issuance and sale in a private placement of an aggregate of 3,216,666 shares of Common Stock and PIPE Warrants to purchase up to 3,216,666 shares of Common Stock, with an exercise price of $1.80 per share. The purchase price for one share of Common Stock and accompanying PIPE Warrant was $1.80. The estimated gross proceeds to the Company were $5.8 million, before estimated offering expenses payable by the Company.</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Company issued the following to related parties: (i) Mr. Cohen through V4 Global an aggregate of 1,100,000 shares of Common Stock and PIPE Warrants to purchase up to an aggregate of 1,100,000 shares of common stock for aggregate gross proceeds of $1,980,000, (ii) Mr. Novick through Continuum Ventures LLC an aggregate of 275,000 shares of Common Stock and PIPE Warrants to purchase up to an aggregate of 275,000 shares of Common Stock for aggregate gross proceeds of $495,000, and (iii) Mr. Savas through Savbo Investments LLC an aggregate of 50,000 shares of common stock and PIPE Warrants to purchase up to an aggregate of 50,000 shares of common stock for aggregate gross proceeds of $90,000. For the year ended December 31, 2025, V4 Global earned dividends totali</w:t>
      </w:r>
      <w:r>
        <w:rPr>
          <w:rFonts w:ascii="Times New Roman" w:hAnsi="Times New Roman"/>
          <w:sz w:val="20"/>
          <w:shd w:fill="FFFFFF" w:val="clear"/>
        </w:rPr>
        <w:t>ng $192,500 on t</w:t>
      </w:r>
      <w:r>
        <w:rPr>
          <w:rFonts w:ascii="Times New Roman" w:hAnsi="Times New Roman"/>
          <w:sz w:val="20"/>
        </w:rPr>
        <w:t>he Series A Preferred Stock.</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72</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b/>
          <w:sz w:val="20"/>
        </w:rPr>
      </w:pPr>
      <w:r>
        <w:rPr>
          <w:rFonts w:ascii="Times New Roman" w:hAnsi="Times New Roman"/>
          <w:b/>
          <w:sz w:val="20"/>
        </w:rPr>
        <w:t>August 2025 Private Placement</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August 18, 2025, the Company entered into the Series B Securities Purchase Agreement with the Series B Purchasers for the issuance and sale in a private placement of an aggregate of (i) 4,500 shares of Series B Preferred Stock, initially convertible into up to 3,000,000 shares of the Company’s Common Stock, at an initial conversion price of $1.50 per share, and (ii) accompanying Series B Warrants to purchase up to 3,000,000 shares of Common Stock, with an initial exercise price of $1.50 per share. The estimated gross proceeds of the Series B Private Placement to the Company were $4.5 million, before estimated offering expenses payable by the Company. In connection with the Series B Private Placement, the Company issued to Mr. Cohen, through V4, an aggregate of 1,000 shares of Series B Preferred Stock and Series B Warrants to purchase up to an aggregate of 666,667 shares of Common Stock for aggregate gross proceeds of $1,000,000. </w:t>
      </w:r>
    </w:p>
    <w:p>
      <w:pPr>
        <w:pStyle w:val="TextBody"/>
        <w:bidi w:val="0"/>
        <w:spacing w:before="0" w:after="0"/>
        <w:jc w:val="both"/>
        <w:rPr/>
      </w:pPr>
      <w:r>
        <w:rPr/>
        <w:t>  </w:t>
      </w:r>
    </w:p>
    <w:p>
      <w:pPr>
        <w:pStyle w:val="TextBody"/>
        <w:bidi w:val="0"/>
        <w:spacing w:before="0" w:after="0"/>
        <w:jc w:val="both"/>
        <w:rPr>
          <w:rFonts w:ascii="Times New Roman" w:hAnsi="Times New Roman"/>
          <w:b/>
          <w:sz w:val="20"/>
        </w:rPr>
      </w:pPr>
      <w:r>
        <w:rPr>
          <w:rFonts w:ascii="Times New Roman" w:hAnsi="Times New Roman"/>
          <w:b/>
          <w:sz w:val="20"/>
        </w:rPr>
        <w:t xml:space="preserve">February 2026 Private Placement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On February 2, 2026, we entered into the February 2026 Purchase Agreement with the February 2026 Purchasers for the issuance and sale in a private placement of (i) an aggregate of 1,700,000 shares of Common Stock, (ii) Pre-Funded Warrants to purchase up to 800,000 shares of Common Stock, with an exercise price of $0.0001 per share, and (iii) Common Warrants to purchase up to 2,500,000 shares of Common Stock, with an exercise price of $2.30 per share. The estimated gross proceeds from the February 2026 Closing were approximately $5.0 million, prior to deducting offering expenses payable by us. The Company issued the following to related parties: (i) an aggregate of 475,000 shares of Common Stock and Common Warrants to purchase up to an aggregate of 475,000 shares of Common Stock for aggregate gross proceeds of $950,000 to Mr. Cohen through V4 Global, (ii) an aggregate of 250,000 shares of Common Stock and Common Warrants to purchase up to an aggregate of 250,000 shares of Common Stock for aggregate gross proceeds of $500,000 to Mr. Shulman through Juggernaut Management, LLC, and (iii) an aggregate of 25,000 shares of Common Stock and Common Warrants to purchase up to an aggregate of 25,000 shares of Common Stock for aggregate gross proceeds of $50,000 to Mr. Savas through Savbo Investments LLC.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Director Independence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See “Directors, Executive Officers and Corporate Governance - Director Independence” and “Directors, Executive Officers and Corporate Governance - Board Committees” above.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bookmarkStart w:id="24" w:name="ITEM_14_PRINCIPAL_ACCOUNTING_FEES_AND_SE"/>
      <w:bookmarkEnd w:id="24"/>
      <w:r>
        <w:rPr>
          <w:rFonts w:ascii="Times New Roman" w:hAnsi="Times New Roman"/>
          <w:b/>
          <w:sz w:val="20"/>
        </w:rPr>
        <w:t>ITEM 14. PRINCIPAL ACCOUNTING FEES AND SERVICES.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Independent Registered Public Accounting Firm</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Audit Committee, effective as of May 7, 2024, appointed HTL International, LLC (“HTL”) as the Company’s independent registered public accounting firm for the Company’s fiscal year since then.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Audit and Non-Audit Fees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Company engaged HTL from May 7, 2024, to present. The following table presents fees for professional audit services rendered by HTL for audit and other services provided for the fiscal years ended December 31, 2025, and December 31, 2024. </w:t>
      </w:r>
    </w:p>
    <w:p>
      <w:pPr>
        <w:pStyle w:val="TextBody"/>
        <w:bidi w:val="0"/>
        <w:spacing w:before="0" w:after="0"/>
        <w:jc w:val="both"/>
        <w:rPr/>
      </w:pPr>
      <w:r>
        <w:rPr/>
        <w:t xml:space="preserve">  </w:t>
      </w:r>
    </w:p>
    <w:tbl>
      <w:tblPr>
        <w:tblW w:w="4555" w:type="dxa"/>
        <w:jc w:val="left"/>
        <w:tblInd w:w="0" w:type="dxa"/>
        <w:tblLayout w:type="fixed"/>
        <w:tblCellMar>
          <w:top w:w="0" w:type="dxa"/>
          <w:left w:w="0" w:type="dxa"/>
          <w:bottom w:w="0" w:type="dxa"/>
          <w:right w:w="0" w:type="dxa"/>
        </w:tblCellMar>
      </w:tblPr>
      <w:tblGrid>
        <w:gridCol w:w="2150"/>
        <w:gridCol w:w="90"/>
        <w:gridCol w:w="170"/>
        <w:gridCol w:w="830"/>
        <w:gridCol w:w="90"/>
        <w:gridCol w:w="90"/>
        <w:gridCol w:w="170"/>
        <w:gridCol w:w="830"/>
        <w:gridCol w:w="135"/>
      </w:tblGrid>
      <w:tr>
        <w:trPr/>
        <w:tc>
          <w:tcPr>
            <w:tcW w:w="215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1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center"/>
              <w:rPr>
                <w:b/>
              </w:rPr>
            </w:pPr>
            <w:r>
              <w:rPr>
                <w:b/>
              </w:rPr>
              <w:t>2025</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left"/>
              <w:rPr/>
            </w:pPr>
            <w:r>
              <w:rPr/>
              <w:t>Audit Fees(1)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175,000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165,000</w:t>
            </w:r>
          </w:p>
        </w:tc>
        <w:tc>
          <w:tcPr>
            <w:tcW w:w="135" w:type="dxa"/>
            <w:tcBorders/>
            <w:shd w:fill="CCEEFF" w:val="clear"/>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Audit Related Fees(2)</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19,000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left"/>
              <w:rPr/>
            </w:pPr>
            <w:r>
              <w:rPr/>
              <w:t>Tax Fees(3)</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All Other Fees(4)</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830" w:type="dxa"/>
            <w:tcBorders>
              <w:bottom w:val="single" w:sz="2" w:space="0" w:color="000000"/>
            </w:tcBorders>
            <w:tcMar>
              <w:bottom w:w="28" w:type="dxa"/>
            </w:tcMar>
            <w:vAlign w:val="center"/>
          </w:tcPr>
          <w:p>
            <w:pPr>
              <w:pStyle w:val="TableContents"/>
              <w:bidi w:val="0"/>
              <w:spacing w:before="0" w:after="283"/>
              <w:jc w:val="right"/>
              <w:rPr/>
            </w:pPr>
            <w:r>
              <w:rPr/>
              <w:t>-</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50"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194,000</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single" w:sz="2" w:space="0" w:color="000000"/>
            </w:tcBorders>
            <w:shd w:fill="CCEEFF" w:val="clear"/>
            <w:tcMar>
              <w:bottom w:w="28" w:type="dxa"/>
            </w:tcMar>
            <w:vAlign w:val="center"/>
          </w:tcPr>
          <w:p>
            <w:pPr>
              <w:pStyle w:val="TableContents"/>
              <w:bidi w:val="0"/>
              <w:spacing w:before="0" w:after="283"/>
              <w:jc w:val="right"/>
              <w:rPr/>
            </w:pPr>
            <w:r>
              <w:rPr/>
              <w:t>165,000</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(1)   A</w:t>
      </w:r>
      <w:r>
        <w:rPr>
          <w:rFonts w:ascii="Times New Roman" w:hAnsi="Times New Roman"/>
          <w:spacing w:val="0"/>
          <w:sz w:val="20"/>
        </w:rPr>
        <w:t>udit Fees include fees for services rendered for the audit of our annual financial statements, the review of financial statements included in our Quarterly Reports on Form 10-Q, assistance with and review of documents filed with the SEC and consents and other services normally provided in connection with regulatory filings.</w:t>
      </w:r>
    </w:p>
    <w:p>
      <w:pPr>
        <w:pStyle w:val="TextBody"/>
        <w:bidi w:val="0"/>
        <w:spacing w:before="0" w:after="0"/>
        <w:ind w:left="0" w:right="0" w:hanging="0"/>
        <w:jc w:val="both"/>
        <w:rPr>
          <w:rFonts w:ascii="Times New Roman" w:hAnsi="Times New Roman"/>
          <w:sz w:val="20"/>
        </w:rPr>
      </w:pPr>
      <w:r>
        <w:rPr>
          <w:rFonts w:ascii="Times New Roman" w:hAnsi="Times New Roman"/>
          <w:sz w:val="20"/>
        </w:rPr>
        <w:t>(2)   A</w:t>
      </w:r>
      <w:r>
        <w:rPr>
          <w:rFonts w:ascii="Times New Roman" w:hAnsi="Times New Roman"/>
          <w:spacing w:val="0"/>
          <w:sz w:val="20"/>
        </w:rPr>
        <w:t>udit Related fees principally include fees incurred for due diligence in connection with potential transactions and accounting consultations.</w:t>
      </w:r>
    </w:p>
    <w:p>
      <w:pPr>
        <w:pStyle w:val="TextBody"/>
        <w:bidi w:val="0"/>
        <w:spacing w:before="0" w:after="0"/>
        <w:ind w:left="0" w:right="0" w:hanging="0"/>
        <w:jc w:val="both"/>
        <w:rPr>
          <w:rFonts w:ascii="Times New Roman" w:hAnsi="Times New Roman"/>
          <w:sz w:val="20"/>
        </w:rPr>
      </w:pPr>
      <w:r>
        <w:rPr>
          <w:rFonts w:ascii="Times New Roman" w:hAnsi="Times New Roman"/>
          <w:sz w:val="20"/>
        </w:rPr>
        <w:t>(3)   T</w:t>
      </w:r>
      <w:r>
        <w:rPr>
          <w:rFonts w:ascii="Times New Roman" w:hAnsi="Times New Roman"/>
          <w:spacing w:val="0"/>
          <w:sz w:val="20"/>
        </w:rPr>
        <w:t>ax Fees would include fees for services rendered for tax compliance, tax advice, and tax planning.</w:t>
      </w:r>
    </w:p>
    <w:p>
      <w:pPr>
        <w:pStyle w:val="TextBody"/>
        <w:bidi w:val="0"/>
        <w:spacing w:before="0" w:after="0"/>
        <w:ind w:left="0" w:right="0" w:hanging="0"/>
        <w:jc w:val="both"/>
        <w:rPr>
          <w:rFonts w:ascii="Times New Roman" w:hAnsi="Times New Roman"/>
          <w:sz w:val="20"/>
        </w:rPr>
      </w:pPr>
      <w:r>
        <w:rPr>
          <w:rFonts w:ascii="Times New Roman" w:hAnsi="Times New Roman"/>
          <w:sz w:val="20"/>
        </w:rPr>
        <w:t>(4)   A</w:t>
      </w:r>
      <w:r>
        <w:rPr>
          <w:rFonts w:ascii="Times New Roman" w:hAnsi="Times New Roman"/>
          <w:spacing w:val="0"/>
          <w:sz w:val="20"/>
        </w:rPr>
        <w:t>ll Other Fees would include fees that do not constitute Audit Fees, Audit Related Fees, or Tax Fees.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 percentage of services set forth above in the category audit related fees, that were approved by the Audit Committee pursuant to Rule 2-01(c)(7)(i)(C) (relating to the approval of a de minimis amount of non-audit services after the fact but before completion of the audit), was 100%.</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73</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b/>
          <w:sz w:val="20"/>
        </w:rPr>
        <w:t>Policy on Audit Committee Pre-Approval of Audit and Permissible Non-Audit Services of Independent Auditors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Consistent with SEC policies regarding auditor independence, the Audit Committee has responsibility for appointing, setting compensation and overseeing the work of our independent registered public accounting firm. In recognition of this responsibility, the Audit Committee has established a policy to pre-approve all audit and permissible non-audit services provided by our independent registered public accounting firm.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Prior to engagement of an independent registered public accounting firm for the next year’s audit, management will submit an aggregate of services expected to be rendered during that year for each of four categories of services to the Audit Committee for approval.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1. Audit services include audit work performed in the preparation of financial statements, as well as work that generally only an independent registered public accounting firm can reasonably be expected to provide, including comfort letters, statutory audits, and attest services and consultation regarding financial accounting and/or reporting standards. </w:t>
      </w:r>
    </w:p>
    <w:p>
      <w:pPr>
        <w:pStyle w:val="TextBody"/>
        <w:bidi w:val="0"/>
        <w:spacing w:before="0" w:after="0"/>
        <w:jc w:val="both"/>
        <w:rPr>
          <w:rFonts w:ascii="Times New Roman" w:hAnsi="Times New Roman"/>
          <w:sz w:val="20"/>
        </w:rPr>
      </w:pPr>
      <w:r>
        <w:rPr>
          <w:rFonts w:ascii="Times New Roman" w:hAnsi="Times New Roman"/>
          <w:sz w:val="20"/>
        </w:rPr>
        <w:t xml:space="preserve">2. Audit-Related services are for assurance and related services that are traditionally performed by an independent registered public accounting firm, including due diligence related to mergers and acquisitions, employee benefit plan audits, and special procedures required to meet certain regulatory requirements. </w:t>
      </w:r>
    </w:p>
    <w:p>
      <w:pPr>
        <w:pStyle w:val="TextBody"/>
        <w:bidi w:val="0"/>
        <w:spacing w:before="0" w:after="0"/>
        <w:jc w:val="both"/>
        <w:rPr>
          <w:rFonts w:ascii="Times New Roman" w:hAnsi="Times New Roman"/>
          <w:sz w:val="20"/>
        </w:rPr>
      </w:pPr>
      <w:r>
        <w:rPr>
          <w:rFonts w:ascii="Times New Roman" w:hAnsi="Times New Roman"/>
          <w:sz w:val="20"/>
        </w:rPr>
        <w:t xml:space="preserve">3. Tax services include all services performed by an independent registered public accounting firm’s tax personnel except those services specifically related to the audit of the financial statements, and includes fees in the areas of tax compliance, tax planning, and tax advice. </w:t>
      </w:r>
    </w:p>
    <w:p>
      <w:pPr>
        <w:pStyle w:val="TextBody"/>
        <w:bidi w:val="0"/>
        <w:spacing w:before="0" w:after="0"/>
        <w:jc w:val="both"/>
        <w:rPr>
          <w:rFonts w:ascii="Times New Roman" w:hAnsi="Times New Roman"/>
          <w:sz w:val="20"/>
        </w:rPr>
      </w:pPr>
      <w:r>
        <w:rPr>
          <w:rFonts w:ascii="Times New Roman" w:hAnsi="Times New Roman"/>
          <w:sz w:val="20"/>
        </w:rPr>
        <w:t xml:space="preserve">4. Other Fees are those associated with services not captured in the other categories. The Company generally does not request such services from our independent registered public accounting firm.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Prior to engagement, the Audit Committee pre-approves these services by category of service, including for the fiscal year ended December 31, 2025. The fees are budgeted and the Audit Committee requires our independent registered public accounting firm and management to report actual fees versus the budget periodically throughout the year by category of service. During the year, circumstances may arise when it may become necessary to engage our independent registered public accounting firm for additional services not contemplated in the original pre-approval. In those instances, the Audit Committee requires specific pre-approval before engaging our independent registered public accounting firm.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The Audit Committee may delegate pre-approval authority to one or more of its members. The member to whom such authority is delegated must report, for informational purposes only, any pre-approval decisions to the Audit Committee at its next scheduled meeting.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74</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center"/>
        <w:rPr>
          <w:rFonts w:ascii="Times New Roman" w:hAnsi="Times New Roman"/>
          <w:sz w:val="24"/>
        </w:rPr>
      </w:pPr>
      <w:r>
        <w:rPr>
          <w:rFonts w:ascii="Times New Roman" w:hAnsi="Times New Roman"/>
          <w:b/>
          <w:sz w:val="20"/>
        </w:rPr>
        <w:t>PART IV</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bookmarkStart w:id="25" w:name="ITEM_15_EXHIBITS_AND_FINANCIAL_STATEMENT"/>
      <w:bookmarkEnd w:id="25"/>
      <w:r>
        <w:rPr>
          <w:rFonts w:ascii="Times New Roman" w:hAnsi="Times New Roman"/>
          <w:b/>
          <w:sz w:val="20"/>
        </w:rPr>
        <w:t>ITEM 15. EXHIBITS AND FINANCIAL STATEMENT SCHEDULES</w:t>
      </w:r>
      <w:r>
        <w:rPr>
          <w:rFonts w:ascii="Times New Roman" w:hAnsi="Times New Roman"/>
          <w:sz w:val="24"/>
        </w:rPr>
        <w:t xml:space="preserve"> </w:t>
      </w:r>
    </w:p>
    <w:p>
      <w:pPr>
        <w:pStyle w:val="TextBody"/>
        <w:bidi w:val="0"/>
        <w:spacing w:before="0" w:after="0"/>
        <w:jc w:val="both"/>
        <w:rPr/>
      </w:pPr>
      <w:r>
        <w:rPr/>
        <w:t xml:space="preserve">  </w:t>
      </w:r>
    </w:p>
    <w:tbl>
      <w:tblPr>
        <w:tblW w:w="10205" w:type="dxa"/>
        <w:jc w:val="left"/>
        <w:tblInd w:w="0" w:type="dxa"/>
        <w:tblLayout w:type="fixed"/>
        <w:tblCellMar>
          <w:top w:w="28" w:type="dxa"/>
          <w:left w:w="28" w:type="dxa"/>
          <w:bottom w:w="28" w:type="dxa"/>
          <w:right w:w="28" w:type="dxa"/>
        </w:tblCellMar>
      </w:tblPr>
      <w:tblGrid>
        <w:gridCol w:w="365"/>
        <w:gridCol w:w="365"/>
        <w:gridCol w:w="8659"/>
        <w:gridCol w:w="192"/>
        <w:gridCol w:w="624"/>
      </w:tblGrid>
      <w:tr>
        <w:trPr/>
        <w:tc>
          <w:tcPr>
            <w:tcW w:w="36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8659"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624" w:type="dxa"/>
            <w:tcBorders/>
            <w:vAlign w:val="center"/>
          </w:tcPr>
          <w:p>
            <w:pPr>
              <w:pStyle w:val="TableContents"/>
              <w:bidi w:val="0"/>
              <w:spacing w:before="0" w:after="283"/>
              <w:jc w:val="left"/>
              <w:rPr/>
            </w:pPr>
            <w:r>
              <w:rPr/>
              <w:t> </w:t>
            </w:r>
          </w:p>
        </w:tc>
      </w:tr>
      <w:tr>
        <w:trPr/>
        <w:tc>
          <w:tcPr>
            <w:tcW w:w="365" w:type="dxa"/>
            <w:tcBorders/>
            <w:tcMar>
              <w:top w:w="0" w:type="dxa"/>
              <w:left w:w="0" w:type="dxa"/>
              <w:bottom w:w="0" w:type="dxa"/>
              <w:right w:w="0" w:type="dxa"/>
            </w:tcMar>
            <w:vAlign w:val="center"/>
          </w:tcPr>
          <w:p>
            <w:pPr>
              <w:pStyle w:val="TableContents"/>
              <w:bidi w:val="0"/>
              <w:spacing w:before="0" w:after="283"/>
              <w:jc w:val="both"/>
              <w:rPr/>
            </w:pPr>
            <w:r>
              <w:rPr>
                <w:color w:val="000000"/>
              </w:rPr>
              <w:t>(a)</w:t>
            </w:r>
            <w:r>
              <w:rPr/>
              <w:t xml:space="preserve"> </w:t>
            </w:r>
          </w:p>
        </w:tc>
        <w:tc>
          <w:tcPr>
            <w:tcW w:w="9024" w:type="dxa"/>
            <w:gridSpan w:val="2"/>
            <w:tcBorders/>
            <w:tcMar>
              <w:top w:w="0" w:type="dxa"/>
              <w:left w:w="0" w:type="dxa"/>
              <w:bottom w:w="0" w:type="dxa"/>
              <w:right w:w="0" w:type="dxa"/>
            </w:tcMar>
            <w:vAlign w:val="center"/>
          </w:tcPr>
          <w:p>
            <w:pPr>
              <w:pStyle w:val="TableContents"/>
              <w:bidi w:val="0"/>
              <w:spacing w:before="0" w:after="283"/>
              <w:jc w:val="both"/>
              <w:rPr/>
            </w:pPr>
            <w:r>
              <w:rPr>
                <w:color w:val="000000"/>
              </w:rPr>
              <w:t>List of documents filed as a part of this report:</w:t>
            </w:r>
            <w:r>
              <w:rPr/>
              <w:t xml:space="preserve"> </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c>
          <w:tcPr>
            <w:tcW w:w="62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65" w:type="dxa"/>
            <w:tcBorders/>
            <w:tcMar>
              <w:top w:w="0" w:type="dxa"/>
              <w:left w:w="0" w:type="dxa"/>
              <w:bottom w:w="0" w:type="dxa"/>
              <w:right w:w="0" w:type="dxa"/>
            </w:tcMar>
            <w:vAlign w:val="center"/>
          </w:tcPr>
          <w:p>
            <w:pPr>
              <w:pStyle w:val="TableContents"/>
              <w:bidi w:val="0"/>
              <w:spacing w:before="0" w:after="283"/>
              <w:jc w:val="both"/>
              <w:rPr/>
            </w:pPr>
            <w:r>
              <w:rPr/>
              <w:t> </w:t>
            </w:r>
          </w:p>
        </w:tc>
        <w:tc>
          <w:tcPr>
            <w:tcW w:w="9024"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c>
          <w:tcPr>
            <w:tcW w:w="62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65" w:type="dxa"/>
            <w:tcBorders/>
            <w:tcMar>
              <w:top w:w="0" w:type="dxa"/>
              <w:left w:w="0" w:type="dxa"/>
              <w:bottom w:w="0" w:type="dxa"/>
              <w:right w:w="0" w:type="dxa"/>
            </w:tcMar>
            <w:vAlign w:val="center"/>
          </w:tcPr>
          <w:p>
            <w:pPr>
              <w:pStyle w:val="TableContents"/>
              <w:bidi w:val="0"/>
              <w:spacing w:before="0" w:after="283"/>
              <w:jc w:val="both"/>
              <w:rPr/>
            </w:pPr>
            <w:r>
              <w:rPr/>
              <w:t> </w:t>
            </w:r>
          </w:p>
        </w:tc>
        <w:tc>
          <w:tcPr>
            <w:tcW w:w="365" w:type="dxa"/>
            <w:tcBorders/>
            <w:tcMar>
              <w:top w:w="0" w:type="dxa"/>
              <w:left w:w="0" w:type="dxa"/>
              <w:bottom w:w="0" w:type="dxa"/>
              <w:right w:w="0" w:type="dxa"/>
            </w:tcMar>
            <w:vAlign w:val="center"/>
          </w:tcPr>
          <w:p>
            <w:pPr>
              <w:pStyle w:val="TableContents"/>
              <w:bidi w:val="0"/>
              <w:spacing w:before="0" w:after="283"/>
              <w:jc w:val="both"/>
              <w:rPr/>
            </w:pPr>
            <w:r>
              <w:rPr>
                <w:color w:val="000000"/>
              </w:rPr>
              <w:t>(1)</w:t>
            </w:r>
            <w:r>
              <w:rPr/>
              <w:t xml:space="preserve"> </w:t>
            </w:r>
          </w:p>
        </w:tc>
        <w:tc>
          <w:tcPr>
            <w:tcW w:w="8659" w:type="dxa"/>
            <w:tcBorders/>
            <w:tcMar>
              <w:top w:w="0" w:type="dxa"/>
              <w:left w:w="0" w:type="dxa"/>
              <w:bottom w:w="0" w:type="dxa"/>
              <w:right w:w="0" w:type="dxa"/>
            </w:tcMar>
            <w:vAlign w:val="center"/>
          </w:tcPr>
          <w:p>
            <w:pPr>
              <w:pStyle w:val="TableContents"/>
              <w:bidi w:val="0"/>
              <w:spacing w:before="0" w:after="283"/>
              <w:jc w:val="both"/>
              <w:rPr/>
            </w:pPr>
            <w:r>
              <w:rPr>
                <w:color w:val="000000"/>
              </w:rPr>
              <w:t>Index to Financial Statements</w:t>
            </w:r>
            <w:r>
              <w:rPr/>
              <w:t xml:space="preserve"> </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c>
          <w:tcPr>
            <w:tcW w:w="62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6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8659" w:type="dxa"/>
            <w:tcBorders/>
            <w:vAlign w:val="center"/>
          </w:tcPr>
          <w:p>
            <w:pPr>
              <w:pStyle w:val="TableContents"/>
              <w:bidi w:val="0"/>
              <w:spacing w:before="0" w:after="283"/>
              <w:jc w:val="both"/>
              <w:rPr/>
            </w:pPr>
            <w:r>
              <w:rPr/>
              <w:t> </w:t>
            </w:r>
          </w:p>
        </w:tc>
        <w:tc>
          <w:tcPr>
            <w:tcW w:w="192"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both"/>
              <w:rPr/>
            </w:pPr>
            <w:r>
              <w:rPr/>
              <w:t> </w:t>
            </w:r>
          </w:p>
        </w:tc>
      </w:tr>
      <w:tr>
        <w:trPr/>
        <w:tc>
          <w:tcPr>
            <w:tcW w:w="365" w:type="dxa"/>
            <w:tcBorders/>
            <w:tcMar>
              <w:top w:w="0" w:type="dxa"/>
              <w:left w:w="0" w:type="dxa"/>
              <w:bottom w:w="0" w:type="dxa"/>
              <w:right w:w="0" w:type="dxa"/>
            </w:tcMar>
            <w:vAlign w:val="center"/>
          </w:tcPr>
          <w:p>
            <w:pPr>
              <w:pStyle w:val="TableContents"/>
              <w:bidi w:val="0"/>
              <w:spacing w:before="0" w:after="283"/>
              <w:jc w:val="both"/>
              <w:rPr/>
            </w:pPr>
            <w:r>
              <w:rPr/>
              <w:t> </w:t>
            </w:r>
          </w:p>
        </w:tc>
        <w:tc>
          <w:tcPr>
            <w:tcW w:w="365" w:type="dxa"/>
            <w:tcBorders/>
            <w:tcMar>
              <w:top w:w="0" w:type="dxa"/>
              <w:left w:w="0" w:type="dxa"/>
              <w:bottom w:w="0" w:type="dxa"/>
              <w:right w:w="0" w:type="dxa"/>
            </w:tcMar>
            <w:vAlign w:val="center"/>
          </w:tcPr>
          <w:p>
            <w:pPr>
              <w:pStyle w:val="TableContents"/>
              <w:bidi w:val="0"/>
              <w:spacing w:before="0" w:after="283"/>
              <w:jc w:val="both"/>
              <w:rPr/>
            </w:pPr>
            <w:r>
              <w:rPr/>
              <w:t> </w:t>
            </w:r>
          </w:p>
        </w:tc>
        <w:tc>
          <w:tcPr>
            <w:tcW w:w="8659" w:type="dxa"/>
            <w:tcBorders/>
            <w:tcMar>
              <w:top w:w="0" w:type="dxa"/>
              <w:left w:w="0" w:type="dxa"/>
              <w:bottom w:w="0" w:type="dxa"/>
              <w:right w:w="0" w:type="dxa"/>
            </w:tcMar>
            <w:vAlign w:val="center"/>
          </w:tcPr>
          <w:p>
            <w:pPr>
              <w:pStyle w:val="TableContents"/>
              <w:bidi w:val="0"/>
              <w:spacing w:before="0" w:after="283"/>
              <w:jc w:val="both"/>
              <w:rPr/>
            </w:pPr>
            <w:r>
              <w:rPr>
                <w:color w:val="000000"/>
              </w:rPr>
              <w:t>Report of Independent Registered Public Accounting Firm (PCAOB ID: 7000)</w:t>
            </w:r>
            <w:r>
              <w:rPr/>
              <w:t xml:space="preserve"> </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c>
          <w:tcPr>
            <w:tcW w:w="624" w:type="dxa"/>
            <w:tcBorders/>
            <w:tcMar>
              <w:top w:w="0" w:type="dxa"/>
              <w:left w:w="0" w:type="dxa"/>
              <w:bottom w:w="0" w:type="dxa"/>
              <w:right w:w="0" w:type="dxa"/>
            </w:tcMar>
            <w:vAlign w:val="center"/>
          </w:tcPr>
          <w:p>
            <w:pPr>
              <w:pStyle w:val="TableContents"/>
              <w:bidi w:val="0"/>
              <w:spacing w:before="0" w:after="283"/>
              <w:jc w:val="both"/>
              <w:rPr/>
            </w:pPr>
            <w:r>
              <w:rPr>
                <w:color w:val="000000"/>
              </w:rPr>
              <w:t>F-2</w:t>
            </w:r>
            <w:r>
              <w:rPr/>
              <w:t xml:space="preserve"> </w:t>
            </w:r>
          </w:p>
        </w:tc>
      </w:tr>
      <w:tr>
        <w:trPr/>
        <w:tc>
          <w:tcPr>
            <w:tcW w:w="365" w:type="dxa"/>
            <w:tcBorders/>
            <w:vAlign w:val="center"/>
          </w:tcPr>
          <w:p>
            <w:pPr>
              <w:pStyle w:val="TableContents"/>
              <w:bidi w:val="0"/>
              <w:spacing w:before="0" w:after="283"/>
              <w:jc w:val="both"/>
              <w:rPr/>
            </w:pPr>
            <w:r>
              <w:rPr/>
              <w:t> </w:t>
            </w:r>
          </w:p>
        </w:tc>
        <w:tc>
          <w:tcPr>
            <w:tcW w:w="365" w:type="dxa"/>
            <w:tcBorders/>
            <w:vAlign w:val="center"/>
          </w:tcPr>
          <w:p>
            <w:pPr>
              <w:pStyle w:val="TableContents"/>
              <w:bidi w:val="0"/>
              <w:spacing w:before="0" w:after="283"/>
              <w:jc w:val="both"/>
              <w:rPr/>
            </w:pPr>
            <w:r>
              <w:rPr/>
              <w:t> </w:t>
            </w:r>
          </w:p>
        </w:tc>
        <w:tc>
          <w:tcPr>
            <w:tcW w:w="8659" w:type="dxa"/>
            <w:tcBorders/>
            <w:vAlign w:val="center"/>
          </w:tcPr>
          <w:p>
            <w:pPr>
              <w:pStyle w:val="TableContents"/>
              <w:bidi w:val="0"/>
              <w:spacing w:before="0" w:after="283"/>
              <w:jc w:val="both"/>
              <w:rPr/>
            </w:pPr>
            <w:r>
              <w:rPr/>
              <w:t> </w:t>
            </w:r>
          </w:p>
        </w:tc>
        <w:tc>
          <w:tcPr>
            <w:tcW w:w="192" w:type="dxa"/>
            <w:tcBorders/>
            <w:vAlign w:val="center"/>
          </w:tcPr>
          <w:p>
            <w:pPr>
              <w:pStyle w:val="TableContents"/>
              <w:bidi w:val="0"/>
              <w:spacing w:before="0" w:after="283"/>
              <w:jc w:val="both"/>
              <w:rPr/>
            </w:pPr>
            <w:r>
              <w:rPr/>
              <w:t> </w:t>
            </w:r>
          </w:p>
        </w:tc>
        <w:tc>
          <w:tcPr>
            <w:tcW w:w="624" w:type="dxa"/>
            <w:tcBorders/>
            <w:vAlign w:val="center"/>
          </w:tcPr>
          <w:p>
            <w:pPr>
              <w:pStyle w:val="TableContents"/>
              <w:bidi w:val="0"/>
              <w:spacing w:before="0" w:after="283"/>
              <w:jc w:val="both"/>
              <w:rPr/>
            </w:pPr>
            <w:r>
              <w:rPr/>
              <w:t> </w:t>
            </w:r>
          </w:p>
        </w:tc>
      </w:tr>
      <w:tr>
        <w:trPr/>
        <w:tc>
          <w:tcPr>
            <w:tcW w:w="365" w:type="dxa"/>
            <w:tcBorders/>
            <w:tcMar>
              <w:top w:w="0" w:type="dxa"/>
              <w:left w:w="0" w:type="dxa"/>
              <w:bottom w:w="0" w:type="dxa"/>
              <w:right w:w="0" w:type="dxa"/>
            </w:tcMar>
            <w:vAlign w:val="center"/>
          </w:tcPr>
          <w:p>
            <w:pPr>
              <w:pStyle w:val="TableContents"/>
              <w:bidi w:val="0"/>
              <w:spacing w:before="0" w:after="283"/>
              <w:jc w:val="both"/>
              <w:rPr/>
            </w:pPr>
            <w:r>
              <w:rPr/>
              <w:t> </w:t>
            </w:r>
          </w:p>
        </w:tc>
        <w:tc>
          <w:tcPr>
            <w:tcW w:w="365" w:type="dxa"/>
            <w:tcBorders/>
            <w:tcMar>
              <w:top w:w="0" w:type="dxa"/>
              <w:left w:w="0" w:type="dxa"/>
              <w:bottom w:w="0" w:type="dxa"/>
              <w:right w:w="0" w:type="dxa"/>
            </w:tcMar>
            <w:vAlign w:val="center"/>
          </w:tcPr>
          <w:p>
            <w:pPr>
              <w:pStyle w:val="TableContents"/>
              <w:bidi w:val="0"/>
              <w:spacing w:before="0" w:after="283"/>
              <w:jc w:val="both"/>
              <w:rPr/>
            </w:pPr>
            <w:r>
              <w:rPr/>
              <w:t> </w:t>
            </w:r>
          </w:p>
        </w:tc>
        <w:tc>
          <w:tcPr>
            <w:tcW w:w="8659"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Balance Sheets as of December 31, 2025 and 2024</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c>
          <w:tcPr>
            <w:tcW w:w="624" w:type="dxa"/>
            <w:tcBorders/>
            <w:tcMar>
              <w:top w:w="0" w:type="dxa"/>
              <w:left w:w="0" w:type="dxa"/>
              <w:bottom w:w="0" w:type="dxa"/>
              <w:right w:w="0" w:type="dxa"/>
            </w:tcMar>
            <w:vAlign w:val="center"/>
          </w:tcPr>
          <w:p>
            <w:pPr>
              <w:pStyle w:val="TableContents"/>
              <w:bidi w:val="0"/>
              <w:spacing w:before="0" w:after="283"/>
              <w:jc w:val="both"/>
              <w:rPr/>
            </w:pPr>
            <w:r>
              <w:rPr>
                <w:color w:val="000000"/>
              </w:rPr>
              <w:t>F-3</w:t>
            </w:r>
            <w:r>
              <w:rPr/>
              <w:t xml:space="preserve"> </w:t>
            </w:r>
          </w:p>
        </w:tc>
      </w:tr>
      <w:tr>
        <w:trPr/>
        <w:tc>
          <w:tcPr>
            <w:tcW w:w="365" w:type="dxa"/>
            <w:tcBorders/>
            <w:tcMar>
              <w:top w:w="0" w:type="dxa"/>
              <w:left w:w="0" w:type="dxa"/>
              <w:bottom w:w="0" w:type="dxa"/>
              <w:right w:w="0" w:type="dxa"/>
            </w:tcMar>
            <w:vAlign w:val="center"/>
          </w:tcPr>
          <w:p>
            <w:pPr>
              <w:pStyle w:val="TableContents"/>
              <w:bidi w:val="0"/>
              <w:spacing w:before="0" w:after="283"/>
              <w:jc w:val="both"/>
              <w:rPr/>
            </w:pPr>
            <w:r>
              <w:rPr/>
              <w:t> </w:t>
            </w:r>
          </w:p>
        </w:tc>
        <w:tc>
          <w:tcPr>
            <w:tcW w:w="365" w:type="dxa"/>
            <w:tcBorders/>
            <w:tcMar>
              <w:top w:w="0" w:type="dxa"/>
              <w:left w:w="0" w:type="dxa"/>
              <w:bottom w:w="0" w:type="dxa"/>
              <w:right w:w="0" w:type="dxa"/>
            </w:tcMar>
            <w:vAlign w:val="center"/>
          </w:tcPr>
          <w:p>
            <w:pPr>
              <w:pStyle w:val="TableContents"/>
              <w:bidi w:val="0"/>
              <w:spacing w:before="0" w:after="283"/>
              <w:jc w:val="both"/>
              <w:rPr/>
            </w:pPr>
            <w:r>
              <w:rPr/>
              <w:t> </w:t>
            </w:r>
          </w:p>
        </w:tc>
        <w:tc>
          <w:tcPr>
            <w:tcW w:w="8659"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Statements of Operations and Comprehensive Loss for the Years Ended December 31, 2025 and 2024</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c>
          <w:tcPr>
            <w:tcW w:w="624" w:type="dxa"/>
            <w:tcBorders/>
            <w:tcMar>
              <w:top w:w="0" w:type="dxa"/>
              <w:left w:w="0" w:type="dxa"/>
              <w:bottom w:w="0" w:type="dxa"/>
              <w:right w:w="0" w:type="dxa"/>
            </w:tcMar>
            <w:vAlign w:val="center"/>
          </w:tcPr>
          <w:p>
            <w:pPr>
              <w:pStyle w:val="TableContents"/>
              <w:bidi w:val="0"/>
              <w:spacing w:before="0" w:after="283"/>
              <w:jc w:val="both"/>
              <w:rPr/>
            </w:pPr>
            <w:r>
              <w:rPr>
                <w:color w:val="000000"/>
              </w:rPr>
              <w:t>F-4</w:t>
            </w:r>
            <w:r>
              <w:rPr/>
              <w:t xml:space="preserve"> </w:t>
            </w:r>
          </w:p>
        </w:tc>
      </w:tr>
      <w:tr>
        <w:trPr/>
        <w:tc>
          <w:tcPr>
            <w:tcW w:w="365" w:type="dxa"/>
            <w:tcBorders/>
            <w:tcMar>
              <w:top w:w="0" w:type="dxa"/>
              <w:left w:w="0" w:type="dxa"/>
              <w:bottom w:w="0" w:type="dxa"/>
              <w:right w:w="0" w:type="dxa"/>
            </w:tcMar>
            <w:vAlign w:val="center"/>
          </w:tcPr>
          <w:p>
            <w:pPr>
              <w:pStyle w:val="TableContents"/>
              <w:bidi w:val="0"/>
              <w:spacing w:before="0" w:after="283"/>
              <w:jc w:val="both"/>
              <w:rPr/>
            </w:pPr>
            <w:r>
              <w:rPr/>
              <w:t> </w:t>
            </w:r>
          </w:p>
        </w:tc>
        <w:tc>
          <w:tcPr>
            <w:tcW w:w="365" w:type="dxa"/>
            <w:tcBorders/>
            <w:tcMar>
              <w:top w:w="0" w:type="dxa"/>
              <w:left w:w="0" w:type="dxa"/>
              <w:bottom w:w="0" w:type="dxa"/>
              <w:right w:w="0" w:type="dxa"/>
            </w:tcMar>
            <w:vAlign w:val="center"/>
          </w:tcPr>
          <w:p>
            <w:pPr>
              <w:pStyle w:val="TableContents"/>
              <w:bidi w:val="0"/>
              <w:spacing w:before="0" w:after="283"/>
              <w:jc w:val="both"/>
              <w:rPr/>
            </w:pPr>
            <w:r>
              <w:rPr/>
              <w:t> </w:t>
            </w:r>
          </w:p>
        </w:tc>
        <w:tc>
          <w:tcPr>
            <w:tcW w:w="8659"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Statements of Stockholders’ Equity for the Years Ended December 31, 2025 and 2024</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c>
          <w:tcPr>
            <w:tcW w:w="624" w:type="dxa"/>
            <w:tcBorders/>
            <w:tcMar>
              <w:top w:w="0" w:type="dxa"/>
              <w:left w:w="0" w:type="dxa"/>
              <w:bottom w:w="0" w:type="dxa"/>
              <w:right w:w="0" w:type="dxa"/>
            </w:tcMar>
            <w:vAlign w:val="center"/>
          </w:tcPr>
          <w:p>
            <w:pPr>
              <w:pStyle w:val="TableContents"/>
              <w:bidi w:val="0"/>
              <w:spacing w:before="0" w:after="283"/>
              <w:jc w:val="both"/>
              <w:rPr/>
            </w:pPr>
            <w:r>
              <w:rPr>
                <w:color w:val="000000"/>
              </w:rPr>
              <w:t>F-5</w:t>
            </w:r>
            <w:r>
              <w:rPr/>
              <w:t xml:space="preserve"> </w:t>
            </w:r>
          </w:p>
        </w:tc>
      </w:tr>
      <w:tr>
        <w:trPr/>
        <w:tc>
          <w:tcPr>
            <w:tcW w:w="365" w:type="dxa"/>
            <w:tcBorders/>
            <w:tcMar>
              <w:top w:w="0" w:type="dxa"/>
              <w:left w:w="0" w:type="dxa"/>
              <w:bottom w:w="0" w:type="dxa"/>
              <w:right w:w="0" w:type="dxa"/>
            </w:tcMar>
            <w:vAlign w:val="center"/>
          </w:tcPr>
          <w:p>
            <w:pPr>
              <w:pStyle w:val="TableContents"/>
              <w:bidi w:val="0"/>
              <w:spacing w:before="0" w:after="283"/>
              <w:jc w:val="both"/>
              <w:rPr/>
            </w:pPr>
            <w:r>
              <w:rPr/>
              <w:t> </w:t>
            </w:r>
          </w:p>
        </w:tc>
        <w:tc>
          <w:tcPr>
            <w:tcW w:w="365" w:type="dxa"/>
            <w:tcBorders/>
            <w:tcMar>
              <w:top w:w="0" w:type="dxa"/>
              <w:left w:w="0" w:type="dxa"/>
              <w:bottom w:w="0" w:type="dxa"/>
              <w:right w:w="0" w:type="dxa"/>
            </w:tcMar>
            <w:vAlign w:val="center"/>
          </w:tcPr>
          <w:p>
            <w:pPr>
              <w:pStyle w:val="TableContents"/>
              <w:bidi w:val="0"/>
              <w:spacing w:before="0" w:after="283"/>
              <w:jc w:val="both"/>
              <w:rPr/>
            </w:pPr>
            <w:r>
              <w:rPr/>
              <w:t> </w:t>
            </w:r>
          </w:p>
        </w:tc>
        <w:tc>
          <w:tcPr>
            <w:tcW w:w="8659" w:type="dxa"/>
            <w:tcBorders/>
            <w:tcMar>
              <w:top w:w="0" w:type="dxa"/>
              <w:left w:w="0" w:type="dxa"/>
              <w:bottom w:w="0" w:type="dxa"/>
              <w:right w:w="0" w:type="dxa"/>
            </w:tcMar>
            <w:vAlign w:val="center"/>
          </w:tcPr>
          <w:p>
            <w:pPr>
              <w:pStyle w:val="TableContents"/>
              <w:bidi w:val="0"/>
              <w:spacing w:before="0" w:after="283"/>
              <w:jc w:val="both"/>
              <w:rPr>
                <w:color w:val="000000"/>
              </w:rPr>
            </w:pPr>
            <w:r>
              <w:rPr>
                <w:color w:val="000000"/>
              </w:rPr>
              <w:t>Statements of Cash Flows for the Years Ended December 31, 2025 and 2024</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c>
          <w:tcPr>
            <w:tcW w:w="624" w:type="dxa"/>
            <w:tcBorders/>
            <w:tcMar>
              <w:top w:w="0" w:type="dxa"/>
              <w:left w:w="0" w:type="dxa"/>
              <w:bottom w:w="0" w:type="dxa"/>
              <w:right w:w="0" w:type="dxa"/>
            </w:tcMar>
            <w:vAlign w:val="center"/>
          </w:tcPr>
          <w:p>
            <w:pPr>
              <w:pStyle w:val="TableContents"/>
              <w:bidi w:val="0"/>
              <w:spacing w:before="0" w:after="283"/>
              <w:jc w:val="both"/>
              <w:rPr/>
            </w:pPr>
            <w:r>
              <w:rPr>
                <w:color w:val="000000"/>
              </w:rPr>
              <w:t>F-6</w:t>
            </w:r>
            <w:r>
              <w:rPr/>
              <w:t xml:space="preserve"> </w:t>
            </w:r>
          </w:p>
        </w:tc>
      </w:tr>
      <w:tr>
        <w:trPr/>
        <w:tc>
          <w:tcPr>
            <w:tcW w:w="365" w:type="dxa"/>
            <w:tcBorders/>
            <w:tcMar>
              <w:top w:w="0" w:type="dxa"/>
              <w:left w:w="0" w:type="dxa"/>
              <w:bottom w:w="0" w:type="dxa"/>
              <w:right w:w="0" w:type="dxa"/>
            </w:tcMar>
            <w:vAlign w:val="center"/>
          </w:tcPr>
          <w:p>
            <w:pPr>
              <w:pStyle w:val="TableContents"/>
              <w:bidi w:val="0"/>
              <w:spacing w:before="0" w:after="283"/>
              <w:jc w:val="both"/>
              <w:rPr/>
            </w:pPr>
            <w:r>
              <w:rPr/>
              <w:t> </w:t>
            </w:r>
          </w:p>
        </w:tc>
        <w:tc>
          <w:tcPr>
            <w:tcW w:w="365" w:type="dxa"/>
            <w:tcBorders/>
            <w:tcMar>
              <w:top w:w="0" w:type="dxa"/>
              <w:left w:w="0" w:type="dxa"/>
              <w:bottom w:w="0" w:type="dxa"/>
              <w:right w:w="0" w:type="dxa"/>
            </w:tcMar>
            <w:vAlign w:val="center"/>
          </w:tcPr>
          <w:p>
            <w:pPr>
              <w:pStyle w:val="TableContents"/>
              <w:bidi w:val="0"/>
              <w:spacing w:before="0" w:after="283"/>
              <w:jc w:val="both"/>
              <w:rPr/>
            </w:pPr>
            <w:r>
              <w:rPr/>
              <w:t> </w:t>
            </w:r>
          </w:p>
        </w:tc>
        <w:tc>
          <w:tcPr>
            <w:tcW w:w="8659" w:type="dxa"/>
            <w:tcBorders/>
            <w:tcMar>
              <w:top w:w="0" w:type="dxa"/>
              <w:left w:w="0" w:type="dxa"/>
              <w:bottom w:w="0" w:type="dxa"/>
              <w:right w:w="0" w:type="dxa"/>
            </w:tcMar>
            <w:vAlign w:val="center"/>
          </w:tcPr>
          <w:p>
            <w:pPr>
              <w:pStyle w:val="TableContents"/>
              <w:bidi w:val="0"/>
              <w:spacing w:before="0" w:after="283"/>
              <w:jc w:val="both"/>
              <w:rPr/>
            </w:pPr>
            <w:r>
              <w:rPr>
                <w:color w:val="000000"/>
              </w:rPr>
              <w:t>Notes to Financial Statements</w:t>
            </w:r>
            <w:r>
              <w:rPr/>
              <w:t xml:space="preserve"> </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c>
          <w:tcPr>
            <w:tcW w:w="624" w:type="dxa"/>
            <w:tcBorders/>
            <w:tcMar>
              <w:top w:w="0" w:type="dxa"/>
              <w:left w:w="0" w:type="dxa"/>
              <w:bottom w:w="0" w:type="dxa"/>
              <w:right w:w="0" w:type="dxa"/>
            </w:tcMar>
            <w:vAlign w:val="center"/>
          </w:tcPr>
          <w:p>
            <w:pPr>
              <w:pStyle w:val="TableContents"/>
              <w:bidi w:val="0"/>
              <w:spacing w:before="0" w:after="283"/>
              <w:jc w:val="both"/>
              <w:rPr/>
            </w:pPr>
            <w:r>
              <w:rPr>
                <w:color w:val="000000"/>
              </w:rPr>
              <w:t>F-7</w:t>
            </w:r>
            <w:r>
              <w:rPr/>
              <w:t xml:space="preserve"> </w:t>
            </w:r>
          </w:p>
        </w:tc>
      </w:tr>
      <w:tr>
        <w:trPr/>
        <w:tc>
          <w:tcPr>
            <w:tcW w:w="365" w:type="dxa"/>
            <w:tcBorders/>
            <w:tcMar>
              <w:top w:w="0" w:type="dxa"/>
              <w:left w:w="0" w:type="dxa"/>
              <w:bottom w:w="0" w:type="dxa"/>
              <w:right w:w="0" w:type="dxa"/>
            </w:tcMar>
            <w:vAlign w:val="center"/>
          </w:tcPr>
          <w:p>
            <w:pPr>
              <w:pStyle w:val="TableContents"/>
              <w:bidi w:val="0"/>
              <w:spacing w:before="0" w:after="283"/>
              <w:jc w:val="both"/>
              <w:rPr/>
            </w:pPr>
            <w:r>
              <w:rPr/>
              <w:t> </w:t>
            </w:r>
          </w:p>
        </w:tc>
        <w:tc>
          <w:tcPr>
            <w:tcW w:w="365" w:type="dxa"/>
            <w:tcBorders/>
            <w:tcMar>
              <w:top w:w="0" w:type="dxa"/>
              <w:left w:w="0" w:type="dxa"/>
              <w:bottom w:w="0" w:type="dxa"/>
              <w:right w:w="0" w:type="dxa"/>
            </w:tcMar>
            <w:vAlign w:val="center"/>
          </w:tcPr>
          <w:p>
            <w:pPr>
              <w:pStyle w:val="TableContents"/>
              <w:bidi w:val="0"/>
              <w:spacing w:before="0" w:after="283"/>
              <w:jc w:val="both"/>
              <w:rPr/>
            </w:pPr>
            <w:r>
              <w:rPr/>
              <w:t> </w:t>
            </w:r>
          </w:p>
        </w:tc>
        <w:tc>
          <w:tcPr>
            <w:tcW w:w="8659" w:type="dxa"/>
            <w:tcBorders/>
            <w:tcMar>
              <w:top w:w="0" w:type="dxa"/>
              <w:left w:w="0" w:type="dxa"/>
              <w:bottom w:w="0" w:type="dxa"/>
              <w:right w:w="0" w:type="dxa"/>
            </w:tcMar>
            <w:vAlign w:val="center"/>
          </w:tcPr>
          <w:p>
            <w:pPr>
              <w:pStyle w:val="TableContents"/>
              <w:bidi w:val="0"/>
              <w:spacing w:before="0" w:after="283"/>
              <w:jc w:val="both"/>
              <w:rPr/>
            </w:pPr>
            <w:r>
              <w:rPr/>
              <w:t> </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c>
          <w:tcPr>
            <w:tcW w:w="62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65" w:type="dxa"/>
            <w:tcBorders/>
            <w:tcMar>
              <w:top w:w="0" w:type="dxa"/>
              <w:left w:w="0" w:type="dxa"/>
              <w:bottom w:w="0" w:type="dxa"/>
              <w:right w:w="0" w:type="dxa"/>
            </w:tcMar>
            <w:vAlign w:val="center"/>
          </w:tcPr>
          <w:p>
            <w:pPr>
              <w:pStyle w:val="TableContents"/>
              <w:bidi w:val="0"/>
              <w:spacing w:before="0" w:after="283"/>
              <w:jc w:val="both"/>
              <w:rPr/>
            </w:pPr>
            <w:r>
              <w:rPr/>
              <w:t> </w:t>
            </w:r>
          </w:p>
        </w:tc>
        <w:tc>
          <w:tcPr>
            <w:tcW w:w="365" w:type="dxa"/>
            <w:tcBorders/>
            <w:tcMar>
              <w:top w:w="0" w:type="dxa"/>
              <w:left w:w="0" w:type="dxa"/>
              <w:bottom w:w="0" w:type="dxa"/>
              <w:right w:w="0" w:type="dxa"/>
            </w:tcMar>
            <w:vAlign w:val="center"/>
          </w:tcPr>
          <w:p>
            <w:pPr>
              <w:pStyle w:val="TableContents"/>
              <w:bidi w:val="0"/>
              <w:spacing w:before="0" w:after="283"/>
              <w:jc w:val="both"/>
              <w:rPr/>
            </w:pPr>
            <w:r>
              <w:rPr>
                <w:color w:val="000000"/>
              </w:rPr>
              <w:t>(2)</w:t>
            </w:r>
            <w:r>
              <w:rPr/>
              <w:t xml:space="preserve"> </w:t>
            </w:r>
          </w:p>
        </w:tc>
        <w:tc>
          <w:tcPr>
            <w:tcW w:w="8659" w:type="dxa"/>
            <w:tcBorders/>
            <w:tcMar>
              <w:top w:w="0" w:type="dxa"/>
              <w:left w:w="0" w:type="dxa"/>
              <w:bottom w:w="0" w:type="dxa"/>
              <w:right w:w="0" w:type="dxa"/>
            </w:tcMar>
            <w:vAlign w:val="center"/>
          </w:tcPr>
          <w:p>
            <w:pPr>
              <w:pStyle w:val="TableContents"/>
              <w:bidi w:val="0"/>
              <w:spacing w:before="0" w:after="283"/>
              <w:jc w:val="both"/>
              <w:rPr/>
            </w:pPr>
            <w:r>
              <w:rPr>
                <w:color w:val="000000"/>
              </w:rPr>
              <w:t>Financial Statement Schedules</w:t>
            </w:r>
            <w:r>
              <w:rPr/>
              <w:t xml:space="preserve"> </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c>
          <w:tcPr>
            <w:tcW w:w="62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65" w:type="dxa"/>
            <w:tcBorders/>
            <w:tcMar>
              <w:top w:w="0" w:type="dxa"/>
              <w:left w:w="0" w:type="dxa"/>
              <w:bottom w:w="0" w:type="dxa"/>
              <w:right w:w="0" w:type="dxa"/>
            </w:tcMar>
            <w:vAlign w:val="center"/>
          </w:tcPr>
          <w:p>
            <w:pPr>
              <w:pStyle w:val="TableContents"/>
              <w:bidi w:val="0"/>
              <w:spacing w:before="0" w:after="283"/>
              <w:jc w:val="both"/>
              <w:rPr/>
            </w:pPr>
            <w:r>
              <w:rPr/>
              <w:t> </w:t>
            </w:r>
          </w:p>
        </w:tc>
        <w:tc>
          <w:tcPr>
            <w:tcW w:w="365" w:type="dxa"/>
            <w:tcBorders/>
            <w:tcMar>
              <w:top w:w="0" w:type="dxa"/>
              <w:left w:w="0" w:type="dxa"/>
              <w:bottom w:w="0" w:type="dxa"/>
              <w:right w:w="0" w:type="dxa"/>
            </w:tcMar>
            <w:vAlign w:val="center"/>
          </w:tcPr>
          <w:p>
            <w:pPr>
              <w:pStyle w:val="TableContents"/>
              <w:bidi w:val="0"/>
              <w:spacing w:before="0" w:after="283"/>
              <w:jc w:val="both"/>
              <w:rPr/>
            </w:pPr>
            <w:r>
              <w:rPr/>
              <w:t> </w:t>
            </w:r>
          </w:p>
        </w:tc>
        <w:tc>
          <w:tcPr>
            <w:tcW w:w="9475" w:type="dxa"/>
            <w:gridSpan w:val="3"/>
            <w:tcBorders/>
            <w:tcMar>
              <w:top w:w="0" w:type="dxa"/>
              <w:left w:w="0" w:type="dxa"/>
              <w:bottom w:w="0" w:type="dxa"/>
              <w:right w:w="0" w:type="dxa"/>
            </w:tcMar>
            <w:vAlign w:val="center"/>
          </w:tcPr>
          <w:p>
            <w:pPr>
              <w:pStyle w:val="TableContents"/>
              <w:bidi w:val="0"/>
              <w:spacing w:before="0" w:after="283"/>
              <w:jc w:val="both"/>
              <w:rPr/>
            </w:pPr>
            <w:r>
              <w:rPr>
                <w:color w:val="000000"/>
              </w:rPr>
              <w:t>All schedules have been omitted because the information is not applicable, is not material or because the information required is included in the financial statements or the notes thereto.</w:t>
            </w:r>
            <w:r>
              <w:rPr/>
              <w:t xml:space="preserve"> </w:t>
            </w:r>
          </w:p>
        </w:tc>
      </w:tr>
      <w:tr>
        <w:trPr/>
        <w:tc>
          <w:tcPr>
            <w:tcW w:w="365" w:type="dxa"/>
            <w:tcBorders/>
            <w:tcMar>
              <w:top w:w="0" w:type="dxa"/>
              <w:left w:w="0" w:type="dxa"/>
              <w:bottom w:w="0" w:type="dxa"/>
              <w:right w:w="0" w:type="dxa"/>
            </w:tcMar>
            <w:vAlign w:val="center"/>
          </w:tcPr>
          <w:p>
            <w:pPr>
              <w:pStyle w:val="TableContents"/>
              <w:bidi w:val="0"/>
              <w:spacing w:before="0" w:after="283"/>
              <w:jc w:val="both"/>
              <w:rPr/>
            </w:pPr>
            <w:r>
              <w:rPr/>
              <w:t> </w:t>
            </w:r>
          </w:p>
        </w:tc>
        <w:tc>
          <w:tcPr>
            <w:tcW w:w="365" w:type="dxa"/>
            <w:tcBorders/>
            <w:tcMar>
              <w:top w:w="0" w:type="dxa"/>
              <w:left w:w="0" w:type="dxa"/>
              <w:bottom w:w="0" w:type="dxa"/>
              <w:right w:w="0" w:type="dxa"/>
            </w:tcMar>
            <w:vAlign w:val="center"/>
          </w:tcPr>
          <w:p>
            <w:pPr>
              <w:pStyle w:val="TableContents"/>
              <w:bidi w:val="0"/>
              <w:spacing w:before="0" w:after="283"/>
              <w:jc w:val="both"/>
              <w:rPr/>
            </w:pPr>
            <w:r>
              <w:rPr/>
              <w:t> </w:t>
            </w:r>
          </w:p>
        </w:tc>
        <w:tc>
          <w:tcPr>
            <w:tcW w:w="9475" w:type="dxa"/>
            <w:gridSpan w:val="3"/>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65" w:type="dxa"/>
            <w:tcBorders/>
            <w:tcMar>
              <w:top w:w="0" w:type="dxa"/>
              <w:left w:w="0" w:type="dxa"/>
              <w:bottom w:w="0" w:type="dxa"/>
              <w:right w:w="0" w:type="dxa"/>
            </w:tcMar>
            <w:vAlign w:val="center"/>
          </w:tcPr>
          <w:p>
            <w:pPr>
              <w:pStyle w:val="TableContents"/>
              <w:bidi w:val="0"/>
              <w:spacing w:before="0" w:after="283"/>
              <w:jc w:val="both"/>
              <w:rPr/>
            </w:pPr>
            <w:r>
              <w:rPr/>
              <w:t> </w:t>
            </w:r>
          </w:p>
        </w:tc>
        <w:tc>
          <w:tcPr>
            <w:tcW w:w="365" w:type="dxa"/>
            <w:tcBorders/>
            <w:tcMar>
              <w:top w:w="0" w:type="dxa"/>
              <w:left w:w="0" w:type="dxa"/>
              <w:bottom w:w="0" w:type="dxa"/>
              <w:right w:w="0" w:type="dxa"/>
            </w:tcMar>
            <w:vAlign w:val="center"/>
          </w:tcPr>
          <w:p>
            <w:pPr>
              <w:pStyle w:val="TableContents"/>
              <w:bidi w:val="0"/>
              <w:spacing w:before="0" w:after="283"/>
              <w:jc w:val="both"/>
              <w:rPr/>
            </w:pPr>
            <w:r>
              <w:rPr>
                <w:color w:val="000000"/>
              </w:rPr>
              <w:t>(3)</w:t>
            </w:r>
            <w:r>
              <w:rPr/>
              <w:t xml:space="preserve"> </w:t>
            </w:r>
          </w:p>
        </w:tc>
        <w:tc>
          <w:tcPr>
            <w:tcW w:w="8659" w:type="dxa"/>
            <w:tcBorders/>
            <w:tcMar>
              <w:top w:w="0" w:type="dxa"/>
              <w:left w:w="0" w:type="dxa"/>
              <w:bottom w:w="0" w:type="dxa"/>
              <w:right w:w="0" w:type="dxa"/>
            </w:tcMar>
            <w:vAlign w:val="center"/>
          </w:tcPr>
          <w:p>
            <w:pPr>
              <w:pStyle w:val="TableContents"/>
              <w:bidi w:val="0"/>
              <w:spacing w:before="0" w:after="283"/>
              <w:jc w:val="both"/>
              <w:rPr/>
            </w:pPr>
            <w:r>
              <w:rPr>
                <w:color w:val="000000"/>
              </w:rPr>
              <w:t>Index to Exhibits</w:t>
            </w:r>
            <w:r>
              <w:rPr/>
              <w:t xml:space="preserve"> </w:t>
            </w:r>
          </w:p>
        </w:tc>
        <w:tc>
          <w:tcPr>
            <w:tcW w:w="192" w:type="dxa"/>
            <w:tcBorders/>
            <w:tcMar>
              <w:top w:w="0" w:type="dxa"/>
              <w:left w:w="0" w:type="dxa"/>
              <w:bottom w:w="0" w:type="dxa"/>
              <w:right w:w="0" w:type="dxa"/>
            </w:tcMar>
            <w:vAlign w:val="center"/>
          </w:tcPr>
          <w:p>
            <w:pPr>
              <w:pStyle w:val="TableContents"/>
              <w:bidi w:val="0"/>
              <w:spacing w:before="0" w:after="283"/>
              <w:jc w:val="both"/>
              <w:rPr/>
            </w:pPr>
            <w:r>
              <w:rPr/>
              <w:t> </w:t>
            </w:r>
          </w:p>
        </w:tc>
        <w:tc>
          <w:tcPr>
            <w:tcW w:w="62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65" w:type="dxa"/>
            <w:tcBorders/>
            <w:tcMar>
              <w:top w:w="0" w:type="dxa"/>
              <w:left w:w="0" w:type="dxa"/>
              <w:bottom w:w="0" w:type="dxa"/>
              <w:right w:w="0" w:type="dxa"/>
            </w:tcMar>
            <w:vAlign w:val="center"/>
          </w:tcPr>
          <w:p>
            <w:pPr>
              <w:pStyle w:val="TableContents"/>
              <w:bidi w:val="0"/>
              <w:spacing w:before="0" w:after="283"/>
              <w:jc w:val="both"/>
              <w:rPr/>
            </w:pPr>
            <w:r>
              <w:rPr/>
              <w:t> </w:t>
            </w:r>
          </w:p>
        </w:tc>
        <w:tc>
          <w:tcPr>
            <w:tcW w:w="365" w:type="dxa"/>
            <w:tcBorders/>
            <w:tcMar>
              <w:top w:w="0" w:type="dxa"/>
              <w:left w:w="0" w:type="dxa"/>
              <w:bottom w:w="0" w:type="dxa"/>
              <w:right w:w="0" w:type="dxa"/>
            </w:tcMar>
            <w:vAlign w:val="center"/>
          </w:tcPr>
          <w:p>
            <w:pPr>
              <w:pStyle w:val="TableContents"/>
              <w:bidi w:val="0"/>
              <w:spacing w:before="0" w:after="283"/>
              <w:jc w:val="both"/>
              <w:rPr/>
            </w:pPr>
            <w:r>
              <w:rPr/>
              <w:t> </w:t>
            </w:r>
          </w:p>
        </w:tc>
        <w:tc>
          <w:tcPr>
            <w:tcW w:w="9475" w:type="dxa"/>
            <w:gridSpan w:val="3"/>
            <w:tcBorders/>
            <w:tcMar>
              <w:top w:w="0" w:type="dxa"/>
              <w:left w:w="0" w:type="dxa"/>
              <w:bottom w:w="0" w:type="dxa"/>
              <w:right w:w="0" w:type="dxa"/>
            </w:tcMar>
            <w:vAlign w:val="center"/>
          </w:tcPr>
          <w:p>
            <w:pPr>
              <w:pStyle w:val="TableContents"/>
              <w:bidi w:val="0"/>
              <w:spacing w:before="0" w:after="283"/>
              <w:jc w:val="both"/>
              <w:rPr/>
            </w:pPr>
            <w:r>
              <w:rPr>
                <w:color w:val="000000"/>
              </w:rPr>
              <w:t>The exhibits listed on the accompanying index to exhibits immediately following the financial statements are filed as part of, or hereby incorporated by reference into, this Form 10-K.</w:t>
            </w:r>
            <w:r>
              <w:rPr/>
              <w:t xml:space="preserve"> </w:t>
            </w:r>
          </w:p>
        </w:tc>
      </w:tr>
    </w:tbl>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(a)(2) Consolidated Financial Statement Schedules: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75</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ind w:left="0" w:right="0" w:firstLine="720"/>
        <w:jc w:val="both"/>
        <w:rPr>
          <w:rFonts w:ascii="Times New Roman" w:hAnsi="Times New Roman"/>
          <w:sz w:val="24"/>
        </w:rPr>
      </w:pPr>
      <w:r>
        <w:rPr>
          <w:rFonts w:ascii="Times New Roman" w:hAnsi="Times New Roman"/>
          <w:sz w:val="20"/>
        </w:rPr>
        <w:t>Schedules not filed are omitted because of the absence of the conditions under which they are required or because the required information is included in the consolidated financial statements or the notes thereto.</w:t>
      </w:r>
      <w:r>
        <w:rPr>
          <w:rFonts w:ascii="Times New Roman" w:hAnsi="Times New Roman"/>
          <w:sz w:val="24"/>
        </w:rPr>
        <w:t xml:space="preserve"> </w:t>
      </w:r>
    </w:p>
    <w:p>
      <w:pPr>
        <w:pStyle w:val="TextBody"/>
        <w:bidi w:val="0"/>
        <w:spacing w:before="0" w:after="0"/>
        <w:jc w:val="both"/>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169"/>
        <w:gridCol w:w="9036"/>
      </w:tblGrid>
      <w:tr>
        <w:trPr/>
        <w:tc>
          <w:tcPr>
            <w:tcW w:w="1169" w:type="dxa"/>
            <w:tcBorders/>
            <w:vAlign w:val="center"/>
          </w:tcPr>
          <w:p>
            <w:pPr>
              <w:pStyle w:val="TableContents"/>
              <w:bidi w:val="0"/>
              <w:spacing w:before="0" w:after="283"/>
              <w:jc w:val="both"/>
              <w:rPr/>
            </w:pPr>
            <w:r>
              <w:rPr>
                <w:b/>
              </w:rPr>
              <w:t>Exhibit</w:t>
            </w:r>
            <w:r>
              <w:rPr/>
              <w:t xml:space="preserve"> </w:t>
            </w:r>
            <w:r>
              <w:rPr>
                <w:b/>
                <w:u w:val="single"/>
              </w:rPr>
              <w:t>Number</w:t>
            </w:r>
            <w:r>
              <w:rPr/>
              <w:t xml:space="preserve"> </w:t>
            </w:r>
          </w:p>
        </w:tc>
        <w:tc>
          <w:tcPr>
            <w:tcW w:w="9036" w:type="dxa"/>
            <w:tcBorders/>
            <w:vAlign w:val="center"/>
          </w:tcPr>
          <w:p>
            <w:pPr>
              <w:pStyle w:val="TableContents"/>
              <w:bidi w:val="0"/>
              <w:spacing w:before="0" w:after="283"/>
              <w:jc w:val="both"/>
              <w:rPr/>
            </w:pPr>
            <w:r>
              <w:rPr>
                <w:b/>
                <w:u w:val="single"/>
              </w:rPr>
              <w:t>Description</w:t>
            </w:r>
            <w:r>
              <w:rPr/>
              <w:t xml:space="preserve"> </w:t>
            </w:r>
          </w:p>
        </w:tc>
      </w:tr>
      <w:tr>
        <w:trPr/>
        <w:tc>
          <w:tcPr>
            <w:tcW w:w="1169" w:type="dxa"/>
            <w:tcBorders/>
            <w:vAlign w:val="center"/>
          </w:tcPr>
          <w:p>
            <w:pPr>
              <w:pStyle w:val="TableContents"/>
              <w:bidi w:val="0"/>
              <w:spacing w:before="0" w:after="283"/>
              <w:jc w:val="both"/>
              <w:rPr/>
            </w:pPr>
            <w:r>
              <w:rPr/>
              <w:t> </w:t>
            </w:r>
          </w:p>
        </w:tc>
        <w:tc>
          <w:tcPr>
            <w:tcW w:w="9036" w:type="dxa"/>
            <w:tcBorders/>
            <w:vAlign w:val="center"/>
          </w:tcPr>
          <w:p>
            <w:pPr>
              <w:pStyle w:val="TableContents"/>
              <w:bidi w:val="0"/>
              <w:spacing w:before="0" w:after="283"/>
              <w:jc w:val="both"/>
              <w:rPr/>
            </w:pPr>
            <w:r>
              <w:rPr/>
              <w:t> </w:t>
            </w:r>
          </w:p>
        </w:tc>
      </w:tr>
      <w:tr>
        <w:trPr/>
        <w:tc>
          <w:tcPr>
            <w:tcW w:w="1169" w:type="dxa"/>
            <w:tcBorders/>
            <w:shd w:fill="FFFFFF" w:val="clear"/>
            <w:tcMar>
              <w:top w:w="28" w:type="dxa"/>
              <w:left w:w="28" w:type="dxa"/>
              <w:bottom w:w="28" w:type="dxa"/>
              <w:right w:w="28" w:type="dxa"/>
            </w:tcMar>
            <w:vAlign w:val="center"/>
          </w:tcPr>
          <w:p>
            <w:pPr>
              <w:pStyle w:val="TableContents"/>
              <w:bidi w:val="0"/>
              <w:spacing w:before="0" w:after="283"/>
              <w:jc w:val="both"/>
              <w:rPr/>
            </w:pPr>
            <w:hyperlink r:id="rId3">
              <w:r>
                <w:rPr>
                  <w:rStyle w:val="InternetLink"/>
                </w:rPr>
                <w:t>2.1</w:t>
              </w:r>
            </w:hyperlink>
          </w:p>
        </w:tc>
        <w:tc>
          <w:tcPr>
            <w:tcW w:w="9036" w:type="dxa"/>
            <w:tcBorders/>
            <w:tcMar>
              <w:top w:w="28" w:type="dxa"/>
              <w:left w:w="28" w:type="dxa"/>
              <w:bottom w:w="28" w:type="dxa"/>
              <w:right w:w="28" w:type="dxa"/>
            </w:tcMar>
            <w:vAlign w:val="center"/>
          </w:tcPr>
          <w:p>
            <w:pPr>
              <w:pStyle w:val="TableContents"/>
              <w:bidi w:val="0"/>
              <w:spacing w:before="0" w:after="283"/>
              <w:jc w:val="both"/>
              <w:rPr/>
            </w:pPr>
            <w:r>
              <w:rPr/>
              <w:t>Asset Purchase Agreement, dated as of February 18, 2025, by and between Wrap Technologies, Inc. and W1 Global, LLC (incorporated by reference to Exhibit 2.1 to the Company’s Current Report on Form 8-K filed with the Securities and Exchange Commission on February 24, 2025).</w:t>
            </w:r>
          </w:p>
        </w:tc>
      </w:tr>
      <w:tr>
        <w:trPr/>
        <w:tc>
          <w:tcPr>
            <w:tcW w:w="1169" w:type="dxa"/>
            <w:tcBorders/>
            <w:vAlign w:val="center"/>
          </w:tcPr>
          <w:p>
            <w:pPr>
              <w:pStyle w:val="TableContents"/>
              <w:bidi w:val="0"/>
              <w:spacing w:before="0" w:after="283"/>
              <w:jc w:val="both"/>
              <w:rPr/>
            </w:pPr>
            <w:hyperlink r:id="rId4">
              <w:r>
                <w:rPr>
                  <w:rStyle w:val="InternetLink"/>
                  <w:color w:val="0000EE"/>
                  <w:u w:val="single"/>
                </w:rPr>
                <w:t>3.1</w:t>
              </w:r>
            </w:hyperlink>
            <w:r>
              <w:rPr/>
              <w:t xml:space="preserve"> </w:t>
            </w:r>
          </w:p>
        </w:tc>
        <w:tc>
          <w:tcPr>
            <w:tcW w:w="9036" w:type="dxa"/>
            <w:tcBorders/>
            <w:vAlign w:val="center"/>
          </w:tcPr>
          <w:p>
            <w:pPr>
              <w:pStyle w:val="TableContents"/>
              <w:bidi w:val="0"/>
              <w:spacing w:before="0" w:after="283"/>
              <w:jc w:val="both"/>
              <w:rPr/>
            </w:pPr>
            <w:r>
              <w:rPr/>
              <w:t xml:space="preserve">Amended and Restated Certificate of Incorporation of Wrap Technologies, Inc. (incorporated by reference to Exhibit 3.1 to the Company’s Registration Statement on Form S-1 filed with the Securities and Exchange Commission on April 17, 2017). </w:t>
            </w:r>
          </w:p>
        </w:tc>
      </w:tr>
      <w:tr>
        <w:trPr/>
        <w:tc>
          <w:tcPr>
            <w:tcW w:w="1169" w:type="dxa"/>
            <w:tcBorders/>
            <w:shd w:fill="FFFFFF" w:val="clear"/>
            <w:tcMar>
              <w:top w:w="28" w:type="dxa"/>
              <w:left w:w="28" w:type="dxa"/>
              <w:bottom w:w="28" w:type="dxa"/>
              <w:right w:w="28" w:type="dxa"/>
            </w:tcMar>
            <w:vAlign w:val="center"/>
          </w:tcPr>
          <w:p>
            <w:pPr>
              <w:pStyle w:val="TableContents"/>
              <w:bidi w:val="0"/>
              <w:spacing w:before="0" w:after="283"/>
              <w:jc w:val="both"/>
              <w:rPr/>
            </w:pPr>
            <w:hyperlink r:id="rId5">
              <w:r>
                <w:rPr>
                  <w:rStyle w:val="InternetLink"/>
                </w:rPr>
                <w:t>3.1.1</w:t>
              </w:r>
            </w:hyperlink>
          </w:p>
        </w:tc>
        <w:tc>
          <w:tcPr>
            <w:tcW w:w="9036" w:type="dxa"/>
            <w:tcBorders/>
            <w:tcMar>
              <w:top w:w="28" w:type="dxa"/>
              <w:left w:w="28" w:type="dxa"/>
              <w:bottom w:w="28" w:type="dxa"/>
              <w:right w:w="28" w:type="dxa"/>
            </w:tcMar>
            <w:vAlign w:val="center"/>
          </w:tcPr>
          <w:p>
            <w:pPr>
              <w:pStyle w:val="TableContents"/>
              <w:bidi w:val="0"/>
              <w:spacing w:before="0" w:after="283"/>
              <w:jc w:val="both"/>
              <w:rPr/>
            </w:pPr>
            <w:r>
              <w:rPr/>
              <w:t>Certificate of Amendment of Amended and Restated Certificate of Incorporation of Wrap Technologies, Inc. (incorporated by reference to Exhibit 3.1 to the Company's Current Report on Form 8-K, filed with the SEC on December 17, 2025).</w:t>
            </w:r>
          </w:p>
        </w:tc>
      </w:tr>
      <w:tr>
        <w:trPr/>
        <w:tc>
          <w:tcPr>
            <w:tcW w:w="1169" w:type="dxa"/>
            <w:tcBorders/>
            <w:vAlign w:val="center"/>
          </w:tcPr>
          <w:p>
            <w:pPr>
              <w:pStyle w:val="TableContents"/>
              <w:bidi w:val="0"/>
              <w:spacing w:before="0" w:after="283"/>
              <w:jc w:val="both"/>
              <w:rPr/>
            </w:pPr>
            <w:hyperlink r:id="rId6">
              <w:r>
                <w:rPr>
                  <w:rStyle w:val="InternetLink"/>
                  <w:color w:val="0000EE"/>
                  <w:u w:val="single"/>
                </w:rPr>
                <w:t>3.2</w:t>
              </w:r>
            </w:hyperlink>
            <w:r>
              <w:rPr/>
              <w:t xml:space="preserve"> </w:t>
            </w:r>
          </w:p>
        </w:tc>
        <w:tc>
          <w:tcPr>
            <w:tcW w:w="9036" w:type="dxa"/>
            <w:tcBorders/>
            <w:vAlign w:val="center"/>
          </w:tcPr>
          <w:p>
            <w:pPr>
              <w:pStyle w:val="TableContents"/>
              <w:bidi w:val="0"/>
              <w:spacing w:before="0" w:after="283"/>
              <w:jc w:val="both"/>
              <w:rPr/>
            </w:pPr>
            <w:r>
              <w:rPr/>
              <w:t xml:space="preserve">Amended and Restated Bylaws of Wrap Technologies, Inc. (incorporated by reference to Exhibit 3.1 to the Company’s Current Report on Form 8-K filed with the Securities and Exchange Commission on February 10, 2023). </w:t>
            </w:r>
          </w:p>
        </w:tc>
      </w:tr>
      <w:tr>
        <w:trPr/>
        <w:tc>
          <w:tcPr>
            <w:tcW w:w="1169" w:type="dxa"/>
            <w:tcBorders/>
            <w:shd w:fill="FFFFFF" w:val="clear"/>
            <w:vAlign w:val="center"/>
          </w:tcPr>
          <w:p>
            <w:pPr>
              <w:pStyle w:val="TableContents"/>
              <w:bidi w:val="0"/>
              <w:spacing w:before="0" w:after="283"/>
              <w:jc w:val="both"/>
              <w:rPr/>
            </w:pPr>
            <w:hyperlink r:id="rId7">
              <w:r>
                <w:rPr>
                  <w:rStyle w:val="InternetLink"/>
                </w:rPr>
                <w:t>3.2.1</w:t>
              </w:r>
            </w:hyperlink>
          </w:p>
        </w:tc>
        <w:tc>
          <w:tcPr>
            <w:tcW w:w="9036" w:type="dxa"/>
            <w:tcBorders/>
            <w:vAlign w:val="center"/>
          </w:tcPr>
          <w:p>
            <w:pPr>
              <w:pStyle w:val="TableContents"/>
              <w:bidi w:val="0"/>
              <w:spacing w:before="0" w:after="283"/>
              <w:jc w:val="both"/>
              <w:rPr/>
            </w:pPr>
            <w:r>
              <w:rPr/>
              <w:t xml:space="preserve">Amendment No.1 to the Amended and Restated Bylaws of Wrap Technologies, Inc. (incorporated by reference to Exhibit 3.1 to the Company’s Current Report on Form 8-K filed with the Securities and Exchange Commission on December 15, 2023). </w:t>
            </w:r>
          </w:p>
        </w:tc>
      </w:tr>
      <w:tr>
        <w:trPr/>
        <w:tc>
          <w:tcPr>
            <w:tcW w:w="1169" w:type="dxa"/>
            <w:tcBorders/>
            <w:shd w:fill="FFFFFF" w:val="clear"/>
            <w:tcMar>
              <w:top w:w="28" w:type="dxa"/>
              <w:left w:w="28" w:type="dxa"/>
              <w:bottom w:w="28" w:type="dxa"/>
              <w:right w:w="28" w:type="dxa"/>
            </w:tcMar>
            <w:vAlign w:val="center"/>
          </w:tcPr>
          <w:p>
            <w:pPr>
              <w:pStyle w:val="TableContents"/>
              <w:bidi w:val="0"/>
              <w:spacing w:before="0" w:after="283"/>
              <w:jc w:val="both"/>
              <w:rPr/>
            </w:pPr>
            <w:hyperlink r:id="rId8">
              <w:r>
                <w:rPr>
                  <w:rStyle w:val="InternetLink"/>
                </w:rPr>
                <w:t>3.2.2</w:t>
              </w:r>
            </w:hyperlink>
          </w:p>
        </w:tc>
        <w:tc>
          <w:tcPr>
            <w:tcW w:w="9036" w:type="dxa"/>
            <w:tcBorders/>
            <w:tcMar>
              <w:top w:w="28" w:type="dxa"/>
              <w:left w:w="28" w:type="dxa"/>
              <w:bottom w:w="28" w:type="dxa"/>
              <w:right w:w="28" w:type="dxa"/>
            </w:tcMar>
            <w:vAlign w:val="center"/>
          </w:tcPr>
          <w:p>
            <w:pPr>
              <w:pStyle w:val="TableContents"/>
              <w:bidi w:val="0"/>
              <w:spacing w:before="0" w:after="283"/>
              <w:jc w:val="both"/>
              <w:rPr/>
            </w:pPr>
            <w:r>
              <w:rPr/>
              <w:t>Second Amendment to the Amended and Restated Bylaws of Wrap Technologies, Inc. (incorporated by reference to Exhibit 3.1 to the Company's Current Report on Form 8-K, filed with the SEC on November 5, 2025).</w:t>
            </w:r>
          </w:p>
        </w:tc>
      </w:tr>
      <w:tr>
        <w:trPr/>
        <w:tc>
          <w:tcPr>
            <w:tcW w:w="1169" w:type="dxa"/>
            <w:tcBorders/>
            <w:shd w:fill="FFFFFF" w:val="clear"/>
            <w:vAlign w:val="center"/>
          </w:tcPr>
          <w:p>
            <w:pPr>
              <w:pStyle w:val="TableContents"/>
              <w:bidi w:val="0"/>
              <w:spacing w:before="0" w:after="283"/>
              <w:jc w:val="both"/>
              <w:rPr/>
            </w:pPr>
            <w:hyperlink r:id="rId9">
              <w:r>
                <w:rPr>
                  <w:rStyle w:val="InternetLink"/>
                </w:rPr>
                <w:t>3.3</w:t>
              </w:r>
            </w:hyperlink>
          </w:p>
        </w:tc>
        <w:tc>
          <w:tcPr>
            <w:tcW w:w="9036" w:type="dxa"/>
            <w:tcBorders/>
            <w:vAlign w:val="center"/>
          </w:tcPr>
          <w:p>
            <w:pPr>
              <w:pStyle w:val="TableContents"/>
              <w:bidi w:val="0"/>
              <w:spacing w:before="0" w:after="283"/>
              <w:jc w:val="both"/>
              <w:rPr/>
            </w:pPr>
            <w:r>
              <w:rPr/>
              <w:t xml:space="preserve">Certificate of Designations of Series A Convertible Preferred Stock (incorporated by reference to Exhibit 3.1 to the Company’s Current Report on Form 8-K filed with the Securities and Exchange Commission on June 30, 2023). </w:t>
            </w:r>
          </w:p>
        </w:tc>
      </w:tr>
      <w:tr>
        <w:trPr/>
        <w:tc>
          <w:tcPr>
            <w:tcW w:w="1169" w:type="dxa"/>
            <w:tcBorders/>
            <w:shd w:fill="FFFFFF" w:val="clear"/>
            <w:vAlign w:val="center"/>
          </w:tcPr>
          <w:p>
            <w:pPr>
              <w:pStyle w:val="TableContents"/>
              <w:bidi w:val="0"/>
              <w:spacing w:before="0" w:after="283"/>
              <w:jc w:val="both"/>
              <w:rPr/>
            </w:pPr>
            <w:hyperlink r:id="rId10">
              <w:r>
                <w:rPr>
                  <w:rStyle w:val="InternetLink"/>
                </w:rPr>
                <w:t>3.3.1</w:t>
              </w:r>
            </w:hyperlink>
          </w:p>
        </w:tc>
        <w:tc>
          <w:tcPr>
            <w:tcW w:w="9036" w:type="dxa"/>
            <w:tcBorders/>
            <w:vAlign w:val="center"/>
          </w:tcPr>
          <w:p>
            <w:pPr>
              <w:pStyle w:val="TableContents"/>
              <w:bidi w:val="0"/>
              <w:spacing w:before="0" w:after="283"/>
              <w:jc w:val="both"/>
              <w:rPr/>
            </w:pPr>
            <w:r>
              <w:rPr/>
              <w:t xml:space="preserve">Certificate of Amendment of Certificate of Designations of Series A Convertible Preferred Stock. (incorporated by reference to Exhibit 3.1 to the Company’s Current Report on Form 8-K filed with the Securities and Exchange Commission on August 23, 2024). </w:t>
            </w:r>
          </w:p>
        </w:tc>
      </w:tr>
      <w:tr>
        <w:trPr/>
        <w:tc>
          <w:tcPr>
            <w:tcW w:w="1169" w:type="dxa"/>
            <w:tcBorders/>
            <w:tcMar>
              <w:top w:w="28" w:type="dxa"/>
              <w:left w:w="28" w:type="dxa"/>
              <w:bottom w:w="28" w:type="dxa"/>
              <w:right w:w="28" w:type="dxa"/>
            </w:tcMar>
            <w:vAlign w:val="center"/>
          </w:tcPr>
          <w:p>
            <w:pPr>
              <w:pStyle w:val="TableContents"/>
              <w:bidi w:val="0"/>
              <w:spacing w:before="0" w:after="283"/>
              <w:jc w:val="both"/>
              <w:rPr/>
            </w:pPr>
            <w:hyperlink r:id="rId11">
              <w:r>
                <w:rPr>
                  <w:rStyle w:val="InternetLink"/>
                </w:rPr>
                <w:t>3.4</w:t>
              </w:r>
            </w:hyperlink>
          </w:p>
        </w:tc>
        <w:tc>
          <w:tcPr>
            <w:tcW w:w="9036" w:type="dxa"/>
            <w:tcBorders/>
            <w:tcMar>
              <w:top w:w="28" w:type="dxa"/>
              <w:left w:w="28" w:type="dxa"/>
              <w:bottom w:w="28" w:type="dxa"/>
              <w:right w:w="28" w:type="dxa"/>
            </w:tcMar>
            <w:vAlign w:val="center"/>
          </w:tcPr>
          <w:p>
            <w:pPr>
              <w:pStyle w:val="TableContents"/>
              <w:bidi w:val="0"/>
              <w:spacing w:before="0" w:after="283"/>
              <w:jc w:val="both"/>
              <w:rPr/>
            </w:pPr>
            <w:r>
              <w:rPr/>
              <w:t>Certificate of Designations of Series B Convertible Preferred Stock of Wrap Technologies, Inc. (incorporated by reference to Exhibit 3.1 to the Company's Current Report on Form 8-K, filed with the SEC on August 26, 2025).</w:t>
            </w:r>
          </w:p>
        </w:tc>
      </w:tr>
      <w:tr>
        <w:trPr/>
        <w:tc>
          <w:tcPr>
            <w:tcW w:w="1169" w:type="dxa"/>
            <w:tcBorders/>
            <w:vAlign w:val="center"/>
          </w:tcPr>
          <w:p>
            <w:pPr>
              <w:pStyle w:val="TableContents"/>
              <w:bidi w:val="0"/>
              <w:spacing w:before="0" w:after="283"/>
              <w:jc w:val="both"/>
              <w:rPr/>
            </w:pPr>
            <w:hyperlink r:id="rId12">
              <w:r>
                <w:rPr>
                  <w:rStyle w:val="InternetLink"/>
                  <w:color w:val="0000EE"/>
                  <w:u w:val="single"/>
                </w:rPr>
                <w:t>4.1</w:t>
              </w:r>
            </w:hyperlink>
            <w:r>
              <w:rPr/>
              <w:t xml:space="preserve"> </w:t>
            </w:r>
          </w:p>
        </w:tc>
        <w:tc>
          <w:tcPr>
            <w:tcW w:w="9036" w:type="dxa"/>
            <w:tcBorders/>
            <w:vAlign w:val="center"/>
          </w:tcPr>
          <w:p>
            <w:pPr>
              <w:pStyle w:val="TableContents"/>
              <w:bidi w:val="0"/>
              <w:spacing w:before="0" w:after="283"/>
              <w:jc w:val="both"/>
              <w:rPr/>
            </w:pPr>
            <w:r>
              <w:rPr/>
              <w:t xml:space="preserve">Form of Common Stock Certificate (incorporated by reference to Exhibit 4.1 to the Company’s Registration Statement on Form S-1/A filed with the Securities and Exchange Commission on May 30, 2017). </w:t>
            </w:r>
          </w:p>
        </w:tc>
      </w:tr>
      <w:tr>
        <w:trPr/>
        <w:tc>
          <w:tcPr>
            <w:tcW w:w="1169" w:type="dxa"/>
            <w:tcBorders/>
            <w:vAlign w:val="center"/>
          </w:tcPr>
          <w:p>
            <w:pPr>
              <w:pStyle w:val="TableContents"/>
              <w:bidi w:val="0"/>
              <w:spacing w:before="0" w:after="283"/>
              <w:jc w:val="both"/>
              <w:rPr/>
            </w:pPr>
            <w:hyperlink r:id="rId13">
              <w:r>
                <w:rPr>
                  <w:rStyle w:val="InternetLink"/>
                </w:rPr>
                <w:t>4.2</w:t>
              </w:r>
            </w:hyperlink>
            <w:r>
              <w:rPr/>
              <w:t xml:space="preserve"> </w:t>
            </w:r>
          </w:p>
        </w:tc>
        <w:tc>
          <w:tcPr>
            <w:tcW w:w="9036" w:type="dxa"/>
            <w:tcBorders/>
            <w:vAlign w:val="center"/>
          </w:tcPr>
          <w:p>
            <w:pPr>
              <w:pStyle w:val="TableContents"/>
              <w:bidi w:val="0"/>
              <w:spacing w:before="0" w:after="283"/>
              <w:jc w:val="both"/>
              <w:rPr/>
            </w:pPr>
            <w:r>
              <w:rPr/>
              <w:t xml:space="preserve">Form of Placement Agent Warrant (incorporated by reference to Exhibit 4.1 to the Company’s Current Report on Form 8-K filed with the Securities and Exchange Commission on June 30, 2023). </w:t>
            </w:r>
          </w:p>
        </w:tc>
      </w:tr>
      <w:tr>
        <w:trPr/>
        <w:tc>
          <w:tcPr>
            <w:tcW w:w="1169" w:type="dxa"/>
            <w:tcBorders/>
            <w:shd w:fill="FFFFFF" w:val="clear"/>
            <w:tcMar>
              <w:top w:w="28" w:type="dxa"/>
              <w:left w:w="28" w:type="dxa"/>
              <w:bottom w:w="28" w:type="dxa"/>
              <w:right w:w="28" w:type="dxa"/>
            </w:tcMar>
            <w:vAlign w:val="center"/>
          </w:tcPr>
          <w:p>
            <w:pPr>
              <w:pStyle w:val="TableContents"/>
              <w:bidi w:val="0"/>
              <w:spacing w:before="0" w:after="283"/>
              <w:jc w:val="both"/>
              <w:rPr/>
            </w:pPr>
            <w:hyperlink r:id="rId14">
              <w:r>
                <w:rPr>
                  <w:rStyle w:val="InternetLink"/>
                </w:rPr>
                <w:t>4.3</w:t>
              </w:r>
            </w:hyperlink>
          </w:p>
        </w:tc>
        <w:tc>
          <w:tcPr>
            <w:tcW w:w="9036" w:type="dxa"/>
            <w:tcBorders/>
            <w:tcMar>
              <w:top w:w="28" w:type="dxa"/>
              <w:left w:w="28" w:type="dxa"/>
              <w:bottom w:w="28" w:type="dxa"/>
              <w:right w:w="28" w:type="dxa"/>
            </w:tcMar>
            <w:vAlign w:val="center"/>
          </w:tcPr>
          <w:p>
            <w:pPr>
              <w:pStyle w:val="TableContents"/>
              <w:bidi w:val="0"/>
              <w:spacing w:before="0" w:after="283"/>
              <w:jc w:val="both"/>
              <w:rPr/>
            </w:pPr>
            <w:r>
              <w:rPr/>
              <w:t>Form of Warrant (incorporated by reference to Exhibit 4.1 to the Company’s Current Report on Form 8-K filed with the Securities and Exchange Commission on February 28, 2025).</w:t>
            </w:r>
          </w:p>
        </w:tc>
      </w:tr>
      <w:tr>
        <w:trPr/>
        <w:tc>
          <w:tcPr>
            <w:tcW w:w="1169" w:type="dxa"/>
            <w:tcBorders/>
            <w:shd w:fill="FFFFFF" w:val="clear"/>
            <w:tcMar>
              <w:top w:w="28" w:type="dxa"/>
              <w:left w:w="28" w:type="dxa"/>
              <w:bottom w:w="28" w:type="dxa"/>
              <w:right w:w="28" w:type="dxa"/>
            </w:tcMar>
            <w:vAlign w:val="center"/>
          </w:tcPr>
          <w:p>
            <w:pPr>
              <w:pStyle w:val="TableContents"/>
              <w:bidi w:val="0"/>
              <w:spacing w:before="0" w:after="283"/>
              <w:jc w:val="both"/>
              <w:rPr/>
            </w:pPr>
            <w:hyperlink r:id="rId15">
              <w:r>
                <w:rPr>
                  <w:rStyle w:val="InternetLink"/>
                </w:rPr>
                <w:t>4.4</w:t>
              </w:r>
            </w:hyperlink>
          </w:p>
        </w:tc>
        <w:tc>
          <w:tcPr>
            <w:tcW w:w="9036" w:type="dxa"/>
            <w:tcBorders/>
            <w:tcMar>
              <w:top w:w="28" w:type="dxa"/>
              <w:left w:w="28" w:type="dxa"/>
              <w:bottom w:w="28" w:type="dxa"/>
              <w:right w:w="28" w:type="dxa"/>
            </w:tcMar>
            <w:vAlign w:val="center"/>
          </w:tcPr>
          <w:p>
            <w:pPr>
              <w:pStyle w:val="TableContents"/>
              <w:bidi w:val="0"/>
              <w:spacing w:before="0" w:after="283"/>
              <w:jc w:val="both"/>
              <w:rPr/>
            </w:pPr>
            <w:r>
              <w:rPr/>
              <w:t>Form of Warrant (incorporated by reference to Exhibit 4.1 to the Company's Current Report on Form 8-K, filed with the SEC on August 18, 2025).</w:t>
            </w:r>
          </w:p>
        </w:tc>
      </w:tr>
      <w:tr>
        <w:trPr/>
        <w:tc>
          <w:tcPr>
            <w:tcW w:w="1169" w:type="dxa"/>
            <w:tcBorders/>
            <w:shd w:fill="FFFFFF" w:val="clear"/>
            <w:tcMar>
              <w:top w:w="28" w:type="dxa"/>
              <w:left w:w="28" w:type="dxa"/>
              <w:bottom w:w="28" w:type="dxa"/>
              <w:right w:w="28" w:type="dxa"/>
            </w:tcMar>
            <w:vAlign w:val="center"/>
          </w:tcPr>
          <w:p>
            <w:pPr>
              <w:pStyle w:val="TableContents"/>
              <w:bidi w:val="0"/>
              <w:spacing w:before="0" w:after="283"/>
              <w:jc w:val="both"/>
              <w:rPr/>
            </w:pPr>
            <w:hyperlink r:id="rId16">
              <w:r>
                <w:rPr>
                  <w:rStyle w:val="InternetLink"/>
                </w:rPr>
                <w:t>4.5</w:t>
              </w:r>
            </w:hyperlink>
          </w:p>
        </w:tc>
        <w:tc>
          <w:tcPr>
            <w:tcW w:w="9036" w:type="dxa"/>
            <w:tcBorders/>
            <w:tcMar>
              <w:top w:w="28" w:type="dxa"/>
              <w:left w:w="28" w:type="dxa"/>
              <w:bottom w:w="28" w:type="dxa"/>
              <w:right w:w="28" w:type="dxa"/>
            </w:tcMar>
            <w:vAlign w:val="center"/>
          </w:tcPr>
          <w:p>
            <w:pPr>
              <w:pStyle w:val="TableContents"/>
              <w:bidi w:val="0"/>
              <w:spacing w:before="0" w:after="283"/>
              <w:jc w:val="both"/>
              <w:rPr/>
            </w:pPr>
            <w:r>
              <w:rPr/>
              <w:t>Form of Warrant (incorporated by reference to Exhibit 4.1 to the Company's Current Report on Form 8-K, filed with the SEC on February 4, 2026).</w:t>
            </w:r>
          </w:p>
        </w:tc>
      </w:tr>
      <w:tr>
        <w:trPr/>
        <w:tc>
          <w:tcPr>
            <w:tcW w:w="1169" w:type="dxa"/>
            <w:tcBorders/>
            <w:shd w:fill="FFFFFF" w:val="clear"/>
            <w:tcMar>
              <w:top w:w="28" w:type="dxa"/>
              <w:left w:w="28" w:type="dxa"/>
              <w:bottom w:w="28" w:type="dxa"/>
              <w:right w:w="28" w:type="dxa"/>
            </w:tcMar>
            <w:vAlign w:val="center"/>
          </w:tcPr>
          <w:p>
            <w:pPr>
              <w:pStyle w:val="TableContents"/>
              <w:bidi w:val="0"/>
              <w:spacing w:before="0" w:after="283"/>
              <w:jc w:val="both"/>
              <w:rPr/>
            </w:pPr>
            <w:hyperlink r:id="rId17">
              <w:r>
                <w:rPr>
                  <w:rStyle w:val="InternetLink"/>
                </w:rPr>
                <w:t>4.6</w:t>
              </w:r>
            </w:hyperlink>
          </w:p>
        </w:tc>
        <w:tc>
          <w:tcPr>
            <w:tcW w:w="9036" w:type="dxa"/>
            <w:tcBorders/>
            <w:tcMar>
              <w:top w:w="28" w:type="dxa"/>
              <w:left w:w="28" w:type="dxa"/>
              <w:bottom w:w="28" w:type="dxa"/>
              <w:right w:w="28" w:type="dxa"/>
            </w:tcMar>
            <w:vAlign w:val="center"/>
          </w:tcPr>
          <w:p>
            <w:pPr>
              <w:pStyle w:val="TableContents"/>
              <w:bidi w:val="0"/>
              <w:spacing w:before="0" w:after="283"/>
              <w:jc w:val="both"/>
              <w:rPr/>
            </w:pPr>
            <w:r>
              <w:rPr/>
              <w:t>Form of Pre-Funded Warrant (incorporated by reference to Exhibit 4.2 to the Company's Current Report on Form 8-K, filed with the SEC on February 4, 2026).</w:t>
            </w:r>
          </w:p>
        </w:tc>
      </w:tr>
      <w:tr>
        <w:trPr/>
        <w:tc>
          <w:tcPr>
            <w:tcW w:w="1169" w:type="dxa"/>
            <w:tcBorders/>
            <w:shd w:fill="FFFFFF" w:val="clear"/>
            <w:vAlign w:val="center"/>
          </w:tcPr>
          <w:p>
            <w:pPr>
              <w:pStyle w:val="TableContents"/>
              <w:bidi w:val="0"/>
              <w:spacing w:before="0" w:after="283"/>
              <w:jc w:val="both"/>
              <w:rPr/>
            </w:pPr>
            <w:hyperlink w:anchor="ex4-7.htm">
              <w:r>
                <w:rPr>
                  <w:rStyle w:val="InternetLink"/>
                  <w:color w:val="000080"/>
                  <w:u w:val="single"/>
                </w:rPr>
                <w:t>4.7</w:t>
              </w:r>
            </w:hyperlink>
            <w:r>
              <w:rPr>
                <w:color w:val="0000EE"/>
                <w:u w:val="single"/>
              </w:rPr>
              <w:t>*</w:t>
            </w:r>
          </w:p>
        </w:tc>
        <w:tc>
          <w:tcPr>
            <w:tcW w:w="9036" w:type="dxa"/>
            <w:tcBorders/>
            <w:vAlign w:val="center"/>
          </w:tcPr>
          <w:p>
            <w:pPr>
              <w:pStyle w:val="TableContents"/>
              <w:bidi w:val="0"/>
              <w:spacing w:before="0" w:after="283"/>
              <w:jc w:val="both"/>
              <w:rPr/>
            </w:pPr>
            <w:r>
              <w:rPr/>
              <w:t xml:space="preserve">Description of Securities. </w:t>
            </w:r>
          </w:p>
        </w:tc>
      </w:tr>
      <w:tr>
        <w:trPr/>
        <w:tc>
          <w:tcPr>
            <w:tcW w:w="1169" w:type="dxa"/>
            <w:tcBorders/>
            <w:vAlign w:val="center"/>
          </w:tcPr>
          <w:p>
            <w:pPr>
              <w:pStyle w:val="TableContents"/>
              <w:bidi w:val="0"/>
              <w:spacing w:before="0" w:after="283"/>
              <w:jc w:val="both"/>
              <w:rPr/>
            </w:pPr>
            <w:hyperlink r:id="rId18">
              <w:r>
                <w:rPr>
                  <w:rStyle w:val="InternetLink"/>
                  <w:color w:val="0000EE"/>
                  <w:u w:val="single"/>
                </w:rPr>
                <w:t>10.1</w:t>
              </w:r>
            </w:hyperlink>
            <w:r>
              <w:rPr/>
              <w:t xml:space="preserve"> </w:t>
            </w:r>
          </w:p>
        </w:tc>
        <w:tc>
          <w:tcPr>
            <w:tcW w:w="9036" w:type="dxa"/>
            <w:tcBorders/>
            <w:vAlign w:val="center"/>
          </w:tcPr>
          <w:p>
            <w:pPr>
              <w:pStyle w:val="TableContents"/>
              <w:bidi w:val="0"/>
              <w:spacing w:before="0" w:after="283"/>
              <w:jc w:val="both"/>
              <w:rPr/>
            </w:pPr>
            <w:r>
              <w:rPr/>
              <w:t xml:space="preserve">Amended and Restated Intellectual Property License Agreement, dated September 30, 2016, by and between Wrap Technologies, LLC and Syzygy Licensing LLC (incorporated by reference to Exhibit 10.1 to the Company’s Registration Statement on Form S-1 filed with the Securities and Exchange Commission on April 17, 2017). </w:t>
            </w:r>
          </w:p>
        </w:tc>
      </w:tr>
      <w:tr>
        <w:trPr/>
        <w:tc>
          <w:tcPr>
            <w:tcW w:w="1169" w:type="dxa"/>
            <w:tcBorders/>
            <w:vAlign w:val="center"/>
          </w:tcPr>
          <w:p>
            <w:pPr>
              <w:pStyle w:val="TableContents"/>
              <w:bidi w:val="0"/>
              <w:spacing w:before="0" w:after="283"/>
              <w:jc w:val="both"/>
              <w:rPr/>
            </w:pPr>
            <w:hyperlink r:id="rId19">
              <w:r>
                <w:rPr>
                  <w:rStyle w:val="InternetLink"/>
                  <w:color w:val="0000EE"/>
                  <w:u w:val="single"/>
                </w:rPr>
                <w:t>10.2+</w:t>
              </w:r>
            </w:hyperlink>
            <w:r>
              <w:rPr/>
              <w:t xml:space="preserve"> </w:t>
            </w:r>
          </w:p>
        </w:tc>
        <w:tc>
          <w:tcPr>
            <w:tcW w:w="9036" w:type="dxa"/>
            <w:tcBorders/>
            <w:vAlign w:val="center"/>
          </w:tcPr>
          <w:p>
            <w:pPr>
              <w:pStyle w:val="TableContents"/>
              <w:bidi w:val="0"/>
              <w:spacing w:before="0" w:after="283"/>
              <w:jc w:val="both"/>
              <w:rPr/>
            </w:pPr>
            <w:r>
              <w:rPr/>
              <w:t xml:space="preserve">Wrap Technologies, Inc. 2017 Equity Compensation Plan (incorporated by reference to Exhibit 10.2 to the Company’s Registration Statement on Form S-1 filed with the Securities and Exchange Commission on April 17, 2017). </w:t>
            </w:r>
          </w:p>
        </w:tc>
      </w:tr>
      <w:tr>
        <w:trPr/>
        <w:tc>
          <w:tcPr>
            <w:tcW w:w="1169" w:type="dxa"/>
            <w:tcBorders/>
            <w:vAlign w:val="center"/>
          </w:tcPr>
          <w:p>
            <w:pPr>
              <w:pStyle w:val="TableContents"/>
              <w:bidi w:val="0"/>
              <w:spacing w:before="0" w:after="283"/>
              <w:jc w:val="both"/>
              <w:rPr/>
            </w:pPr>
            <w:hyperlink r:id="rId20">
              <w:r>
                <w:rPr>
                  <w:rStyle w:val="InternetLink"/>
                  <w:color w:val="0000EE"/>
                  <w:u w:val="single"/>
                </w:rPr>
                <w:t>10.2.1+</w:t>
              </w:r>
            </w:hyperlink>
            <w:r>
              <w:rPr/>
              <w:t xml:space="preserve"> </w:t>
            </w:r>
          </w:p>
        </w:tc>
        <w:tc>
          <w:tcPr>
            <w:tcW w:w="9036" w:type="dxa"/>
            <w:tcBorders/>
            <w:vAlign w:val="center"/>
          </w:tcPr>
          <w:p>
            <w:pPr>
              <w:pStyle w:val="TableContents"/>
              <w:bidi w:val="0"/>
              <w:spacing w:before="0" w:after="283"/>
              <w:jc w:val="both"/>
              <w:rPr/>
            </w:pPr>
            <w:r>
              <w:rPr/>
              <w:t xml:space="preserve">Amendment No. 1 to the Wrap Technologies, Inc. 2017 Equity Compensation Plan (incorporated by reference to Exhibit 10.1 to the Company’s Registration Statement on Form S-8 filed with the Securities and Exchange Commission on June 24, 2019). </w:t>
            </w:r>
          </w:p>
        </w:tc>
      </w:tr>
      <w:tr>
        <w:trPr/>
        <w:tc>
          <w:tcPr>
            <w:tcW w:w="1169" w:type="dxa"/>
            <w:tcBorders/>
            <w:vAlign w:val="center"/>
          </w:tcPr>
          <w:p>
            <w:pPr>
              <w:pStyle w:val="TableContents"/>
              <w:bidi w:val="0"/>
              <w:spacing w:before="0" w:after="283"/>
              <w:jc w:val="both"/>
              <w:rPr/>
            </w:pPr>
            <w:hyperlink r:id="rId21">
              <w:r>
                <w:rPr>
                  <w:rStyle w:val="InternetLink"/>
                  <w:color w:val="0000EE"/>
                  <w:u w:val="single"/>
                </w:rPr>
                <w:t>10.2.2+</w:t>
              </w:r>
            </w:hyperlink>
            <w:r>
              <w:rPr/>
              <w:t xml:space="preserve"> </w:t>
            </w:r>
          </w:p>
        </w:tc>
        <w:tc>
          <w:tcPr>
            <w:tcW w:w="9036" w:type="dxa"/>
            <w:tcBorders/>
            <w:vAlign w:val="center"/>
          </w:tcPr>
          <w:p>
            <w:pPr>
              <w:pStyle w:val="TableContents"/>
              <w:bidi w:val="0"/>
              <w:spacing w:before="0" w:after="283"/>
              <w:jc w:val="both"/>
              <w:rPr/>
            </w:pPr>
            <w:r>
              <w:rPr/>
              <w:t xml:space="preserve">Amendment No. 2 to the Wrap Technologies, Inc. 2017 Equity Compensation Plan (incorporated by reference to Exhibit 10.1 to the Company’s Registration Statement on Form S-8 filed with the Securities and Exchange Commission on June 17, 2020). </w:t>
            </w:r>
          </w:p>
        </w:tc>
      </w:tr>
      <w:tr>
        <w:trPr/>
        <w:tc>
          <w:tcPr>
            <w:tcW w:w="1169" w:type="dxa"/>
            <w:tcBorders/>
            <w:vAlign w:val="center"/>
          </w:tcPr>
          <w:p>
            <w:pPr>
              <w:pStyle w:val="TableContents"/>
              <w:bidi w:val="0"/>
              <w:spacing w:before="0" w:after="283"/>
              <w:jc w:val="both"/>
              <w:rPr/>
            </w:pPr>
            <w:hyperlink r:id="rId22">
              <w:r>
                <w:rPr>
                  <w:rStyle w:val="InternetLink"/>
                  <w:color w:val="0000EE"/>
                  <w:u w:val="single"/>
                </w:rPr>
                <w:t>10.2.3+</w:t>
              </w:r>
            </w:hyperlink>
            <w:r>
              <w:rPr/>
              <w:t xml:space="preserve"> </w:t>
            </w:r>
          </w:p>
        </w:tc>
        <w:tc>
          <w:tcPr>
            <w:tcW w:w="9036" w:type="dxa"/>
            <w:tcBorders/>
            <w:vAlign w:val="center"/>
          </w:tcPr>
          <w:p>
            <w:pPr>
              <w:pStyle w:val="TableContents"/>
              <w:bidi w:val="0"/>
              <w:spacing w:before="0" w:after="283"/>
              <w:jc w:val="both"/>
              <w:rPr/>
            </w:pPr>
            <w:r>
              <w:rPr/>
              <w:t xml:space="preserve">Amendment No. 3 to the Wrap Technologies, Inc. 2017 Equity Compensation Plan (incorporated by reference to Exhibit 10.1 to the Registration Statement on Form S-8 filed with the Securities and Exchange Commission on November 5, 2021). </w:t>
            </w:r>
          </w:p>
        </w:tc>
      </w:tr>
      <w:tr>
        <w:trPr/>
        <w:tc>
          <w:tcPr>
            <w:tcW w:w="1169" w:type="dxa"/>
            <w:tcBorders/>
            <w:shd w:fill="FFFFFF" w:val="clear"/>
            <w:tcMar>
              <w:top w:w="28" w:type="dxa"/>
              <w:left w:w="28" w:type="dxa"/>
              <w:bottom w:w="28" w:type="dxa"/>
              <w:right w:w="28" w:type="dxa"/>
            </w:tcMar>
            <w:vAlign w:val="center"/>
          </w:tcPr>
          <w:p>
            <w:pPr>
              <w:pStyle w:val="TableContents"/>
              <w:bidi w:val="0"/>
              <w:spacing w:before="0" w:after="283"/>
              <w:jc w:val="both"/>
              <w:rPr/>
            </w:pPr>
            <w:hyperlink r:id="rId23">
              <w:r>
                <w:rPr>
                  <w:rStyle w:val="InternetLink"/>
                </w:rPr>
                <w:t>10.2.4+</w:t>
              </w:r>
            </w:hyperlink>
          </w:p>
        </w:tc>
        <w:tc>
          <w:tcPr>
            <w:tcW w:w="9036" w:type="dxa"/>
            <w:tcBorders/>
            <w:tcMar>
              <w:top w:w="28" w:type="dxa"/>
              <w:left w:w="28" w:type="dxa"/>
              <w:bottom w:w="28" w:type="dxa"/>
              <w:right w:w="28" w:type="dxa"/>
            </w:tcMar>
            <w:vAlign w:val="center"/>
          </w:tcPr>
          <w:p>
            <w:pPr>
              <w:pStyle w:val="TableContents"/>
              <w:bidi w:val="0"/>
              <w:spacing w:before="0" w:after="283"/>
              <w:jc w:val="both"/>
              <w:rPr/>
            </w:pPr>
            <w:r>
              <w:rPr/>
              <w:t>Amendment No. 4 to the Wrap Technologies, Inc. 2017 Equity Compensation Plan (incorporated by reference to Exhibit 10.2.4 to the Company’s Annual Report on Form 10-K/A filed with the Securities and Exchange Commission on April 25, 2025).</w:t>
            </w:r>
          </w:p>
        </w:tc>
      </w:tr>
      <w:tr>
        <w:trPr/>
        <w:tc>
          <w:tcPr>
            <w:tcW w:w="1169" w:type="dxa"/>
            <w:tcBorders/>
            <w:shd w:fill="FFFFFF" w:val="clear"/>
            <w:tcMar>
              <w:top w:w="28" w:type="dxa"/>
              <w:left w:w="28" w:type="dxa"/>
              <w:bottom w:w="28" w:type="dxa"/>
              <w:right w:w="28" w:type="dxa"/>
            </w:tcMar>
            <w:vAlign w:val="center"/>
          </w:tcPr>
          <w:p>
            <w:pPr>
              <w:pStyle w:val="TableContents"/>
              <w:bidi w:val="0"/>
              <w:spacing w:before="0" w:after="283"/>
              <w:jc w:val="both"/>
              <w:rPr/>
            </w:pPr>
            <w:hyperlink r:id="rId24">
              <w:r>
                <w:rPr>
                  <w:rStyle w:val="InternetLink"/>
                </w:rPr>
                <w:t>10.2.5+</w:t>
              </w:r>
            </w:hyperlink>
          </w:p>
        </w:tc>
        <w:tc>
          <w:tcPr>
            <w:tcW w:w="9036" w:type="dxa"/>
            <w:tcBorders/>
            <w:tcMar>
              <w:top w:w="28" w:type="dxa"/>
              <w:left w:w="28" w:type="dxa"/>
              <w:bottom w:w="28" w:type="dxa"/>
              <w:right w:w="28" w:type="dxa"/>
            </w:tcMar>
            <w:vAlign w:val="center"/>
          </w:tcPr>
          <w:p>
            <w:pPr>
              <w:pStyle w:val="TableContents"/>
              <w:bidi w:val="0"/>
              <w:spacing w:before="0" w:after="283"/>
              <w:jc w:val="both"/>
              <w:rPr/>
            </w:pPr>
            <w:r>
              <w:rPr/>
              <w:t>Fifth Amendment to the Wrap Technologies, Inc. 2017 Equity Compensation Plan (incorporated by reference to Exhibit 10.1 to the Company’s Current Report on Form 8-K filed with the Securities and Exchange Commission on December 26, 2024).</w:t>
            </w:r>
          </w:p>
        </w:tc>
      </w:tr>
      <w:tr>
        <w:trPr/>
        <w:tc>
          <w:tcPr>
            <w:tcW w:w="1169" w:type="dxa"/>
            <w:tcBorders/>
            <w:shd w:fill="FFFFFF" w:val="clear"/>
            <w:tcMar>
              <w:top w:w="28" w:type="dxa"/>
              <w:left w:w="28" w:type="dxa"/>
              <w:bottom w:w="28" w:type="dxa"/>
              <w:right w:w="28" w:type="dxa"/>
            </w:tcMar>
            <w:vAlign w:val="center"/>
          </w:tcPr>
          <w:p>
            <w:pPr>
              <w:pStyle w:val="TableContents"/>
              <w:bidi w:val="0"/>
              <w:spacing w:before="0" w:after="283"/>
              <w:jc w:val="both"/>
              <w:rPr/>
            </w:pPr>
            <w:hyperlink r:id="rId25">
              <w:r>
                <w:rPr>
                  <w:rStyle w:val="InternetLink"/>
                </w:rPr>
                <w:t>10.2.6+</w:t>
              </w:r>
            </w:hyperlink>
          </w:p>
        </w:tc>
        <w:tc>
          <w:tcPr>
            <w:tcW w:w="9036" w:type="dxa"/>
            <w:tcBorders/>
            <w:tcMar>
              <w:top w:w="28" w:type="dxa"/>
              <w:left w:w="28" w:type="dxa"/>
              <w:bottom w:w="28" w:type="dxa"/>
              <w:right w:w="28" w:type="dxa"/>
            </w:tcMar>
            <w:vAlign w:val="center"/>
          </w:tcPr>
          <w:p>
            <w:pPr>
              <w:pStyle w:val="TableContents"/>
              <w:bidi w:val="0"/>
              <w:spacing w:before="0" w:after="283"/>
              <w:jc w:val="both"/>
              <w:rPr/>
            </w:pPr>
            <w:r>
              <w:rPr/>
              <w:t>Sixth Amendment to the Wrap Technologies, Inc. 2017 Equity Compensation Plan (incorporated by reference to Exhibit 10.1 to the Company's Current Report on Form 8-K, filed with the SEC on December 17, 2025).</w:t>
            </w:r>
          </w:p>
        </w:tc>
      </w:tr>
      <w:tr>
        <w:trPr/>
        <w:tc>
          <w:tcPr>
            <w:tcW w:w="1169" w:type="dxa"/>
            <w:tcBorders/>
            <w:vAlign w:val="center"/>
          </w:tcPr>
          <w:p>
            <w:pPr>
              <w:pStyle w:val="TableContents"/>
              <w:bidi w:val="0"/>
              <w:spacing w:before="0" w:after="283"/>
              <w:jc w:val="both"/>
              <w:rPr/>
            </w:pPr>
            <w:hyperlink r:id="rId26">
              <w:r>
                <w:rPr>
                  <w:rStyle w:val="InternetLink"/>
                  <w:color w:val="0000EE"/>
                  <w:u w:val="single"/>
                </w:rPr>
                <w:t>10.4+</w:t>
              </w:r>
            </w:hyperlink>
            <w:r>
              <w:rPr/>
              <w:t xml:space="preserve"> </w:t>
            </w:r>
          </w:p>
        </w:tc>
        <w:tc>
          <w:tcPr>
            <w:tcW w:w="9036" w:type="dxa"/>
            <w:tcBorders/>
            <w:vAlign w:val="center"/>
          </w:tcPr>
          <w:p>
            <w:pPr>
              <w:pStyle w:val="TableContents"/>
              <w:bidi w:val="0"/>
              <w:spacing w:before="0" w:after="283"/>
              <w:jc w:val="both"/>
              <w:rPr/>
            </w:pPr>
            <w:r>
              <w:rPr/>
              <w:t xml:space="preserve">Form of At-Will Employment, Confidential Information, Non-Compete/ Non-Solicitation, Invention Assignment, and Arbitration Agreement between the Key Employees and the Company dated December 14, 2020 (incorporated by reference to Exhibit 10.1 to the Current Report on Form 8-K filed with the Securities and Exchange Commission on September 14, 2020). </w:t>
            </w:r>
          </w:p>
        </w:tc>
      </w:tr>
      <w:tr>
        <w:trPr/>
        <w:tc>
          <w:tcPr>
            <w:tcW w:w="1169" w:type="dxa"/>
            <w:tcBorders/>
            <w:vAlign w:val="center"/>
          </w:tcPr>
          <w:p>
            <w:pPr>
              <w:pStyle w:val="TableContents"/>
              <w:bidi w:val="0"/>
              <w:spacing w:before="0" w:after="283"/>
              <w:jc w:val="both"/>
              <w:rPr/>
            </w:pPr>
            <w:hyperlink r:id="rId27">
              <w:r>
                <w:rPr>
                  <w:rStyle w:val="InternetLink"/>
                  <w:color w:val="0000EE"/>
                  <w:u w:val="single"/>
                </w:rPr>
                <w:t>10.5</w:t>
              </w:r>
            </w:hyperlink>
            <w:r>
              <w:rPr/>
              <w:t xml:space="preserve"> </w:t>
            </w:r>
          </w:p>
        </w:tc>
        <w:tc>
          <w:tcPr>
            <w:tcW w:w="9036" w:type="dxa"/>
            <w:tcBorders/>
            <w:vAlign w:val="center"/>
          </w:tcPr>
          <w:p>
            <w:pPr>
              <w:pStyle w:val="TableContents"/>
              <w:bidi w:val="0"/>
              <w:spacing w:before="0" w:after="283"/>
              <w:jc w:val="both"/>
              <w:rPr/>
            </w:pPr>
            <w:r>
              <w:rPr/>
              <w:t xml:space="preserve">Cooperation Agreement by and between the Company and Elwood G. Norris and certain of his affiliates dated March 4, 2021 (incorporated by reference to Exhibit 10.1 to the Company’s Current Report on Form 8-K filed with the Securities and Exchange Commission on March 9, 2021). </w:t>
            </w:r>
          </w:p>
        </w:tc>
      </w:tr>
      <w:tr>
        <w:trPr/>
        <w:tc>
          <w:tcPr>
            <w:tcW w:w="1169" w:type="dxa"/>
            <w:tcBorders/>
            <w:vAlign w:val="center"/>
          </w:tcPr>
          <w:p>
            <w:pPr>
              <w:pStyle w:val="TableContents"/>
              <w:bidi w:val="0"/>
              <w:spacing w:before="0" w:after="283"/>
              <w:jc w:val="both"/>
              <w:rPr/>
            </w:pPr>
            <w:hyperlink r:id="rId28">
              <w:r>
                <w:rPr>
                  <w:rStyle w:val="InternetLink"/>
                  <w:color w:val="0000EE"/>
                  <w:u w:val="single"/>
                </w:rPr>
                <w:t>10.6</w:t>
              </w:r>
            </w:hyperlink>
            <w:r>
              <w:rPr/>
              <w:t xml:space="preserve"> </w:t>
            </w:r>
          </w:p>
        </w:tc>
        <w:tc>
          <w:tcPr>
            <w:tcW w:w="9036" w:type="dxa"/>
            <w:tcBorders/>
            <w:vAlign w:val="center"/>
          </w:tcPr>
          <w:p>
            <w:pPr>
              <w:pStyle w:val="TableContents"/>
              <w:bidi w:val="0"/>
              <w:spacing w:before="0" w:after="283"/>
              <w:jc w:val="both"/>
              <w:rPr/>
            </w:pPr>
            <w:r>
              <w:rPr/>
              <w:t xml:space="preserve">Consulting Agreement between the Company and LWV Consulting, LLC, dated January 24, 2022 (incorporated by reference to Exhibit 10.2 to the Company’s Current Report on Form 8-K filed with the Securities and Exchange Commission filed on January 26, 2022). </w:t>
            </w:r>
          </w:p>
        </w:tc>
      </w:tr>
      <w:tr>
        <w:trPr/>
        <w:tc>
          <w:tcPr>
            <w:tcW w:w="1169" w:type="dxa"/>
            <w:tcBorders/>
            <w:vAlign w:val="center"/>
          </w:tcPr>
          <w:p>
            <w:pPr>
              <w:pStyle w:val="TableContents"/>
              <w:bidi w:val="0"/>
              <w:spacing w:before="0" w:after="283"/>
              <w:jc w:val="both"/>
              <w:rPr/>
            </w:pPr>
            <w:hyperlink r:id="rId29">
              <w:r>
                <w:rPr>
                  <w:rStyle w:val="InternetLink"/>
                  <w:color w:val="0000EE"/>
                  <w:u w:val="single"/>
                </w:rPr>
                <w:t>10.7</w:t>
              </w:r>
            </w:hyperlink>
            <w:r>
              <w:rPr/>
              <w:t xml:space="preserve"> </w:t>
            </w:r>
          </w:p>
        </w:tc>
        <w:tc>
          <w:tcPr>
            <w:tcW w:w="9036" w:type="dxa"/>
            <w:tcBorders/>
            <w:vAlign w:val="center"/>
          </w:tcPr>
          <w:p>
            <w:pPr>
              <w:pStyle w:val="TableContents"/>
              <w:bidi w:val="0"/>
              <w:spacing w:before="0" w:after="283"/>
              <w:jc w:val="both"/>
              <w:rPr/>
            </w:pPr>
            <w:r>
              <w:rPr/>
              <w:t xml:space="preserve">Consulting Agreement between the Company and LRHIRSH, LLC, dated January 24, 2022 (incorporated by reference to Exhibit 10.3 to the Company’s Current Report on Form 8-K filed with the Securities and Exchange Commission on January 26, 2022). </w:t>
            </w:r>
          </w:p>
        </w:tc>
      </w:tr>
      <w:tr>
        <w:trPr/>
        <w:tc>
          <w:tcPr>
            <w:tcW w:w="1169" w:type="dxa"/>
            <w:tcBorders/>
            <w:vAlign w:val="center"/>
          </w:tcPr>
          <w:p>
            <w:pPr>
              <w:pStyle w:val="TableContents"/>
              <w:bidi w:val="0"/>
              <w:spacing w:before="0" w:after="283"/>
              <w:jc w:val="both"/>
              <w:rPr/>
            </w:pPr>
            <w:hyperlink r:id="rId30">
              <w:r>
                <w:rPr>
                  <w:rStyle w:val="InternetLink"/>
                  <w:color w:val="0000EE"/>
                  <w:u w:val="single"/>
                </w:rPr>
                <w:t>10.8+</w:t>
              </w:r>
            </w:hyperlink>
            <w:r>
              <w:rPr/>
              <w:t xml:space="preserve"> </w:t>
            </w:r>
          </w:p>
        </w:tc>
        <w:tc>
          <w:tcPr>
            <w:tcW w:w="9036" w:type="dxa"/>
            <w:tcBorders/>
            <w:vAlign w:val="center"/>
          </w:tcPr>
          <w:p>
            <w:pPr>
              <w:pStyle w:val="TableContents"/>
              <w:bidi w:val="0"/>
              <w:spacing w:before="0" w:after="283"/>
              <w:jc w:val="both"/>
              <w:rPr/>
            </w:pPr>
            <w:r>
              <w:rPr/>
              <w:t xml:space="preserve">Employment Agreement between Wrap Technologies, Inc. and TJ Kennedy, dated April 13, 2022 (incorporated by reference to Exhibit 10.1 to the Company’s Current Report on Form 8-K filed with the Securities and Exchange Commission on April 19, 2022). </w:t>
            </w:r>
          </w:p>
        </w:tc>
      </w:tr>
      <w:tr>
        <w:trPr/>
        <w:tc>
          <w:tcPr>
            <w:tcW w:w="1169" w:type="dxa"/>
            <w:tcBorders/>
            <w:vAlign w:val="center"/>
          </w:tcPr>
          <w:p>
            <w:pPr>
              <w:pStyle w:val="TableContents"/>
              <w:bidi w:val="0"/>
              <w:spacing w:before="0" w:after="283"/>
              <w:jc w:val="both"/>
              <w:rPr/>
            </w:pPr>
            <w:hyperlink r:id="rId31">
              <w:r>
                <w:rPr>
                  <w:rStyle w:val="InternetLink"/>
                  <w:color w:val="0000EE"/>
                  <w:u w:val="single"/>
                </w:rPr>
                <w:t>10.9+</w:t>
              </w:r>
            </w:hyperlink>
            <w:r>
              <w:rPr/>
              <w:t xml:space="preserve"> </w:t>
            </w:r>
          </w:p>
        </w:tc>
        <w:tc>
          <w:tcPr>
            <w:tcW w:w="9036" w:type="dxa"/>
            <w:tcBorders/>
            <w:vAlign w:val="center"/>
          </w:tcPr>
          <w:p>
            <w:pPr>
              <w:pStyle w:val="TableContents"/>
              <w:bidi w:val="0"/>
              <w:spacing w:before="0" w:after="283"/>
              <w:jc w:val="both"/>
              <w:rPr/>
            </w:pPr>
            <w:r>
              <w:rPr/>
              <w:t xml:space="preserve">Employment Agreement between Wrap Technologies, Inc. and Kevin Mullins, dated April 13, 2022. (incorporated by reference to Exhibit 10.2 to the Company’s Current Report on Form 8-K filed with the Securities and Exchange Commission on April 19, 2022). </w:t>
            </w:r>
          </w:p>
        </w:tc>
      </w:tr>
      <w:tr>
        <w:trPr/>
        <w:tc>
          <w:tcPr>
            <w:tcW w:w="1169" w:type="dxa"/>
            <w:tcBorders/>
            <w:vAlign w:val="center"/>
          </w:tcPr>
          <w:p>
            <w:pPr>
              <w:pStyle w:val="TableContents"/>
              <w:bidi w:val="0"/>
              <w:spacing w:before="0" w:after="283"/>
              <w:jc w:val="both"/>
              <w:rPr/>
            </w:pPr>
            <w:hyperlink r:id="rId32">
              <w:r>
                <w:rPr>
                  <w:rStyle w:val="InternetLink"/>
                  <w:color w:val="0000EE"/>
                  <w:u w:val="single"/>
                </w:rPr>
                <w:t>10.9.1+</w:t>
              </w:r>
            </w:hyperlink>
            <w:r>
              <w:rPr/>
              <w:t xml:space="preserve"> </w:t>
            </w:r>
          </w:p>
        </w:tc>
        <w:tc>
          <w:tcPr>
            <w:tcW w:w="9036" w:type="dxa"/>
            <w:tcBorders/>
            <w:vAlign w:val="center"/>
          </w:tcPr>
          <w:p>
            <w:pPr>
              <w:pStyle w:val="TableContents"/>
              <w:bidi w:val="0"/>
              <w:spacing w:before="0" w:after="283"/>
              <w:jc w:val="both"/>
              <w:rPr/>
            </w:pPr>
            <w:r>
              <w:rPr/>
              <w:t xml:space="preserve">First Amendment to Employment Agreement, by and between Kevin Mullins and Wrap Technologies, Inc. dated January 14, 2024 (incorporated by reference to Exhibit 10.2 to the Company’s Current Report on Form 8-K filed with the Securities and Exchange Commission on January 19, 2024). </w:t>
            </w:r>
          </w:p>
        </w:tc>
      </w:tr>
      <w:tr>
        <w:trPr/>
        <w:tc>
          <w:tcPr>
            <w:tcW w:w="1169" w:type="dxa"/>
            <w:tcBorders/>
            <w:vAlign w:val="center"/>
          </w:tcPr>
          <w:p>
            <w:pPr>
              <w:pStyle w:val="TableContents"/>
              <w:bidi w:val="0"/>
              <w:spacing w:before="0" w:after="283"/>
              <w:jc w:val="both"/>
              <w:rPr/>
            </w:pPr>
            <w:hyperlink r:id="rId33">
              <w:r>
                <w:rPr>
                  <w:rStyle w:val="InternetLink"/>
                </w:rPr>
                <w:t>10.10</w:t>
              </w:r>
            </w:hyperlink>
            <w:r>
              <w:rPr/>
              <w:t xml:space="preserve"> </w:t>
            </w:r>
          </w:p>
        </w:tc>
        <w:tc>
          <w:tcPr>
            <w:tcW w:w="9036" w:type="dxa"/>
            <w:tcBorders/>
            <w:vAlign w:val="center"/>
          </w:tcPr>
          <w:p>
            <w:pPr>
              <w:pStyle w:val="TableContents"/>
              <w:bidi w:val="0"/>
              <w:spacing w:before="0" w:after="283"/>
              <w:jc w:val="both"/>
              <w:rPr/>
            </w:pPr>
            <w:r>
              <w:rPr/>
              <w:t xml:space="preserve">Professional Services and Technology Acquisition Agreement, dated November 22, 2022, by and between Wrap Technologies, Inc., Lumeto, Inc. and Spatial Industries Group, Inc (incorporated by reference to Exhibit 10.1 to the Company’s Current Report on Form 8-K filed with the Securities and Exchange Commission on November 29, 2022). </w:t>
            </w:r>
          </w:p>
        </w:tc>
      </w:tr>
      <w:tr>
        <w:trPr/>
        <w:tc>
          <w:tcPr>
            <w:tcW w:w="1169" w:type="dxa"/>
            <w:tcBorders/>
            <w:vAlign w:val="center"/>
          </w:tcPr>
          <w:p>
            <w:pPr>
              <w:pStyle w:val="TableContents"/>
              <w:bidi w:val="0"/>
              <w:spacing w:before="0" w:after="283"/>
              <w:jc w:val="both"/>
              <w:rPr/>
            </w:pPr>
            <w:hyperlink r:id="rId34">
              <w:r>
                <w:rPr>
                  <w:rStyle w:val="InternetLink"/>
                </w:rPr>
                <w:t>10.11</w:t>
              </w:r>
            </w:hyperlink>
            <w:r>
              <w:rPr/>
              <w:t xml:space="preserve"> </w:t>
            </w:r>
          </w:p>
        </w:tc>
        <w:tc>
          <w:tcPr>
            <w:tcW w:w="9036" w:type="dxa"/>
            <w:tcBorders/>
            <w:vAlign w:val="center"/>
          </w:tcPr>
          <w:p>
            <w:pPr>
              <w:pStyle w:val="TableContents"/>
              <w:bidi w:val="0"/>
              <w:spacing w:before="0" w:after="283"/>
              <w:jc w:val="both"/>
              <w:rPr/>
            </w:pPr>
            <w:r>
              <w:rPr/>
              <w:t xml:space="preserve">Separation Agreement between the Company and Mr. Kennedy (incorporated by reference to Exhibit 10.1 to the Company’s Current Report on Form 8-K filed with the Securities and Exchange Commission on April 19, 2023). </w:t>
            </w:r>
          </w:p>
        </w:tc>
      </w:tr>
    </w:tbl>
    <w:p>
      <w:pPr>
        <w:pStyle w:val="TextBody"/>
        <w:bidi w:val="0"/>
        <w:spacing w:before="0" w:after="283"/>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76</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tbl>
      <w:tblPr>
        <w:tblW w:w="10205" w:type="dxa"/>
        <w:jc w:val="left"/>
        <w:tblInd w:w="0" w:type="dxa"/>
        <w:tblLayout w:type="fixed"/>
        <w:tblCellMar>
          <w:top w:w="0" w:type="dxa"/>
          <w:left w:w="0" w:type="dxa"/>
          <w:bottom w:w="0" w:type="dxa"/>
          <w:right w:w="0" w:type="dxa"/>
        </w:tblCellMar>
      </w:tblPr>
      <w:tblGrid>
        <w:gridCol w:w="906"/>
        <w:gridCol w:w="9299"/>
      </w:tblGrid>
      <w:tr>
        <w:trPr/>
        <w:tc>
          <w:tcPr>
            <w:tcW w:w="906" w:type="dxa"/>
            <w:tcBorders/>
            <w:vAlign w:val="center"/>
          </w:tcPr>
          <w:p>
            <w:pPr>
              <w:pStyle w:val="TableContents"/>
              <w:bidi w:val="0"/>
              <w:spacing w:before="0" w:after="283"/>
              <w:jc w:val="both"/>
              <w:rPr/>
            </w:pPr>
            <w:hyperlink r:id="rId35">
              <w:r>
                <w:rPr>
                  <w:rStyle w:val="InternetLink"/>
                </w:rPr>
                <w:t>10.12</w:t>
              </w:r>
            </w:hyperlink>
            <w:r>
              <w:rPr/>
              <w:t xml:space="preserve"> </w:t>
            </w:r>
          </w:p>
        </w:tc>
        <w:tc>
          <w:tcPr>
            <w:tcW w:w="9299" w:type="dxa"/>
            <w:tcBorders/>
            <w:vAlign w:val="center"/>
          </w:tcPr>
          <w:p>
            <w:pPr>
              <w:pStyle w:val="TableContents"/>
              <w:bidi w:val="0"/>
              <w:spacing w:before="0" w:after="283"/>
              <w:jc w:val="both"/>
              <w:rPr/>
            </w:pPr>
            <w:r>
              <w:rPr/>
              <w:t xml:space="preserve">Severance Agreement and Release of Claims, dated May 8, 2023, by and between Wrap Technologies, Inc. and Glenn Hickman (incorporated by reference to Exhibit 10.1 to the Company’s Quarterly Report on Form 10-Q filed with the Securities and Exchange Commission on May 10, 2023). </w:t>
            </w:r>
          </w:p>
        </w:tc>
      </w:tr>
      <w:tr>
        <w:trPr/>
        <w:tc>
          <w:tcPr>
            <w:tcW w:w="906" w:type="dxa"/>
            <w:tcBorders/>
            <w:vAlign w:val="center"/>
          </w:tcPr>
          <w:p>
            <w:pPr>
              <w:pStyle w:val="TableContents"/>
              <w:bidi w:val="0"/>
              <w:spacing w:before="0" w:after="283"/>
              <w:jc w:val="both"/>
              <w:rPr/>
            </w:pPr>
            <w:hyperlink r:id="rId36">
              <w:r>
                <w:rPr>
                  <w:rStyle w:val="InternetLink"/>
                </w:rPr>
                <w:t>10.13</w:t>
              </w:r>
            </w:hyperlink>
            <w:r>
              <w:rPr/>
              <w:t xml:space="preserve"> </w:t>
            </w:r>
          </w:p>
        </w:tc>
        <w:tc>
          <w:tcPr>
            <w:tcW w:w="9299" w:type="dxa"/>
            <w:tcBorders/>
            <w:vAlign w:val="center"/>
          </w:tcPr>
          <w:p>
            <w:pPr>
              <w:pStyle w:val="TableContents"/>
              <w:bidi w:val="0"/>
              <w:spacing w:before="0" w:after="283"/>
              <w:jc w:val="both"/>
              <w:rPr/>
            </w:pPr>
            <w:r>
              <w:rPr/>
              <w:t xml:space="preserve">Form of Securities Purchase Agreement (incorporated by reference to Exhibit 10.1 to the Company’s Current Report on Form 8-K filed with the Securities and Exchange Commission on June 30, 2023). </w:t>
            </w:r>
          </w:p>
        </w:tc>
      </w:tr>
      <w:tr>
        <w:trPr/>
        <w:tc>
          <w:tcPr>
            <w:tcW w:w="906" w:type="dxa"/>
            <w:tcBorders/>
            <w:vAlign w:val="center"/>
          </w:tcPr>
          <w:p>
            <w:pPr>
              <w:pStyle w:val="TableContents"/>
              <w:bidi w:val="0"/>
              <w:spacing w:before="0" w:after="283"/>
              <w:jc w:val="both"/>
              <w:rPr/>
            </w:pPr>
            <w:hyperlink r:id="rId37">
              <w:r>
                <w:rPr>
                  <w:rStyle w:val="InternetLink"/>
                </w:rPr>
                <w:t>10.14</w:t>
              </w:r>
            </w:hyperlink>
            <w:r>
              <w:rPr/>
              <w:t xml:space="preserve"> </w:t>
            </w:r>
          </w:p>
        </w:tc>
        <w:tc>
          <w:tcPr>
            <w:tcW w:w="9299" w:type="dxa"/>
            <w:tcBorders/>
            <w:vAlign w:val="center"/>
          </w:tcPr>
          <w:p>
            <w:pPr>
              <w:pStyle w:val="TableContents"/>
              <w:bidi w:val="0"/>
              <w:spacing w:before="0" w:after="283"/>
              <w:jc w:val="both"/>
              <w:rPr/>
            </w:pPr>
            <w:r>
              <w:rPr/>
              <w:t xml:space="preserve">Engagement Letter, dated June 29, 2023 by and between Wrap Technologies, Inc. and Katalyst Securities LLC (incorporated by reference to Exhibit 10.2 to the Company’s Current Report on Form 8-K filed with the Securities and Exchange Commission on June 30, 2023). </w:t>
            </w:r>
          </w:p>
        </w:tc>
      </w:tr>
      <w:tr>
        <w:trPr/>
        <w:tc>
          <w:tcPr>
            <w:tcW w:w="906" w:type="dxa"/>
            <w:tcBorders/>
            <w:vAlign w:val="center"/>
          </w:tcPr>
          <w:p>
            <w:pPr>
              <w:pStyle w:val="TableContents"/>
              <w:bidi w:val="0"/>
              <w:spacing w:before="0" w:after="283"/>
              <w:jc w:val="both"/>
              <w:rPr/>
            </w:pPr>
            <w:hyperlink r:id="rId38">
              <w:r>
                <w:rPr>
                  <w:rStyle w:val="InternetLink"/>
                </w:rPr>
                <w:t>10.15**</w:t>
              </w:r>
            </w:hyperlink>
            <w:r>
              <w:rPr/>
              <w:t xml:space="preserve"> </w:t>
            </w:r>
          </w:p>
        </w:tc>
        <w:tc>
          <w:tcPr>
            <w:tcW w:w="9299" w:type="dxa"/>
            <w:tcBorders/>
            <w:vAlign w:val="center"/>
          </w:tcPr>
          <w:p>
            <w:pPr>
              <w:pStyle w:val="TableContents"/>
              <w:bidi w:val="0"/>
              <w:spacing w:before="0" w:after="283"/>
              <w:jc w:val="both"/>
              <w:rPr/>
            </w:pPr>
            <w:r>
              <w:rPr/>
              <w:t xml:space="preserve">Membership Interest Purchase Agreement, dated August 9, 2023, by and among Wrap Technologies, Inc., Buford Ortale, and the sellers signatory thereto (incorporated by reference to Exhibit 10.1 to the Company’s Current Report on Form 8-K filed with the Securities and Exchange Commission on August 21, 2023). </w:t>
            </w:r>
          </w:p>
        </w:tc>
      </w:tr>
      <w:tr>
        <w:trPr/>
        <w:tc>
          <w:tcPr>
            <w:tcW w:w="906" w:type="dxa"/>
            <w:tcBorders/>
            <w:vAlign w:val="center"/>
          </w:tcPr>
          <w:p>
            <w:pPr>
              <w:pStyle w:val="TableContents"/>
              <w:bidi w:val="0"/>
              <w:spacing w:before="0" w:after="283"/>
              <w:jc w:val="both"/>
              <w:rPr/>
            </w:pPr>
            <w:hyperlink r:id="rId39">
              <w:r>
                <w:rPr>
                  <w:rStyle w:val="InternetLink"/>
                </w:rPr>
                <w:t>10.16+</w:t>
              </w:r>
            </w:hyperlink>
            <w:r>
              <w:rPr/>
              <w:t xml:space="preserve"> </w:t>
            </w:r>
          </w:p>
        </w:tc>
        <w:tc>
          <w:tcPr>
            <w:tcW w:w="9299" w:type="dxa"/>
            <w:tcBorders/>
            <w:vAlign w:val="center"/>
          </w:tcPr>
          <w:p>
            <w:pPr>
              <w:pStyle w:val="TableContents"/>
              <w:bidi w:val="0"/>
              <w:spacing w:before="0" w:after="283"/>
              <w:jc w:val="both"/>
              <w:rPr/>
            </w:pPr>
            <w:r>
              <w:rPr/>
              <w:t xml:space="preserve">Employment Agreement by and between Scot Cohen and Wrap Technologies, Inc. dated October 12, 2023 (incorporated by reference to Exhibit 10.1 to the Company’s Current Report on Form 8-K filed with the Securities and Exchange Commission on October 16, 2023). </w:t>
            </w:r>
          </w:p>
        </w:tc>
      </w:tr>
      <w:tr>
        <w:trPr/>
        <w:tc>
          <w:tcPr>
            <w:tcW w:w="906" w:type="dxa"/>
            <w:tcBorders/>
            <w:vAlign w:val="center"/>
          </w:tcPr>
          <w:p>
            <w:pPr>
              <w:pStyle w:val="TableContents"/>
              <w:bidi w:val="0"/>
              <w:spacing w:before="0" w:after="283"/>
              <w:jc w:val="both"/>
              <w:rPr/>
            </w:pPr>
            <w:hyperlink r:id="rId40">
              <w:r>
                <w:rPr>
                  <w:rStyle w:val="InternetLink"/>
                </w:rPr>
                <w:t>10.16.1+</w:t>
              </w:r>
            </w:hyperlink>
            <w:r>
              <w:rPr/>
              <w:t xml:space="preserve"> </w:t>
            </w:r>
          </w:p>
        </w:tc>
        <w:tc>
          <w:tcPr>
            <w:tcW w:w="9299" w:type="dxa"/>
            <w:tcBorders/>
            <w:vAlign w:val="center"/>
          </w:tcPr>
          <w:p>
            <w:pPr>
              <w:pStyle w:val="TableContents"/>
              <w:bidi w:val="0"/>
              <w:spacing w:before="0" w:after="283"/>
              <w:jc w:val="both"/>
              <w:rPr/>
            </w:pPr>
            <w:r>
              <w:rPr/>
              <w:t xml:space="preserve">First Amendment to Employment Agreement, by and between Scot Cohen and Wrap Technologies, Inc. dated January 14, 2024 (incorporated by reference to Exhibit 10.1 to the Company’s Current Report on Form 8-K filed with the Securities and Exchange Commission on January 19, 2024). </w:t>
            </w:r>
          </w:p>
        </w:tc>
      </w:tr>
      <w:tr>
        <w:trPr/>
        <w:tc>
          <w:tcPr>
            <w:tcW w:w="906" w:type="dxa"/>
            <w:tcBorders/>
            <w:vAlign w:val="center"/>
          </w:tcPr>
          <w:p>
            <w:pPr>
              <w:pStyle w:val="TableContents"/>
              <w:bidi w:val="0"/>
              <w:spacing w:before="0" w:after="283"/>
              <w:jc w:val="both"/>
              <w:rPr/>
            </w:pPr>
            <w:hyperlink r:id="rId41">
              <w:r>
                <w:rPr>
                  <w:rStyle w:val="InternetLink"/>
                </w:rPr>
                <w:t>10.17+</w:t>
              </w:r>
            </w:hyperlink>
            <w:r>
              <w:rPr/>
              <w:t xml:space="preserve"> </w:t>
            </w:r>
          </w:p>
        </w:tc>
        <w:tc>
          <w:tcPr>
            <w:tcW w:w="9299" w:type="dxa"/>
            <w:tcBorders/>
            <w:vAlign w:val="center"/>
          </w:tcPr>
          <w:p>
            <w:pPr>
              <w:pStyle w:val="TableContents"/>
              <w:bidi w:val="0"/>
              <w:spacing w:before="0" w:after="283"/>
              <w:jc w:val="both"/>
              <w:rPr/>
            </w:pPr>
            <w:r>
              <w:rPr/>
              <w:t xml:space="preserve">Employment Agreement, by and between the Company and Jared Novick, effective as of December 26, 2023 (incorporated by reference to Exhibit 10.1 to the Company’s Current Report on Form 8-K filed with the Securities and Exchange Commission on December 26, 2023). </w:t>
            </w:r>
          </w:p>
        </w:tc>
      </w:tr>
      <w:tr>
        <w:trPr/>
        <w:tc>
          <w:tcPr>
            <w:tcW w:w="906" w:type="dxa"/>
            <w:tcBorders/>
            <w:vAlign w:val="center"/>
          </w:tcPr>
          <w:p>
            <w:pPr>
              <w:pStyle w:val="TableContents"/>
              <w:bidi w:val="0"/>
              <w:spacing w:before="0" w:after="283"/>
              <w:jc w:val="both"/>
              <w:rPr/>
            </w:pPr>
            <w:hyperlink r:id="rId42">
              <w:r>
                <w:rPr>
                  <w:rStyle w:val="InternetLink"/>
                </w:rPr>
                <w:t>10.18</w:t>
              </w:r>
            </w:hyperlink>
            <w:r>
              <w:rPr/>
              <w:t xml:space="preserve"> </w:t>
            </w:r>
          </w:p>
        </w:tc>
        <w:tc>
          <w:tcPr>
            <w:tcW w:w="9299" w:type="dxa"/>
            <w:tcBorders/>
            <w:vAlign w:val="center"/>
          </w:tcPr>
          <w:p>
            <w:pPr>
              <w:pStyle w:val="TableContents"/>
              <w:bidi w:val="0"/>
              <w:spacing w:before="0" w:after="283"/>
              <w:jc w:val="both"/>
              <w:rPr/>
            </w:pPr>
            <w:r>
              <w:rPr/>
              <w:t xml:space="preserve">Separation Agreement and Mutual Release of Claims, dated January 5, 2024, by and between Wrap Technologies, Inc. and Chris DeAlmeida (incorporated by reference to Exhibit 10.1 to the Company’s Current Report on Form 8-K filed with the Securities and Exchange Commission on January 5, 2024). </w:t>
            </w:r>
          </w:p>
        </w:tc>
      </w:tr>
      <w:tr>
        <w:trPr/>
        <w:tc>
          <w:tcPr>
            <w:tcW w:w="906" w:type="dxa"/>
            <w:tcBorders/>
            <w:vAlign w:val="center"/>
          </w:tcPr>
          <w:p>
            <w:pPr>
              <w:pStyle w:val="TableContents"/>
              <w:bidi w:val="0"/>
              <w:spacing w:before="0" w:after="283"/>
              <w:jc w:val="both"/>
              <w:rPr/>
            </w:pPr>
            <w:hyperlink r:id="rId43">
              <w:r>
                <w:rPr>
                  <w:rStyle w:val="InternetLink"/>
                </w:rPr>
                <w:t>10.19</w:t>
              </w:r>
            </w:hyperlink>
            <w:r>
              <w:rPr/>
              <w:t xml:space="preserve"> </w:t>
            </w:r>
          </w:p>
        </w:tc>
        <w:tc>
          <w:tcPr>
            <w:tcW w:w="9299" w:type="dxa"/>
            <w:tcBorders/>
            <w:vAlign w:val="center"/>
          </w:tcPr>
          <w:p>
            <w:pPr>
              <w:pStyle w:val="TableContents"/>
              <w:bidi w:val="0"/>
              <w:spacing w:before="0" w:after="283"/>
              <w:jc w:val="both"/>
              <w:rPr/>
            </w:pPr>
            <w:r>
              <w:rPr/>
              <w:t>Form of Amendment, dated August 19, 2024, by and between Wrap Technologies, Inc. and the investors party thereto (incorporated by reference to Exhibit 10.1 to the Company’s Current Report on Form 8-K filed with the Securities and Exchange Commission on August 23, 2024).</w:t>
            </w:r>
          </w:p>
        </w:tc>
      </w:tr>
      <w:tr>
        <w:trPr/>
        <w:tc>
          <w:tcPr>
            <w:tcW w:w="906" w:type="dxa"/>
            <w:tcBorders/>
            <w:shd w:fill="FFFFFF" w:val="clear"/>
            <w:tcMar>
              <w:top w:w="28" w:type="dxa"/>
              <w:left w:w="28" w:type="dxa"/>
              <w:bottom w:w="28" w:type="dxa"/>
              <w:right w:w="28" w:type="dxa"/>
            </w:tcMar>
            <w:vAlign w:val="center"/>
          </w:tcPr>
          <w:p>
            <w:pPr>
              <w:pStyle w:val="TableContents"/>
              <w:bidi w:val="0"/>
              <w:spacing w:before="0" w:after="283"/>
              <w:jc w:val="both"/>
              <w:rPr/>
            </w:pPr>
            <w:hyperlink r:id="rId44">
              <w:r>
                <w:rPr>
                  <w:rStyle w:val="InternetLink"/>
                </w:rPr>
                <w:t>10.20</w:t>
              </w:r>
            </w:hyperlink>
          </w:p>
        </w:tc>
        <w:tc>
          <w:tcPr>
            <w:tcW w:w="9299" w:type="dxa"/>
            <w:tcBorders/>
            <w:tcMar>
              <w:top w:w="28" w:type="dxa"/>
              <w:left w:w="28" w:type="dxa"/>
              <w:bottom w:w="28" w:type="dxa"/>
              <w:right w:w="28" w:type="dxa"/>
            </w:tcMar>
            <w:vAlign w:val="center"/>
          </w:tcPr>
          <w:p>
            <w:pPr>
              <w:pStyle w:val="TableContents"/>
              <w:bidi w:val="0"/>
              <w:spacing w:before="0" w:after="283"/>
              <w:jc w:val="both"/>
              <w:rPr/>
            </w:pPr>
            <w:r>
              <w:rPr/>
              <w:t>Securities Purchase Agreement, dated February 24, 2025, by and among the Company and the investors signatory thereto. (incorporated by reference to Exhibit 10.1 to the Company’s Current Report on Form 8-K, filed with the SEC on February 28, 2025).</w:t>
            </w:r>
          </w:p>
        </w:tc>
      </w:tr>
      <w:tr>
        <w:trPr/>
        <w:tc>
          <w:tcPr>
            <w:tcW w:w="906" w:type="dxa"/>
            <w:tcBorders/>
            <w:shd w:fill="FFFFFF" w:val="clear"/>
            <w:tcMar>
              <w:top w:w="28" w:type="dxa"/>
              <w:left w:w="28" w:type="dxa"/>
              <w:bottom w:w="28" w:type="dxa"/>
              <w:right w:w="28" w:type="dxa"/>
            </w:tcMar>
            <w:vAlign w:val="center"/>
          </w:tcPr>
          <w:p>
            <w:pPr>
              <w:pStyle w:val="TableContents"/>
              <w:bidi w:val="0"/>
              <w:spacing w:before="0" w:after="283"/>
              <w:jc w:val="both"/>
              <w:rPr/>
            </w:pPr>
            <w:hyperlink r:id="rId45">
              <w:r>
                <w:rPr>
                  <w:rStyle w:val="InternetLink"/>
                </w:rPr>
                <w:t>10.21</w:t>
              </w:r>
            </w:hyperlink>
          </w:p>
        </w:tc>
        <w:tc>
          <w:tcPr>
            <w:tcW w:w="9299" w:type="dxa"/>
            <w:tcBorders/>
            <w:tcMar>
              <w:top w:w="28" w:type="dxa"/>
              <w:left w:w="28" w:type="dxa"/>
              <w:bottom w:w="28" w:type="dxa"/>
              <w:right w:w="28" w:type="dxa"/>
            </w:tcMar>
            <w:vAlign w:val="center"/>
          </w:tcPr>
          <w:p>
            <w:pPr>
              <w:pStyle w:val="TableContents"/>
              <w:bidi w:val="0"/>
              <w:spacing w:before="0" w:after="283"/>
              <w:jc w:val="both"/>
              <w:rPr/>
            </w:pPr>
            <w:r>
              <w:rPr/>
              <w:t>Registration Rights Agreement, dated February 24, 2025, by and among the Company and the investors signatory thereto. (incorporated by reference to Exhibit 10.2 to the Company’s Current Report on Form 8-K filed with the Securities and Exchange Commission on February 28, 2025).</w:t>
            </w:r>
          </w:p>
        </w:tc>
      </w:tr>
      <w:tr>
        <w:trPr/>
        <w:tc>
          <w:tcPr>
            <w:tcW w:w="906" w:type="dxa"/>
            <w:tcBorders/>
            <w:shd w:fill="FFFFFF" w:val="clear"/>
            <w:tcMar>
              <w:top w:w="28" w:type="dxa"/>
              <w:left w:w="28" w:type="dxa"/>
              <w:bottom w:w="28" w:type="dxa"/>
              <w:right w:w="28" w:type="dxa"/>
            </w:tcMar>
            <w:vAlign w:val="center"/>
          </w:tcPr>
          <w:p>
            <w:pPr>
              <w:pStyle w:val="TableContents"/>
              <w:bidi w:val="0"/>
              <w:spacing w:before="0" w:after="283"/>
              <w:jc w:val="both"/>
              <w:rPr/>
            </w:pPr>
            <w:hyperlink r:id="rId46">
              <w:r>
                <w:rPr>
                  <w:rStyle w:val="InternetLink"/>
                </w:rPr>
                <w:t>10.22</w:t>
              </w:r>
            </w:hyperlink>
          </w:p>
        </w:tc>
        <w:tc>
          <w:tcPr>
            <w:tcW w:w="9299" w:type="dxa"/>
            <w:tcBorders/>
            <w:tcMar>
              <w:top w:w="28" w:type="dxa"/>
              <w:left w:w="28" w:type="dxa"/>
              <w:bottom w:w="28" w:type="dxa"/>
              <w:right w:w="28" w:type="dxa"/>
            </w:tcMar>
            <w:vAlign w:val="center"/>
          </w:tcPr>
          <w:p>
            <w:pPr>
              <w:pStyle w:val="TableContents"/>
              <w:bidi w:val="0"/>
              <w:spacing w:before="0" w:after="283"/>
              <w:jc w:val="both"/>
              <w:rPr/>
            </w:pPr>
            <w:r>
              <w:rPr/>
              <w:t>Form of Series A Warrant Amendment, dated as of June 30, 2025, by and among Wrap Technologies, Inc. and the investors signatory thereto (incorporated by reference to Exhibit 10.1 to the Company’s Current Report on Form 8-K, filed with the SEC on July 7, 2025)</w:t>
            </w:r>
          </w:p>
        </w:tc>
      </w:tr>
      <w:tr>
        <w:trPr/>
        <w:tc>
          <w:tcPr>
            <w:tcW w:w="906" w:type="dxa"/>
            <w:tcBorders/>
            <w:shd w:fill="FFFFFF" w:val="clear"/>
            <w:tcMar>
              <w:top w:w="28" w:type="dxa"/>
              <w:left w:w="28" w:type="dxa"/>
              <w:bottom w:w="28" w:type="dxa"/>
              <w:right w:w="28" w:type="dxa"/>
            </w:tcMar>
            <w:vAlign w:val="center"/>
          </w:tcPr>
          <w:p>
            <w:pPr>
              <w:pStyle w:val="TableContents"/>
              <w:bidi w:val="0"/>
              <w:spacing w:before="0" w:after="283"/>
              <w:jc w:val="both"/>
              <w:rPr/>
            </w:pPr>
            <w:hyperlink r:id="rId47">
              <w:r>
                <w:rPr>
                  <w:rStyle w:val="InternetLink"/>
                </w:rPr>
                <w:t>10.23</w:t>
              </w:r>
            </w:hyperlink>
          </w:p>
        </w:tc>
        <w:tc>
          <w:tcPr>
            <w:tcW w:w="9299" w:type="dxa"/>
            <w:tcBorders/>
            <w:tcMar>
              <w:top w:w="28" w:type="dxa"/>
              <w:left w:w="28" w:type="dxa"/>
              <w:bottom w:w="28" w:type="dxa"/>
              <w:right w:w="28" w:type="dxa"/>
            </w:tcMar>
            <w:vAlign w:val="center"/>
          </w:tcPr>
          <w:p>
            <w:pPr>
              <w:pStyle w:val="TableContents"/>
              <w:bidi w:val="0"/>
              <w:spacing w:before="0" w:after="283"/>
              <w:jc w:val="both"/>
              <w:rPr/>
            </w:pPr>
            <w:r>
              <w:rPr/>
              <w:t>Form of 2025 Warrant Amendment, dated as of June 30, 2025, by and among Wrap Technologies, Inc. and the investors signatory thereto (incorporated by reference to Exhibit 10.2 to the Company’s Current Report on Form 8-K, filed with the SEC on July 7, 2025).</w:t>
            </w:r>
          </w:p>
        </w:tc>
      </w:tr>
      <w:tr>
        <w:trPr/>
        <w:tc>
          <w:tcPr>
            <w:tcW w:w="906" w:type="dxa"/>
            <w:tcBorders/>
            <w:shd w:fill="FFFFFF" w:val="clear"/>
            <w:tcMar>
              <w:top w:w="28" w:type="dxa"/>
              <w:left w:w="28" w:type="dxa"/>
              <w:bottom w:w="28" w:type="dxa"/>
              <w:right w:w="28" w:type="dxa"/>
            </w:tcMar>
            <w:vAlign w:val="center"/>
          </w:tcPr>
          <w:p>
            <w:pPr>
              <w:pStyle w:val="TableContents"/>
              <w:bidi w:val="0"/>
              <w:spacing w:before="0" w:after="283"/>
              <w:jc w:val="both"/>
              <w:rPr/>
            </w:pPr>
            <w:hyperlink r:id="rId48">
              <w:r>
                <w:rPr>
                  <w:rStyle w:val="InternetLink"/>
                </w:rPr>
                <w:t>10.24</w:t>
              </w:r>
            </w:hyperlink>
          </w:p>
        </w:tc>
        <w:tc>
          <w:tcPr>
            <w:tcW w:w="9299" w:type="dxa"/>
            <w:tcBorders/>
            <w:tcMar>
              <w:top w:w="28" w:type="dxa"/>
              <w:left w:w="28" w:type="dxa"/>
              <w:bottom w:w="28" w:type="dxa"/>
              <w:right w:w="28" w:type="dxa"/>
            </w:tcMar>
            <w:vAlign w:val="center"/>
          </w:tcPr>
          <w:p>
            <w:pPr>
              <w:pStyle w:val="TableContents"/>
              <w:bidi w:val="0"/>
              <w:spacing w:before="0" w:after="283"/>
              <w:jc w:val="both"/>
              <w:rPr/>
            </w:pPr>
            <w:r>
              <w:rPr/>
              <w:t>Securities Purchase Agreement, dated August 18, 2025, by and among the Company and the investors signatory thereto (incorporated by reference to Exhibit 10.1 to the Company's Current Report on Form 8-K, filed with the SEC on August 18, 2025).</w:t>
            </w:r>
          </w:p>
        </w:tc>
      </w:tr>
      <w:tr>
        <w:trPr/>
        <w:tc>
          <w:tcPr>
            <w:tcW w:w="906" w:type="dxa"/>
            <w:tcBorders/>
            <w:shd w:fill="FFFFFF" w:val="clear"/>
            <w:tcMar>
              <w:top w:w="28" w:type="dxa"/>
              <w:left w:w="28" w:type="dxa"/>
              <w:bottom w:w="28" w:type="dxa"/>
              <w:right w:w="28" w:type="dxa"/>
            </w:tcMar>
            <w:vAlign w:val="center"/>
          </w:tcPr>
          <w:p>
            <w:pPr>
              <w:pStyle w:val="TableContents"/>
              <w:bidi w:val="0"/>
              <w:spacing w:before="0" w:after="283"/>
              <w:jc w:val="both"/>
              <w:rPr/>
            </w:pPr>
            <w:hyperlink r:id="rId49">
              <w:r>
                <w:rPr>
                  <w:rStyle w:val="InternetLink"/>
                </w:rPr>
                <w:t>10.25</w:t>
              </w:r>
            </w:hyperlink>
          </w:p>
        </w:tc>
        <w:tc>
          <w:tcPr>
            <w:tcW w:w="9299" w:type="dxa"/>
            <w:tcBorders/>
            <w:tcMar>
              <w:top w:w="28" w:type="dxa"/>
              <w:left w:w="28" w:type="dxa"/>
              <w:bottom w:w="28" w:type="dxa"/>
              <w:right w:w="28" w:type="dxa"/>
            </w:tcMar>
            <w:vAlign w:val="center"/>
          </w:tcPr>
          <w:p>
            <w:pPr>
              <w:pStyle w:val="TableContents"/>
              <w:bidi w:val="0"/>
              <w:spacing w:before="0" w:after="283"/>
              <w:jc w:val="both"/>
              <w:rPr/>
            </w:pPr>
            <w:r>
              <w:rPr/>
              <w:t>Registration Rights Agreement, dated August 18, 2025, by and among the Company and the investors signatory thereto (incorporated by reference to Exhibit 10.2 to the Company's Current Report on Form 8-K, filed with the SEC on August 18, 2025).</w:t>
            </w:r>
          </w:p>
        </w:tc>
      </w:tr>
      <w:tr>
        <w:trPr/>
        <w:tc>
          <w:tcPr>
            <w:tcW w:w="906" w:type="dxa"/>
            <w:tcBorders/>
            <w:shd w:fill="FFFFFF" w:val="clear"/>
            <w:tcMar>
              <w:top w:w="28" w:type="dxa"/>
              <w:left w:w="28" w:type="dxa"/>
              <w:bottom w:w="28" w:type="dxa"/>
              <w:right w:w="28" w:type="dxa"/>
            </w:tcMar>
            <w:vAlign w:val="center"/>
          </w:tcPr>
          <w:p>
            <w:pPr>
              <w:pStyle w:val="TableContents"/>
              <w:bidi w:val="0"/>
              <w:spacing w:before="0" w:after="283"/>
              <w:jc w:val="both"/>
              <w:rPr/>
            </w:pPr>
            <w:hyperlink r:id="rId50">
              <w:r>
                <w:rPr>
                  <w:rStyle w:val="InternetLink"/>
                </w:rPr>
                <w:t>10.26</w:t>
              </w:r>
            </w:hyperlink>
          </w:p>
        </w:tc>
        <w:tc>
          <w:tcPr>
            <w:tcW w:w="9299" w:type="dxa"/>
            <w:tcBorders/>
            <w:tcMar>
              <w:top w:w="28" w:type="dxa"/>
              <w:left w:w="28" w:type="dxa"/>
              <w:bottom w:w="28" w:type="dxa"/>
              <w:right w:w="28" w:type="dxa"/>
            </w:tcMar>
            <w:vAlign w:val="center"/>
          </w:tcPr>
          <w:p>
            <w:pPr>
              <w:pStyle w:val="TableContents"/>
              <w:bidi w:val="0"/>
              <w:spacing w:before="0" w:after="283"/>
              <w:jc w:val="both"/>
              <w:rPr/>
            </w:pPr>
            <w:r>
              <w:rPr/>
              <w:t>General Release and Severance Agreement, dated October 21, 2025 (incorporated by reference to Exhibit 10.1 to the Company's Current Report on Form 8-K, filed with the SEC on October 27, 2025).</w:t>
            </w:r>
          </w:p>
        </w:tc>
      </w:tr>
      <w:tr>
        <w:trPr/>
        <w:tc>
          <w:tcPr>
            <w:tcW w:w="906" w:type="dxa"/>
            <w:tcBorders/>
            <w:shd w:fill="FFFFFF" w:val="clear"/>
            <w:tcMar>
              <w:top w:w="28" w:type="dxa"/>
              <w:left w:w="28" w:type="dxa"/>
              <w:bottom w:w="28" w:type="dxa"/>
              <w:right w:w="28" w:type="dxa"/>
            </w:tcMar>
            <w:vAlign w:val="center"/>
          </w:tcPr>
          <w:p>
            <w:pPr>
              <w:pStyle w:val="TableContents"/>
              <w:bidi w:val="0"/>
              <w:spacing w:before="0" w:after="283"/>
              <w:jc w:val="both"/>
              <w:rPr/>
            </w:pPr>
            <w:hyperlink r:id="rId51">
              <w:r>
                <w:rPr>
                  <w:rStyle w:val="InternetLink"/>
                </w:rPr>
                <w:t>10.27</w:t>
              </w:r>
            </w:hyperlink>
          </w:p>
        </w:tc>
        <w:tc>
          <w:tcPr>
            <w:tcW w:w="9299" w:type="dxa"/>
            <w:tcBorders/>
            <w:tcMar>
              <w:top w:w="28" w:type="dxa"/>
              <w:left w:w="28" w:type="dxa"/>
              <w:bottom w:w="28" w:type="dxa"/>
              <w:right w:w="28" w:type="dxa"/>
            </w:tcMar>
            <w:vAlign w:val="center"/>
          </w:tcPr>
          <w:p>
            <w:pPr>
              <w:pStyle w:val="TableContents"/>
              <w:bidi w:val="0"/>
              <w:spacing w:before="0" w:after="283"/>
              <w:jc w:val="both"/>
              <w:rPr/>
            </w:pPr>
            <w:r>
              <w:rPr/>
              <w:t>Form of Senior Indenture (incorporated by reference to Exhibit 4.12 to the Company's Registration Statement on Form S-3, filed with the SEC on November 21, 2025).</w:t>
            </w:r>
          </w:p>
        </w:tc>
      </w:tr>
      <w:tr>
        <w:trPr/>
        <w:tc>
          <w:tcPr>
            <w:tcW w:w="906" w:type="dxa"/>
            <w:tcBorders/>
            <w:shd w:fill="FFFFFF" w:val="clear"/>
            <w:tcMar>
              <w:top w:w="28" w:type="dxa"/>
              <w:left w:w="28" w:type="dxa"/>
              <w:bottom w:w="28" w:type="dxa"/>
              <w:right w:w="28" w:type="dxa"/>
            </w:tcMar>
            <w:vAlign w:val="center"/>
          </w:tcPr>
          <w:p>
            <w:pPr>
              <w:pStyle w:val="TableContents"/>
              <w:bidi w:val="0"/>
              <w:spacing w:before="0" w:after="283"/>
              <w:jc w:val="both"/>
              <w:rPr/>
            </w:pPr>
            <w:hyperlink r:id="rId52">
              <w:r>
                <w:rPr>
                  <w:rStyle w:val="InternetLink"/>
                </w:rPr>
                <w:t>10.28</w:t>
              </w:r>
            </w:hyperlink>
          </w:p>
        </w:tc>
        <w:tc>
          <w:tcPr>
            <w:tcW w:w="9299" w:type="dxa"/>
            <w:tcBorders/>
            <w:tcMar>
              <w:top w:w="28" w:type="dxa"/>
              <w:left w:w="28" w:type="dxa"/>
              <w:bottom w:w="28" w:type="dxa"/>
              <w:right w:w="28" w:type="dxa"/>
            </w:tcMar>
            <w:vAlign w:val="center"/>
          </w:tcPr>
          <w:p>
            <w:pPr>
              <w:pStyle w:val="TableContents"/>
              <w:bidi w:val="0"/>
              <w:spacing w:before="0" w:after="283"/>
              <w:jc w:val="both"/>
              <w:rPr/>
            </w:pPr>
            <w:r>
              <w:rPr/>
              <w:t xml:space="preserve">Form of Senior Subordinated Indenture (incorporated by reference to Exhibit 4.12 to the Company's Registration Statement on Form S-3, filed with the SEC on November 21, 2025). </w:t>
            </w:r>
          </w:p>
        </w:tc>
      </w:tr>
      <w:tr>
        <w:trPr/>
        <w:tc>
          <w:tcPr>
            <w:tcW w:w="906" w:type="dxa"/>
            <w:tcBorders/>
            <w:shd w:fill="FFFFFF" w:val="clear"/>
            <w:tcMar>
              <w:top w:w="28" w:type="dxa"/>
              <w:left w:w="28" w:type="dxa"/>
              <w:bottom w:w="28" w:type="dxa"/>
              <w:right w:w="28" w:type="dxa"/>
            </w:tcMar>
            <w:vAlign w:val="center"/>
          </w:tcPr>
          <w:p>
            <w:pPr>
              <w:pStyle w:val="TableContents"/>
              <w:bidi w:val="0"/>
              <w:spacing w:before="0" w:after="283"/>
              <w:jc w:val="both"/>
              <w:rPr/>
            </w:pPr>
            <w:hyperlink r:id="rId53">
              <w:r>
                <w:rPr>
                  <w:rStyle w:val="InternetLink"/>
                </w:rPr>
                <w:t>10.29</w:t>
              </w:r>
            </w:hyperlink>
          </w:p>
        </w:tc>
        <w:tc>
          <w:tcPr>
            <w:tcW w:w="9299" w:type="dxa"/>
            <w:tcBorders/>
            <w:tcMar>
              <w:top w:w="28" w:type="dxa"/>
              <w:left w:w="28" w:type="dxa"/>
              <w:bottom w:w="28" w:type="dxa"/>
              <w:right w:w="28" w:type="dxa"/>
            </w:tcMar>
            <w:vAlign w:val="center"/>
          </w:tcPr>
          <w:p>
            <w:pPr>
              <w:pStyle w:val="TableContents"/>
              <w:bidi w:val="0"/>
              <w:spacing w:before="0" w:after="283"/>
              <w:jc w:val="both"/>
              <w:rPr/>
            </w:pPr>
            <w:r>
              <w:rPr/>
              <w:t>Securities Purchase Agreement, dated February 2, 2026, by and among the Company and the investors signatory thereto (incorporated by reference to Exhibit 10.1 to the Company's Current Report on Form 8-K, filed with the SEC on February 4, 2026).</w:t>
            </w:r>
          </w:p>
        </w:tc>
      </w:tr>
      <w:tr>
        <w:trPr/>
        <w:tc>
          <w:tcPr>
            <w:tcW w:w="906" w:type="dxa"/>
            <w:tcBorders/>
            <w:shd w:fill="FFFFFF" w:val="clear"/>
            <w:tcMar>
              <w:top w:w="28" w:type="dxa"/>
              <w:left w:w="28" w:type="dxa"/>
              <w:bottom w:w="28" w:type="dxa"/>
              <w:right w:w="28" w:type="dxa"/>
            </w:tcMar>
            <w:vAlign w:val="center"/>
          </w:tcPr>
          <w:p>
            <w:pPr>
              <w:pStyle w:val="TableContents"/>
              <w:bidi w:val="0"/>
              <w:spacing w:before="0" w:after="283"/>
              <w:jc w:val="both"/>
              <w:rPr/>
            </w:pPr>
            <w:hyperlink r:id="rId54">
              <w:r>
                <w:rPr>
                  <w:rStyle w:val="InternetLink"/>
                </w:rPr>
                <w:t>10.30</w:t>
              </w:r>
            </w:hyperlink>
          </w:p>
        </w:tc>
        <w:tc>
          <w:tcPr>
            <w:tcW w:w="9299" w:type="dxa"/>
            <w:tcBorders/>
            <w:tcMar>
              <w:top w:w="28" w:type="dxa"/>
              <w:left w:w="28" w:type="dxa"/>
              <w:bottom w:w="28" w:type="dxa"/>
              <w:right w:w="28" w:type="dxa"/>
            </w:tcMar>
            <w:vAlign w:val="center"/>
          </w:tcPr>
          <w:p>
            <w:pPr>
              <w:pStyle w:val="TableContents"/>
              <w:bidi w:val="0"/>
              <w:spacing w:before="0" w:after="283"/>
              <w:jc w:val="both"/>
              <w:rPr/>
            </w:pPr>
            <w:r>
              <w:rPr/>
              <w:t xml:space="preserve">Registration Rights Agreement, dated February 2, 2026, by and among the Company and the investors signatory thereto (incorporated by reference to Exhibit 10.1 to the Company's Current Report on Form 8-K, filed with the SEC on February 4, 2026). </w:t>
            </w:r>
          </w:p>
        </w:tc>
      </w:tr>
      <w:tr>
        <w:trPr/>
        <w:tc>
          <w:tcPr>
            <w:tcW w:w="906" w:type="dxa"/>
            <w:tcBorders/>
            <w:vAlign w:val="center"/>
          </w:tcPr>
          <w:p>
            <w:pPr>
              <w:pStyle w:val="TableContents"/>
              <w:bidi w:val="0"/>
              <w:spacing w:before="0" w:after="283"/>
              <w:jc w:val="both"/>
              <w:rPr/>
            </w:pPr>
            <w:hyperlink r:id="rId55">
              <w:r>
                <w:rPr>
                  <w:rStyle w:val="InternetLink"/>
                  <w:color w:val="0000EE"/>
                  <w:u w:val="single"/>
                </w:rPr>
                <w:t>14.1</w:t>
              </w:r>
            </w:hyperlink>
            <w:r>
              <w:rPr/>
              <w:t xml:space="preserve"> </w:t>
            </w:r>
          </w:p>
        </w:tc>
        <w:tc>
          <w:tcPr>
            <w:tcW w:w="9299" w:type="dxa"/>
            <w:tcBorders/>
            <w:vAlign w:val="center"/>
          </w:tcPr>
          <w:p>
            <w:pPr>
              <w:pStyle w:val="TableContents"/>
              <w:bidi w:val="0"/>
              <w:spacing w:before="0" w:after="283"/>
              <w:jc w:val="both"/>
              <w:rPr/>
            </w:pPr>
            <w:r>
              <w:rPr/>
              <w:t xml:space="preserve">Wrap Technologies, Inc. Code of Business Conduct and Ethics (incorporated by reference to Exhibit 14.1 to the Company’s Annual Report on Form 10-K filed with the Securities and Exchange Commission on March 4, 2021). </w:t>
            </w:r>
          </w:p>
        </w:tc>
      </w:tr>
      <w:tr>
        <w:trPr/>
        <w:tc>
          <w:tcPr>
            <w:tcW w:w="906" w:type="dxa"/>
            <w:tcBorders/>
            <w:tcMar>
              <w:top w:w="28" w:type="dxa"/>
              <w:left w:w="28" w:type="dxa"/>
              <w:bottom w:w="28" w:type="dxa"/>
              <w:right w:w="28" w:type="dxa"/>
            </w:tcMar>
            <w:vAlign w:val="center"/>
          </w:tcPr>
          <w:p>
            <w:pPr>
              <w:pStyle w:val="TableContents"/>
              <w:bidi w:val="0"/>
              <w:spacing w:before="0" w:after="283"/>
              <w:jc w:val="both"/>
              <w:rPr/>
            </w:pPr>
            <w:hyperlink r:id="rId56">
              <w:r>
                <w:rPr>
                  <w:rStyle w:val="InternetLink"/>
                </w:rPr>
                <w:t>19.1</w:t>
              </w:r>
            </w:hyperlink>
          </w:p>
        </w:tc>
        <w:tc>
          <w:tcPr>
            <w:tcW w:w="9299" w:type="dxa"/>
            <w:tcBorders/>
            <w:tcMar>
              <w:top w:w="28" w:type="dxa"/>
              <w:left w:w="28" w:type="dxa"/>
              <w:bottom w:w="28" w:type="dxa"/>
              <w:right w:w="28" w:type="dxa"/>
            </w:tcMar>
            <w:vAlign w:val="center"/>
          </w:tcPr>
          <w:p>
            <w:pPr>
              <w:pStyle w:val="TableContents"/>
              <w:bidi w:val="0"/>
              <w:spacing w:before="0" w:after="283"/>
              <w:jc w:val="both"/>
              <w:rPr/>
            </w:pPr>
            <w:r>
              <w:rPr/>
              <w:t>Wrap Technologies, Inc. Insider Trading Policy (incorporated by reference to Exhibit 19.1 to the Company’s Annual Report on Form 10-K/A filed with the Securities and Exchange Commission on March 24, 2025).</w:t>
            </w:r>
          </w:p>
        </w:tc>
      </w:tr>
      <w:tr>
        <w:trPr/>
        <w:tc>
          <w:tcPr>
            <w:tcW w:w="906" w:type="dxa"/>
            <w:tcBorders/>
            <w:vAlign w:val="center"/>
          </w:tcPr>
          <w:p>
            <w:pPr>
              <w:pStyle w:val="TableContents"/>
              <w:bidi w:val="0"/>
              <w:spacing w:before="0" w:after="283"/>
              <w:jc w:val="both"/>
              <w:rPr/>
            </w:pPr>
            <w:hyperlink w:anchor="ex21-1.htm">
              <w:r>
                <w:rPr>
                  <w:rStyle w:val="InternetLink"/>
                </w:rPr>
                <w:t>21.1*</w:t>
              </w:r>
            </w:hyperlink>
            <w:r>
              <w:rPr/>
              <w:t xml:space="preserve"> </w:t>
            </w:r>
          </w:p>
        </w:tc>
        <w:tc>
          <w:tcPr>
            <w:tcW w:w="9299" w:type="dxa"/>
            <w:tcBorders/>
            <w:vAlign w:val="center"/>
          </w:tcPr>
          <w:p>
            <w:pPr>
              <w:pStyle w:val="TableContents"/>
              <w:bidi w:val="0"/>
              <w:spacing w:before="0" w:after="283"/>
              <w:jc w:val="both"/>
              <w:rPr/>
            </w:pPr>
            <w:r>
              <w:rPr/>
              <w:t xml:space="preserve">Subsidiaries of Wrap Technologies, Inc. </w:t>
            </w:r>
          </w:p>
        </w:tc>
      </w:tr>
      <w:tr>
        <w:trPr/>
        <w:tc>
          <w:tcPr>
            <w:tcW w:w="906" w:type="dxa"/>
            <w:tcBorders/>
            <w:vAlign w:val="center"/>
          </w:tcPr>
          <w:p>
            <w:pPr>
              <w:pStyle w:val="TableContents"/>
              <w:bidi w:val="0"/>
              <w:spacing w:before="0" w:after="283"/>
              <w:jc w:val="both"/>
              <w:rPr/>
            </w:pPr>
            <w:hyperlink w:anchor="ex23-1.htm">
              <w:r>
                <w:rPr>
                  <w:rStyle w:val="InternetLink"/>
                  <w:color w:val="0000EE"/>
                  <w:u w:val="single"/>
                </w:rPr>
                <w:t>23.1*</w:t>
              </w:r>
            </w:hyperlink>
            <w:r>
              <w:rPr/>
              <w:t xml:space="preserve"> </w:t>
            </w:r>
          </w:p>
        </w:tc>
        <w:tc>
          <w:tcPr>
            <w:tcW w:w="9299" w:type="dxa"/>
            <w:tcBorders/>
            <w:vAlign w:val="center"/>
          </w:tcPr>
          <w:p>
            <w:pPr>
              <w:pStyle w:val="TableContents"/>
              <w:bidi w:val="0"/>
              <w:spacing w:before="0" w:after="283"/>
              <w:jc w:val="both"/>
              <w:rPr/>
            </w:pPr>
            <w:r>
              <w:rPr/>
              <w:t xml:space="preserve">Consent of Independent Registered Public Accounting Firm - HTL International, LLC. </w:t>
            </w:r>
          </w:p>
        </w:tc>
      </w:tr>
      <w:tr>
        <w:trPr/>
        <w:tc>
          <w:tcPr>
            <w:tcW w:w="906" w:type="dxa"/>
            <w:tcBorders/>
            <w:vAlign w:val="center"/>
          </w:tcPr>
          <w:p>
            <w:pPr>
              <w:pStyle w:val="TableContents"/>
              <w:bidi w:val="0"/>
              <w:spacing w:before="0" w:after="283"/>
              <w:jc w:val="both"/>
              <w:rPr/>
            </w:pPr>
            <w:hyperlink w:anchor="ex31-1.htm">
              <w:r>
                <w:rPr>
                  <w:rStyle w:val="InternetLink"/>
                  <w:color w:val="0000EE"/>
                  <w:u w:val="single"/>
                </w:rPr>
                <w:t>31.1*</w:t>
              </w:r>
            </w:hyperlink>
            <w:r>
              <w:rPr/>
              <w:t xml:space="preserve"> </w:t>
            </w:r>
          </w:p>
        </w:tc>
        <w:tc>
          <w:tcPr>
            <w:tcW w:w="9299" w:type="dxa"/>
            <w:tcBorders/>
            <w:vAlign w:val="center"/>
          </w:tcPr>
          <w:p>
            <w:pPr>
              <w:pStyle w:val="TableContents"/>
              <w:bidi w:val="0"/>
              <w:spacing w:before="0" w:after="283"/>
              <w:jc w:val="both"/>
              <w:rPr/>
            </w:pPr>
            <w:r>
              <w:rPr/>
              <w:t>Certification pursuant to Rule 13a-14(a) under the Securities Exchange Act of 1934 - Principal Executive Officer</w:t>
            </w:r>
          </w:p>
        </w:tc>
      </w:tr>
      <w:tr>
        <w:trPr/>
        <w:tc>
          <w:tcPr>
            <w:tcW w:w="906" w:type="dxa"/>
            <w:tcBorders/>
            <w:tcMar>
              <w:top w:w="28" w:type="dxa"/>
              <w:left w:w="28" w:type="dxa"/>
              <w:bottom w:w="28" w:type="dxa"/>
              <w:right w:w="28" w:type="dxa"/>
            </w:tcMar>
            <w:vAlign w:val="center"/>
          </w:tcPr>
          <w:p>
            <w:pPr>
              <w:pStyle w:val="TableContents"/>
              <w:bidi w:val="0"/>
              <w:spacing w:before="0" w:after="283"/>
              <w:jc w:val="both"/>
              <w:rPr/>
            </w:pPr>
            <w:hyperlink w:anchor="ex31-2.htm">
              <w:r>
                <w:rPr>
                  <w:rStyle w:val="InternetLink"/>
                </w:rPr>
                <w:t>31.2*</w:t>
              </w:r>
            </w:hyperlink>
          </w:p>
        </w:tc>
        <w:tc>
          <w:tcPr>
            <w:tcW w:w="9299" w:type="dxa"/>
            <w:tcBorders/>
            <w:tcMar>
              <w:top w:w="28" w:type="dxa"/>
              <w:left w:w="28" w:type="dxa"/>
              <w:bottom w:w="28" w:type="dxa"/>
              <w:right w:w="28" w:type="dxa"/>
            </w:tcMar>
            <w:vAlign w:val="center"/>
          </w:tcPr>
          <w:p>
            <w:pPr>
              <w:pStyle w:val="TableContents"/>
              <w:bidi w:val="0"/>
              <w:spacing w:before="0" w:after="283"/>
              <w:jc w:val="both"/>
              <w:rPr>
                <w:spacing w:val="0"/>
              </w:rPr>
            </w:pPr>
            <w:r>
              <w:rPr>
                <w:spacing w:val="0"/>
              </w:rPr>
              <w:t>Certification pursuant to Rule 13a-14(a) under the Securities Exchange Act of 1934 - Principal Financial Officer</w:t>
            </w:r>
          </w:p>
        </w:tc>
      </w:tr>
      <w:tr>
        <w:trPr/>
        <w:tc>
          <w:tcPr>
            <w:tcW w:w="906" w:type="dxa"/>
            <w:tcBorders/>
            <w:vAlign w:val="center"/>
          </w:tcPr>
          <w:p>
            <w:pPr>
              <w:pStyle w:val="TableContents"/>
              <w:bidi w:val="0"/>
              <w:spacing w:before="0" w:after="283"/>
              <w:jc w:val="both"/>
              <w:rPr/>
            </w:pPr>
            <w:hyperlink w:anchor="ex32-1.htm">
              <w:r>
                <w:rPr>
                  <w:rStyle w:val="InternetLink"/>
                  <w:color w:val="0000EE"/>
                  <w:u w:val="single"/>
                </w:rPr>
                <w:t>32.1***</w:t>
              </w:r>
            </w:hyperlink>
            <w:r>
              <w:rPr/>
              <w:t xml:space="preserve"> </w:t>
            </w:r>
          </w:p>
        </w:tc>
        <w:tc>
          <w:tcPr>
            <w:tcW w:w="9299" w:type="dxa"/>
            <w:tcBorders/>
            <w:vAlign w:val="center"/>
          </w:tcPr>
          <w:p>
            <w:pPr>
              <w:pStyle w:val="TableContents"/>
              <w:bidi w:val="0"/>
              <w:spacing w:before="0" w:after="283"/>
              <w:jc w:val="both"/>
              <w:rPr/>
            </w:pPr>
            <w:r>
              <w:rPr/>
              <w:t xml:space="preserve">Section 1350 Certification - Principal Executive Officer </w:t>
            </w:r>
          </w:p>
        </w:tc>
      </w:tr>
      <w:tr>
        <w:trPr/>
        <w:tc>
          <w:tcPr>
            <w:tcW w:w="906" w:type="dxa"/>
            <w:tcBorders/>
            <w:tcMar>
              <w:top w:w="28" w:type="dxa"/>
              <w:left w:w="28" w:type="dxa"/>
              <w:bottom w:w="28" w:type="dxa"/>
              <w:right w:w="28" w:type="dxa"/>
            </w:tcMar>
            <w:vAlign w:val="center"/>
          </w:tcPr>
          <w:p>
            <w:pPr>
              <w:pStyle w:val="TableContents"/>
              <w:bidi w:val="0"/>
              <w:spacing w:before="0" w:after="283"/>
              <w:jc w:val="both"/>
              <w:rPr/>
            </w:pPr>
            <w:hyperlink w:anchor="ex32-2.htm">
              <w:r>
                <w:rPr>
                  <w:rStyle w:val="InternetLink"/>
                </w:rPr>
                <w:t>32.2***</w:t>
              </w:r>
            </w:hyperlink>
          </w:p>
        </w:tc>
        <w:tc>
          <w:tcPr>
            <w:tcW w:w="9299" w:type="dxa"/>
            <w:tcBorders/>
            <w:tcMar>
              <w:top w:w="28" w:type="dxa"/>
              <w:left w:w="28" w:type="dxa"/>
              <w:bottom w:w="28" w:type="dxa"/>
              <w:right w:w="28" w:type="dxa"/>
            </w:tcMar>
            <w:vAlign w:val="center"/>
          </w:tcPr>
          <w:p>
            <w:pPr>
              <w:pStyle w:val="TableContents"/>
              <w:bidi w:val="0"/>
              <w:spacing w:before="0" w:after="283"/>
              <w:jc w:val="both"/>
              <w:rPr>
                <w:spacing w:val="0"/>
              </w:rPr>
            </w:pPr>
            <w:r>
              <w:rPr>
                <w:spacing w:val="0"/>
              </w:rPr>
              <w:t>Section 1350 Certification - Principal Financial Officer</w:t>
            </w:r>
          </w:p>
        </w:tc>
      </w:tr>
      <w:tr>
        <w:trPr/>
        <w:tc>
          <w:tcPr>
            <w:tcW w:w="906" w:type="dxa"/>
            <w:tcBorders/>
            <w:vAlign w:val="center"/>
          </w:tcPr>
          <w:p>
            <w:pPr>
              <w:pStyle w:val="TableContents"/>
              <w:bidi w:val="0"/>
              <w:spacing w:before="0" w:after="283"/>
              <w:jc w:val="both"/>
              <w:rPr/>
            </w:pPr>
            <w:hyperlink r:id="rId57">
              <w:r>
                <w:rPr>
                  <w:rStyle w:val="InternetLink"/>
                  <w:color w:val="0000EE"/>
                  <w:u w:val="single"/>
                </w:rPr>
                <w:t>97.1</w:t>
              </w:r>
            </w:hyperlink>
            <w:r>
              <w:rPr/>
              <w:t xml:space="preserve"> </w:t>
            </w:r>
          </w:p>
        </w:tc>
        <w:tc>
          <w:tcPr>
            <w:tcW w:w="9299" w:type="dxa"/>
            <w:tcBorders/>
            <w:vAlign w:val="center"/>
          </w:tcPr>
          <w:p>
            <w:pPr>
              <w:pStyle w:val="TableContents"/>
              <w:bidi w:val="0"/>
              <w:spacing w:before="0" w:after="283"/>
              <w:jc w:val="both"/>
              <w:rPr/>
            </w:pPr>
            <w:r>
              <w:rPr/>
              <w:t>Wrap Technologies, Inc. Compensation Recovery Policy (incorporated by reference to Exhibit 97.1 to the Company’s Annual Report on Form 10-K filed with the Securities and Exchange Commission on August 28, 2024)</w:t>
            </w:r>
          </w:p>
        </w:tc>
      </w:tr>
      <w:tr>
        <w:trPr/>
        <w:tc>
          <w:tcPr>
            <w:tcW w:w="906" w:type="dxa"/>
            <w:tcBorders/>
            <w:vAlign w:val="center"/>
          </w:tcPr>
          <w:p>
            <w:pPr>
              <w:pStyle w:val="TableContents"/>
              <w:bidi w:val="0"/>
              <w:spacing w:before="0" w:after="283"/>
              <w:jc w:val="both"/>
              <w:rPr/>
            </w:pPr>
            <w:r>
              <w:rPr/>
              <w:t> </w:t>
            </w:r>
          </w:p>
        </w:tc>
        <w:tc>
          <w:tcPr>
            <w:tcW w:w="9299" w:type="dxa"/>
            <w:tcBorders/>
            <w:vAlign w:val="center"/>
          </w:tcPr>
          <w:p>
            <w:pPr>
              <w:pStyle w:val="TableContents"/>
              <w:bidi w:val="0"/>
              <w:spacing w:before="0" w:after="283"/>
              <w:jc w:val="both"/>
              <w:rPr/>
            </w:pPr>
            <w:r>
              <w:rPr/>
              <w:t> </w:t>
            </w:r>
          </w:p>
        </w:tc>
      </w:tr>
      <w:tr>
        <w:trPr/>
        <w:tc>
          <w:tcPr>
            <w:tcW w:w="906" w:type="dxa"/>
            <w:tcBorders/>
            <w:vAlign w:val="center"/>
          </w:tcPr>
          <w:p>
            <w:pPr>
              <w:pStyle w:val="TableContents"/>
              <w:bidi w:val="0"/>
              <w:spacing w:before="0" w:after="283"/>
              <w:jc w:val="both"/>
              <w:rPr/>
            </w:pPr>
            <w:r>
              <w:rPr/>
              <w:t> </w:t>
            </w:r>
          </w:p>
        </w:tc>
        <w:tc>
          <w:tcPr>
            <w:tcW w:w="9299" w:type="dxa"/>
            <w:tcBorders/>
            <w:vAlign w:val="center"/>
          </w:tcPr>
          <w:p>
            <w:pPr>
              <w:pStyle w:val="TableContents"/>
              <w:bidi w:val="0"/>
              <w:spacing w:before="0" w:after="283"/>
              <w:jc w:val="both"/>
              <w:rPr/>
            </w:pPr>
            <w:r>
              <w:rPr>
                <w:b/>
                <w:u w:val="single"/>
              </w:rPr>
              <w:t>Extensible Business Reporting Language (XBRL) Exhibits*</w:t>
            </w:r>
            <w:r>
              <w:rPr/>
              <w:t xml:space="preserve"> </w:t>
            </w:r>
          </w:p>
        </w:tc>
      </w:tr>
      <w:tr>
        <w:trPr/>
        <w:tc>
          <w:tcPr>
            <w:tcW w:w="906" w:type="dxa"/>
            <w:tcBorders/>
            <w:vAlign w:val="center"/>
          </w:tcPr>
          <w:p>
            <w:pPr>
              <w:pStyle w:val="TableContents"/>
              <w:bidi w:val="0"/>
              <w:spacing w:before="0" w:after="283"/>
              <w:jc w:val="both"/>
              <w:rPr/>
            </w:pPr>
            <w:r>
              <w:rPr/>
              <w:t xml:space="preserve">101.INS </w:t>
            </w:r>
          </w:p>
        </w:tc>
        <w:tc>
          <w:tcPr>
            <w:tcW w:w="9299" w:type="dxa"/>
            <w:tcBorders/>
            <w:vAlign w:val="center"/>
          </w:tcPr>
          <w:p>
            <w:pPr>
              <w:pStyle w:val="TableContents"/>
              <w:bidi w:val="0"/>
              <w:spacing w:before="0" w:after="283"/>
              <w:jc w:val="both"/>
              <w:rPr/>
            </w:pPr>
            <w:r>
              <w:rPr/>
              <w:t xml:space="preserve">Inline XBRL Instance Document - the instance document does not appear in the Interactive Data File because its XBRL tags are embedded within the Inline XBRL document </w:t>
            </w:r>
          </w:p>
        </w:tc>
      </w:tr>
      <w:tr>
        <w:trPr/>
        <w:tc>
          <w:tcPr>
            <w:tcW w:w="906" w:type="dxa"/>
            <w:tcBorders/>
            <w:vAlign w:val="center"/>
          </w:tcPr>
          <w:p>
            <w:pPr>
              <w:pStyle w:val="TableContents"/>
              <w:bidi w:val="0"/>
              <w:spacing w:before="0" w:after="283"/>
              <w:jc w:val="both"/>
              <w:rPr/>
            </w:pPr>
            <w:r>
              <w:rPr/>
              <w:t xml:space="preserve">101.SCH </w:t>
            </w:r>
          </w:p>
        </w:tc>
        <w:tc>
          <w:tcPr>
            <w:tcW w:w="9299" w:type="dxa"/>
            <w:tcBorders/>
            <w:vAlign w:val="center"/>
          </w:tcPr>
          <w:p>
            <w:pPr>
              <w:pStyle w:val="TableContents"/>
              <w:bidi w:val="0"/>
              <w:spacing w:before="0" w:after="283"/>
              <w:jc w:val="both"/>
              <w:rPr/>
            </w:pPr>
            <w:r>
              <w:rPr/>
              <w:t xml:space="preserve">Inline XBRL Taxonomy Extension Schema Document </w:t>
            </w:r>
          </w:p>
        </w:tc>
      </w:tr>
      <w:tr>
        <w:trPr/>
        <w:tc>
          <w:tcPr>
            <w:tcW w:w="906" w:type="dxa"/>
            <w:tcBorders/>
            <w:vAlign w:val="center"/>
          </w:tcPr>
          <w:p>
            <w:pPr>
              <w:pStyle w:val="TableContents"/>
              <w:bidi w:val="0"/>
              <w:spacing w:before="0" w:after="283"/>
              <w:jc w:val="both"/>
              <w:rPr/>
            </w:pPr>
            <w:r>
              <w:rPr/>
              <w:t xml:space="preserve">101.CAL </w:t>
            </w:r>
          </w:p>
        </w:tc>
        <w:tc>
          <w:tcPr>
            <w:tcW w:w="9299" w:type="dxa"/>
            <w:tcBorders/>
            <w:vAlign w:val="center"/>
          </w:tcPr>
          <w:p>
            <w:pPr>
              <w:pStyle w:val="TableContents"/>
              <w:bidi w:val="0"/>
              <w:spacing w:before="0" w:after="283"/>
              <w:jc w:val="both"/>
              <w:rPr/>
            </w:pPr>
            <w:r>
              <w:rPr/>
              <w:t xml:space="preserve">Inline XBRL Taxonomy Extension Calculation Linkbase Document </w:t>
            </w:r>
          </w:p>
        </w:tc>
      </w:tr>
      <w:tr>
        <w:trPr/>
        <w:tc>
          <w:tcPr>
            <w:tcW w:w="906" w:type="dxa"/>
            <w:tcBorders/>
            <w:vAlign w:val="center"/>
          </w:tcPr>
          <w:p>
            <w:pPr>
              <w:pStyle w:val="TableContents"/>
              <w:bidi w:val="0"/>
              <w:spacing w:before="0" w:after="283"/>
              <w:jc w:val="both"/>
              <w:rPr/>
            </w:pPr>
            <w:r>
              <w:rPr/>
              <w:t xml:space="preserve">101.DEF </w:t>
            </w:r>
          </w:p>
        </w:tc>
        <w:tc>
          <w:tcPr>
            <w:tcW w:w="9299" w:type="dxa"/>
            <w:tcBorders/>
            <w:vAlign w:val="center"/>
          </w:tcPr>
          <w:p>
            <w:pPr>
              <w:pStyle w:val="TableContents"/>
              <w:bidi w:val="0"/>
              <w:spacing w:before="0" w:after="283"/>
              <w:jc w:val="both"/>
              <w:rPr/>
            </w:pPr>
            <w:r>
              <w:rPr/>
              <w:t xml:space="preserve">Inline XBRL Taxonomy Extension Definition Linkbase Document </w:t>
            </w:r>
          </w:p>
        </w:tc>
      </w:tr>
      <w:tr>
        <w:trPr/>
        <w:tc>
          <w:tcPr>
            <w:tcW w:w="906" w:type="dxa"/>
            <w:tcBorders/>
            <w:vAlign w:val="center"/>
          </w:tcPr>
          <w:p>
            <w:pPr>
              <w:pStyle w:val="TableContents"/>
              <w:bidi w:val="0"/>
              <w:spacing w:before="0" w:after="283"/>
              <w:jc w:val="both"/>
              <w:rPr/>
            </w:pPr>
            <w:r>
              <w:rPr/>
              <w:t xml:space="preserve">101.LAB </w:t>
            </w:r>
          </w:p>
        </w:tc>
        <w:tc>
          <w:tcPr>
            <w:tcW w:w="9299" w:type="dxa"/>
            <w:tcBorders/>
            <w:vAlign w:val="center"/>
          </w:tcPr>
          <w:p>
            <w:pPr>
              <w:pStyle w:val="TableContents"/>
              <w:bidi w:val="0"/>
              <w:spacing w:before="0" w:after="283"/>
              <w:jc w:val="both"/>
              <w:rPr/>
            </w:pPr>
            <w:r>
              <w:rPr/>
              <w:t xml:space="preserve">Inline XBRL Taxonomy Extension Label Linkbase Document </w:t>
            </w:r>
          </w:p>
        </w:tc>
      </w:tr>
      <w:tr>
        <w:trPr/>
        <w:tc>
          <w:tcPr>
            <w:tcW w:w="906" w:type="dxa"/>
            <w:tcBorders/>
            <w:vAlign w:val="center"/>
          </w:tcPr>
          <w:p>
            <w:pPr>
              <w:pStyle w:val="TableContents"/>
              <w:bidi w:val="0"/>
              <w:spacing w:before="0" w:after="283"/>
              <w:jc w:val="both"/>
              <w:rPr/>
            </w:pPr>
            <w:r>
              <w:rPr/>
              <w:t xml:space="preserve">101.PRE </w:t>
            </w:r>
          </w:p>
        </w:tc>
        <w:tc>
          <w:tcPr>
            <w:tcW w:w="9299" w:type="dxa"/>
            <w:tcBorders/>
            <w:vAlign w:val="center"/>
          </w:tcPr>
          <w:p>
            <w:pPr>
              <w:pStyle w:val="TableContents"/>
              <w:bidi w:val="0"/>
              <w:spacing w:before="0" w:after="283"/>
              <w:jc w:val="both"/>
              <w:rPr/>
            </w:pPr>
            <w:r>
              <w:rPr/>
              <w:t xml:space="preserve">Inline XBRL Taxonomy Extension Presentation Linkbase Document </w:t>
            </w:r>
          </w:p>
        </w:tc>
      </w:tr>
      <w:tr>
        <w:trPr/>
        <w:tc>
          <w:tcPr>
            <w:tcW w:w="906" w:type="dxa"/>
            <w:tcBorders/>
            <w:vAlign w:val="center"/>
          </w:tcPr>
          <w:p>
            <w:pPr>
              <w:pStyle w:val="TableContents"/>
              <w:bidi w:val="0"/>
              <w:spacing w:before="0" w:after="283"/>
              <w:jc w:val="both"/>
              <w:rPr/>
            </w:pPr>
            <w:r>
              <w:rPr/>
              <w:t xml:space="preserve">104 </w:t>
            </w:r>
          </w:p>
        </w:tc>
        <w:tc>
          <w:tcPr>
            <w:tcW w:w="9299" w:type="dxa"/>
            <w:tcBorders/>
            <w:vAlign w:val="center"/>
          </w:tcPr>
          <w:p>
            <w:pPr>
              <w:pStyle w:val="TableContents"/>
              <w:bidi w:val="0"/>
              <w:spacing w:before="0" w:after="283"/>
              <w:jc w:val="both"/>
              <w:rPr/>
            </w:pPr>
            <w:r>
              <w:rPr/>
              <w:t xml:space="preserve">Cover Page Interactive Data File (embedded within the Inline XBRL Document and include in Exhibit 101) </w:t>
            </w:r>
          </w:p>
        </w:tc>
      </w:tr>
    </w:tbl>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 Management contract or compensatory plan or arrangement.</w:t>
      </w:r>
      <w:r>
        <w:rPr>
          <w:rFonts w:ascii="Times New Roman" w:hAnsi="Times New Roman"/>
          <w:sz w:val="24"/>
        </w:rPr>
        <w:t xml:space="preserve"> </w:t>
      </w:r>
    </w:p>
    <w:p>
      <w:pPr>
        <w:pStyle w:val="TextBody"/>
        <w:bidi w:val="0"/>
        <w:spacing w:before="0" w:after="0"/>
        <w:jc w:val="both"/>
        <w:rPr>
          <w:rFonts w:ascii="Times New Roman" w:hAnsi="Times New Roman"/>
          <w:sz w:val="24"/>
        </w:rPr>
      </w:pPr>
      <w:r>
        <w:rPr>
          <w:rFonts w:ascii="Times New Roman" w:hAnsi="Times New Roman"/>
          <w:sz w:val="20"/>
        </w:rPr>
        <w:t>* Filed concurrently herewith.</w:t>
      </w:r>
      <w:r>
        <w:rPr>
          <w:rFonts w:ascii="Times New Roman" w:hAnsi="Times New Roman"/>
          <w:sz w:val="24"/>
        </w:rPr>
        <w:t xml:space="preserve"> </w:t>
      </w:r>
    </w:p>
    <w:p>
      <w:pPr>
        <w:pStyle w:val="TextBody"/>
        <w:bidi w:val="0"/>
        <w:spacing w:before="0" w:after="0"/>
        <w:jc w:val="both"/>
        <w:rPr>
          <w:rFonts w:ascii="Times New Roman" w:hAnsi="Times New Roman"/>
          <w:sz w:val="24"/>
        </w:rPr>
      </w:pPr>
      <w:r>
        <w:rPr>
          <w:rFonts w:ascii="Times New Roman" w:hAnsi="Times New Roman"/>
          <w:sz w:val="20"/>
        </w:rPr>
        <w:t>** Certain portions of this exhibit (indicated by “[***]”) have been omitted as the Company has determined (i) the omitted information is not material and (ii) the omitted information would likely cause harm to the Company if publicly disclosed.</w:t>
      </w:r>
      <w:r>
        <w:rPr>
          <w:rFonts w:ascii="Times New Roman" w:hAnsi="Times New Roman"/>
          <w:sz w:val="24"/>
        </w:rPr>
        <w:t xml:space="preserve"> </w:t>
      </w:r>
    </w:p>
    <w:p>
      <w:pPr>
        <w:pStyle w:val="TextBody"/>
        <w:bidi w:val="0"/>
        <w:spacing w:before="0" w:after="0"/>
        <w:jc w:val="both"/>
        <w:rPr>
          <w:rFonts w:ascii="Times New Roman" w:hAnsi="Times New Roman"/>
          <w:sz w:val="24"/>
        </w:rPr>
      </w:pPr>
      <w:r>
        <w:rPr>
          <w:rFonts w:ascii="Times New Roman" w:hAnsi="Times New Roman"/>
          <w:sz w:val="20"/>
        </w:rPr>
        <w:t>*** Furnished herewith.</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b/>
          <w:sz w:val="20"/>
        </w:rPr>
      </w:pPr>
      <w:bookmarkStart w:id="26" w:name="ITEM_16_FORM_10-K_SUMMARY"/>
      <w:bookmarkEnd w:id="26"/>
      <w:r>
        <w:rPr>
          <w:rFonts w:ascii="Times New Roman" w:hAnsi="Times New Roman"/>
          <w:b/>
          <w:sz w:val="20"/>
        </w:rPr>
        <w:t>Item 16. FORM 10-K SUMMARY</w:t>
      </w:r>
    </w:p>
    <w:p>
      <w:pPr>
        <w:pStyle w:val="TextBody"/>
        <w:bidi w:val="0"/>
        <w:spacing w:before="0" w:after="0"/>
        <w:jc w:val="both"/>
        <w:rPr>
          <w:rFonts w:ascii="Times New Roman" w:hAnsi="Times New Roman"/>
          <w:sz w:val="24"/>
        </w:rPr>
      </w:pPr>
      <w:r>
        <w:rPr>
          <w:rFonts w:ascii="Times New Roman" w:hAnsi="Times New Roman"/>
          <w:b/>
          <w:sz w:val="20"/>
        </w:rPr>
        <w:t>None.</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77</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bookmarkStart w:id="27" w:name="WRAP_TECHNOLOGIES_INC"/>
      <w:bookmarkEnd w:id="27"/>
      <w:r>
        <w:rPr>
          <w:rFonts w:ascii="Times New Roman" w:hAnsi="Times New Roman"/>
          <w:b/>
          <w:sz w:val="20"/>
        </w:rPr>
        <w:t>WRAP TECHNOLOGIES, INC.</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INDEX TO CONSOLIDATED FINANCIAL STATEMENTS</w:t>
      </w:r>
      <w:r>
        <w:rPr>
          <w:rFonts w:ascii="Times New Roman" w:hAnsi="Times New Roman"/>
          <w:sz w:val="24"/>
        </w:rPr>
        <w:t xml:space="preserve"> </w:t>
      </w:r>
    </w:p>
    <w:p>
      <w:pPr>
        <w:pStyle w:val="TextBody"/>
        <w:bidi w:val="0"/>
        <w:spacing w:before="0" w:after="0"/>
        <w:jc w:val="both"/>
        <w:rPr/>
      </w:pPr>
      <w:r>
        <w:rPr/>
        <w:t xml:space="preserve">  </w:t>
      </w:r>
    </w:p>
    <w:tbl>
      <w:tblPr>
        <w:tblW w:w="10205" w:type="dxa"/>
        <w:jc w:val="left"/>
        <w:tblInd w:w="0" w:type="dxa"/>
        <w:tblLayout w:type="fixed"/>
        <w:tblCellMar>
          <w:top w:w="0" w:type="dxa"/>
          <w:left w:w="0" w:type="dxa"/>
          <w:bottom w:w="0" w:type="dxa"/>
          <w:right w:w="0" w:type="dxa"/>
        </w:tblCellMar>
      </w:tblPr>
      <w:tblGrid>
        <w:gridCol w:w="9364"/>
        <w:gridCol w:w="146"/>
        <w:gridCol w:w="695"/>
      </w:tblGrid>
      <w:tr>
        <w:trPr/>
        <w:tc>
          <w:tcPr>
            <w:tcW w:w="9364"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95" w:type="dxa"/>
            <w:tcBorders/>
            <w:vAlign w:val="center"/>
          </w:tcPr>
          <w:p>
            <w:pPr>
              <w:pStyle w:val="TableContents"/>
              <w:bidi w:val="0"/>
              <w:spacing w:before="0" w:after="283"/>
              <w:jc w:val="both"/>
              <w:rPr/>
            </w:pPr>
            <w:r>
              <w:rPr>
                <w:b/>
                <w:color w:val="000000"/>
              </w:rPr>
              <w:t>Page</w:t>
            </w:r>
            <w:r>
              <w:rPr/>
              <w:t xml:space="preserve"> </w:t>
            </w:r>
          </w:p>
        </w:tc>
      </w:tr>
      <w:tr>
        <w:trPr/>
        <w:tc>
          <w:tcPr>
            <w:tcW w:w="9364"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95" w:type="dxa"/>
            <w:tcBorders/>
            <w:vAlign w:val="center"/>
          </w:tcPr>
          <w:p>
            <w:pPr>
              <w:pStyle w:val="TableContents"/>
              <w:bidi w:val="0"/>
              <w:spacing w:before="0" w:after="283"/>
              <w:jc w:val="both"/>
              <w:rPr/>
            </w:pPr>
            <w:r>
              <w:rPr/>
              <w:t> </w:t>
            </w:r>
          </w:p>
        </w:tc>
      </w:tr>
      <w:tr>
        <w:trPr/>
        <w:tc>
          <w:tcPr>
            <w:tcW w:w="9364" w:type="dxa"/>
            <w:tcBorders/>
            <w:shd w:fill="CCEEFF" w:val="clear"/>
            <w:vAlign w:val="center"/>
          </w:tcPr>
          <w:p>
            <w:pPr>
              <w:pStyle w:val="TableContents"/>
              <w:bidi w:val="0"/>
              <w:spacing w:before="0" w:after="283"/>
              <w:jc w:val="both"/>
              <w:rPr/>
            </w:pPr>
            <w:r>
              <w:rPr>
                <w:color w:val="000000"/>
              </w:rPr>
              <w:t>Audited Consolidated Financial Statements:</w:t>
            </w:r>
            <w:r>
              <w:rPr/>
              <w:t xml:space="preserve"> </w:t>
            </w:r>
          </w:p>
        </w:tc>
        <w:tc>
          <w:tcPr>
            <w:tcW w:w="146" w:type="dxa"/>
            <w:tcBorders/>
            <w:shd w:fill="CCEEFF" w:val="clear"/>
            <w:vAlign w:val="center"/>
          </w:tcPr>
          <w:p>
            <w:pPr>
              <w:pStyle w:val="TableContents"/>
              <w:bidi w:val="0"/>
              <w:spacing w:before="0" w:after="283"/>
              <w:jc w:val="both"/>
              <w:rPr/>
            </w:pPr>
            <w:r>
              <w:rPr/>
              <w:t> </w:t>
            </w:r>
          </w:p>
        </w:tc>
        <w:tc>
          <w:tcPr>
            <w:tcW w:w="695" w:type="dxa"/>
            <w:tcBorders/>
            <w:shd w:fill="CCEEFF" w:val="clear"/>
            <w:vAlign w:val="center"/>
          </w:tcPr>
          <w:p>
            <w:pPr>
              <w:pStyle w:val="TableContents"/>
              <w:bidi w:val="0"/>
              <w:spacing w:before="0" w:after="283"/>
              <w:jc w:val="both"/>
              <w:rPr/>
            </w:pPr>
            <w:r>
              <w:rPr/>
              <w:t> </w:t>
            </w:r>
          </w:p>
        </w:tc>
      </w:tr>
      <w:tr>
        <w:trPr/>
        <w:tc>
          <w:tcPr>
            <w:tcW w:w="9364"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95" w:type="dxa"/>
            <w:tcBorders/>
            <w:vAlign w:val="center"/>
          </w:tcPr>
          <w:p>
            <w:pPr>
              <w:pStyle w:val="TableContents"/>
              <w:bidi w:val="0"/>
              <w:spacing w:before="0" w:after="283"/>
              <w:jc w:val="both"/>
              <w:rPr/>
            </w:pPr>
            <w:r>
              <w:rPr/>
              <w:t> </w:t>
            </w:r>
          </w:p>
        </w:tc>
      </w:tr>
      <w:tr>
        <w:trPr/>
        <w:tc>
          <w:tcPr>
            <w:tcW w:w="9364" w:type="dxa"/>
            <w:tcBorders/>
            <w:shd w:fill="CCEEFF" w:val="clear"/>
            <w:vAlign w:val="center"/>
          </w:tcPr>
          <w:p>
            <w:pPr>
              <w:pStyle w:val="TableContents"/>
              <w:bidi w:val="0"/>
              <w:spacing w:before="0" w:after="283"/>
              <w:jc w:val="both"/>
              <w:rPr/>
            </w:pPr>
            <w:hyperlink w:anchor="pcaob">
              <w:r>
                <w:rPr>
                  <w:rStyle w:val="InternetLink"/>
                  <w:color w:val="0000EE"/>
                  <w:u w:val="single"/>
                </w:rPr>
                <w:t>Report of Independent Registered Public Accounting Firm</w:t>
              </w:r>
            </w:hyperlink>
            <w:r>
              <w:rPr>
                <w:color w:val="000000"/>
              </w:rPr>
              <w:t xml:space="preserve"> (PCAOB ID: 7000)</w:t>
            </w:r>
            <w:r>
              <w:rPr/>
              <w:t xml:space="preserve"> </w:t>
            </w:r>
          </w:p>
        </w:tc>
        <w:tc>
          <w:tcPr>
            <w:tcW w:w="146" w:type="dxa"/>
            <w:tcBorders/>
            <w:shd w:fill="CCEEFF" w:val="clear"/>
            <w:vAlign w:val="center"/>
          </w:tcPr>
          <w:p>
            <w:pPr>
              <w:pStyle w:val="TableContents"/>
              <w:bidi w:val="0"/>
              <w:spacing w:before="0" w:after="283"/>
              <w:jc w:val="both"/>
              <w:rPr/>
            </w:pPr>
            <w:r>
              <w:rPr/>
              <w:t> </w:t>
            </w:r>
          </w:p>
        </w:tc>
        <w:tc>
          <w:tcPr>
            <w:tcW w:w="695" w:type="dxa"/>
            <w:tcBorders/>
            <w:shd w:fill="CCEEFF" w:val="clear"/>
            <w:vAlign w:val="center"/>
          </w:tcPr>
          <w:p>
            <w:pPr>
              <w:pStyle w:val="TableContents"/>
              <w:bidi w:val="0"/>
              <w:spacing w:before="0" w:after="283"/>
              <w:jc w:val="both"/>
              <w:rPr/>
            </w:pPr>
            <w:hyperlink w:anchor="pcaob">
              <w:r>
                <w:rPr>
                  <w:rStyle w:val="InternetLink"/>
                  <w:color w:val="0000EE"/>
                  <w:u w:val="single"/>
                </w:rPr>
                <w:t>F-2</w:t>
              </w:r>
            </w:hyperlink>
            <w:r>
              <w:rPr/>
              <w:t xml:space="preserve"> </w:t>
            </w:r>
          </w:p>
        </w:tc>
      </w:tr>
      <w:tr>
        <w:trPr/>
        <w:tc>
          <w:tcPr>
            <w:tcW w:w="9364"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95" w:type="dxa"/>
            <w:tcBorders/>
            <w:vAlign w:val="center"/>
          </w:tcPr>
          <w:p>
            <w:pPr>
              <w:pStyle w:val="TableContents"/>
              <w:bidi w:val="0"/>
              <w:spacing w:before="0" w:after="283"/>
              <w:jc w:val="both"/>
              <w:rPr/>
            </w:pPr>
            <w:r>
              <w:rPr/>
              <w:t> </w:t>
            </w:r>
          </w:p>
        </w:tc>
      </w:tr>
      <w:tr>
        <w:trPr/>
        <w:tc>
          <w:tcPr>
            <w:tcW w:w="9364" w:type="dxa"/>
            <w:tcBorders/>
            <w:shd w:fill="CCEEFF" w:val="clear"/>
            <w:vAlign w:val="center"/>
          </w:tcPr>
          <w:p>
            <w:pPr>
              <w:pStyle w:val="TableContents"/>
              <w:bidi w:val="0"/>
              <w:spacing w:before="0" w:after="283"/>
              <w:jc w:val="both"/>
              <w:rPr/>
            </w:pPr>
            <w:hyperlink w:anchor="balance_sheets">
              <w:r>
                <w:rPr>
                  <w:rStyle w:val="InternetLink"/>
                  <w:color w:val="000080"/>
                  <w:u w:val="single"/>
                </w:rPr>
                <w:t>Consolidated Balance Sheets as of December 31, 202</w:t>
              </w:r>
            </w:hyperlink>
            <w:hyperlink w:anchor="balance_sheets">
              <w:r>
                <w:rPr>
                  <w:rStyle w:val="InternetLink"/>
                  <w:color w:val="000080"/>
                  <w:u w:val="single"/>
                </w:rPr>
                <w:t>5</w:t>
              </w:r>
            </w:hyperlink>
            <w:hyperlink w:anchor="balance_sheets">
              <w:r>
                <w:rPr>
                  <w:rStyle w:val="InternetLink"/>
                  <w:color w:val="000080"/>
                  <w:u w:val="single"/>
                </w:rPr>
                <w:t xml:space="preserve"> and 202</w:t>
              </w:r>
            </w:hyperlink>
            <w:hyperlink w:anchor="balance_sheets">
              <w:r>
                <w:rPr>
                  <w:rStyle w:val="InternetLink"/>
                  <w:color w:val="000080"/>
                  <w:u w:val="single"/>
                </w:rPr>
                <w:t>4</w:t>
              </w:r>
            </w:hyperlink>
            <w:r>
              <w:rPr/>
              <w:t xml:space="preserve"> </w:t>
            </w:r>
          </w:p>
        </w:tc>
        <w:tc>
          <w:tcPr>
            <w:tcW w:w="146" w:type="dxa"/>
            <w:tcBorders/>
            <w:shd w:fill="CCEEFF" w:val="clear"/>
            <w:vAlign w:val="center"/>
          </w:tcPr>
          <w:p>
            <w:pPr>
              <w:pStyle w:val="TableContents"/>
              <w:bidi w:val="0"/>
              <w:spacing w:before="0" w:after="283"/>
              <w:jc w:val="both"/>
              <w:rPr/>
            </w:pPr>
            <w:r>
              <w:rPr/>
              <w:t> </w:t>
            </w:r>
          </w:p>
        </w:tc>
        <w:tc>
          <w:tcPr>
            <w:tcW w:w="695" w:type="dxa"/>
            <w:tcBorders/>
            <w:shd w:fill="CCEEFF" w:val="clear"/>
            <w:vAlign w:val="center"/>
          </w:tcPr>
          <w:p>
            <w:pPr>
              <w:pStyle w:val="TableContents"/>
              <w:bidi w:val="0"/>
              <w:spacing w:before="0" w:after="283"/>
              <w:jc w:val="both"/>
              <w:rPr/>
            </w:pPr>
            <w:hyperlink w:anchor="balance_sheets">
              <w:r>
                <w:rPr>
                  <w:rStyle w:val="InternetLink"/>
                  <w:color w:val="000080"/>
                  <w:u w:val="single"/>
                </w:rPr>
                <w:t>F-</w:t>
              </w:r>
            </w:hyperlink>
            <w:hyperlink w:anchor="balance_sheets">
              <w:r>
                <w:rPr>
                  <w:rStyle w:val="InternetLink"/>
                  <w:color w:val="000080"/>
                  <w:u w:val="single"/>
                </w:rPr>
                <w:t>3</w:t>
              </w:r>
            </w:hyperlink>
            <w:r>
              <w:rPr/>
              <w:t xml:space="preserve"> </w:t>
            </w:r>
          </w:p>
        </w:tc>
      </w:tr>
      <w:tr>
        <w:trPr/>
        <w:tc>
          <w:tcPr>
            <w:tcW w:w="9364"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95" w:type="dxa"/>
            <w:tcBorders/>
            <w:vAlign w:val="center"/>
          </w:tcPr>
          <w:p>
            <w:pPr>
              <w:pStyle w:val="TableContents"/>
              <w:bidi w:val="0"/>
              <w:spacing w:before="0" w:after="283"/>
              <w:jc w:val="both"/>
              <w:rPr/>
            </w:pPr>
            <w:r>
              <w:rPr/>
              <w:t> </w:t>
            </w:r>
          </w:p>
        </w:tc>
      </w:tr>
      <w:tr>
        <w:trPr/>
        <w:tc>
          <w:tcPr>
            <w:tcW w:w="9364" w:type="dxa"/>
            <w:tcBorders/>
            <w:shd w:fill="CCEEFF" w:val="clear"/>
            <w:vAlign w:val="center"/>
          </w:tcPr>
          <w:p>
            <w:pPr>
              <w:pStyle w:val="TableContents"/>
              <w:bidi w:val="0"/>
              <w:spacing w:before="0" w:after="283"/>
              <w:jc w:val="both"/>
              <w:rPr/>
            </w:pPr>
            <w:hyperlink w:anchor="operations">
              <w:r>
                <w:rPr>
                  <w:rStyle w:val="InternetLink"/>
                  <w:color w:val="000080"/>
                  <w:u w:val="single"/>
                </w:rPr>
                <w:t>Consolidated Statements of Operations and Comprehensive Loss for the Years Ended</w:t>
              </w:r>
            </w:hyperlink>
            <w:hyperlink w:anchor="operations">
              <w:r>
                <w:rPr>
                  <w:rStyle w:val="InternetLink"/>
                  <w:color w:val="000080"/>
                  <w:u w:val="single"/>
                </w:rPr>
                <w:t> </w:t>
              </w:r>
            </w:hyperlink>
            <w:hyperlink w:anchor="operations">
              <w:r>
                <w:rPr>
                  <w:rStyle w:val="InternetLink"/>
                  <w:color w:val="000080"/>
                  <w:u w:val="single"/>
                </w:rPr>
                <w:t>December 31, 202</w:t>
              </w:r>
            </w:hyperlink>
            <w:hyperlink w:anchor="operations">
              <w:r>
                <w:rPr>
                  <w:rStyle w:val="InternetLink"/>
                  <w:color w:val="000080"/>
                  <w:u w:val="single"/>
                </w:rPr>
                <w:t>5 and 2024</w:t>
              </w:r>
            </w:hyperlink>
            <w:r>
              <w:rPr/>
              <w:t xml:space="preserve"> </w:t>
            </w:r>
          </w:p>
        </w:tc>
        <w:tc>
          <w:tcPr>
            <w:tcW w:w="146" w:type="dxa"/>
            <w:tcBorders/>
            <w:shd w:fill="CCEEFF" w:val="clear"/>
            <w:vAlign w:val="center"/>
          </w:tcPr>
          <w:p>
            <w:pPr>
              <w:pStyle w:val="TableContents"/>
              <w:bidi w:val="0"/>
              <w:spacing w:before="0" w:after="283"/>
              <w:jc w:val="both"/>
              <w:rPr/>
            </w:pPr>
            <w:r>
              <w:rPr/>
              <w:t> </w:t>
            </w:r>
          </w:p>
        </w:tc>
        <w:tc>
          <w:tcPr>
            <w:tcW w:w="695" w:type="dxa"/>
            <w:tcBorders/>
            <w:shd w:fill="CCEEFF" w:val="clear"/>
            <w:vAlign w:val="center"/>
          </w:tcPr>
          <w:p>
            <w:pPr>
              <w:pStyle w:val="TableContents"/>
              <w:bidi w:val="0"/>
              <w:spacing w:before="0" w:after="283"/>
              <w:jc w:val="both"/>
              <w:rPr/>
            </w:pPr>
            <w:hyperlink w:anchor="operations">
              <w:r>
                <w:rPr>
                  <w:rStyle w:val="InternetLink"/>
                  <w:color w:val="000080"/>
                  <w:u w:val="single"/>
                </w:rPr>
                <w:t>F-</w:t>
              </w:r>
            </w:hyperlink>
            <w:hyperlink w:anchor="operations">
              <w:r>
                <w:rPr>
                  <w:rStyle w:val="InternetLink"/>
                  <w:color w:val="000080"/>
                  <w:u w:val="single"/>
                </w:rPr>
                <w:t>4</w:t>
              </w:r>
            </w:hyperlink>
            <w:r>
              <w:rPr/>
              <w:t xml:space="preserve"> </w:t>
            </w:r>
          </w:p>
        </w:tc>
      </w:tr>
      <w:tr>
        <w:trPr/>
        <w:tc>
          <w:tcPr>
            <w:tcW w:w="9364"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95" w:type="dxa"/>
            <w:tcBorders/>
            <w:vAlign w:val="center"/>
          </w:tcPr>
          <w:p>
            <w:pPr>
              <w:pStyle w:val="TableContents"/>
              <w:bidi w:val="0"/>
              <w:spacing w:before="0" w:after="283"/>
              <w:jc w:val="both"/>
              <w:rPr/>
            </w:pPr>
            <w:r>
              <w:rPr/>
              <w:t> </w:t>
            </w:r>
          </w:p>
        </w:tc>
      </w:tr>
      <w:tr>
        <w:trPr/>
        <w:tc>
          <w:tcPr>
            <w:tcW w:w="9364" w:type="dxa"/>
            <w:tcBorders/>
            <w:shd w:fill="CCEEFF" w:val="clear"/>
            <w:vAlign w:val="center"/>
          </w:tcPr>
          <w:p>
            <w:pPr>
              <w:pStyle w:val="TableContents"/>
              <w:bidi w:val="0"/>
              <w:spacing w:before="0" w:after="283"/>
              <w:jc w:val="both"/>
              <w:rPr/>
            </w:pPr>
            <w:hyperlink w:anchor="equity">
              <w:r>
                <w:rPr>
                  <w:rStyle w:val="InternetLink"/>
                  <w:color w:val="000080"/>
                  <w:u w:val="single"/>
                </w:rPr>
                <w:t>Consolidated Statements of Stockholders’</w:t>
              </w:r>
            </w:hyperlink>
            <w:hyperlink w:anchor="equity">
              <w:r>
                <w:rPr>
                  <w:rStyle w:val="InternetLink"/>
                  <w:color w:val="000080"/>
                  <w:u w:val="single"/>
                </w:rPr>
                <w:t> </w:t>
              </w:r>
            </w:hyperlink>
            <w:hyperlink w:anchor="equity">
              <w:r>
                <w:rPr>
                  <w:rStyle w:val="InternetLink"/>
                  <w:color w:val="000080"/>
                  <w:u w:val="single"/>
                </w:rPr>
                <w:t>Equity for Years Ended December 31, 202</w:t>
              </w:r>
            </w:hyperlink>
            <w:hyperlink w:anchor="equity">
              <w:r>
                <w:rPr>
                  <w:rStyle w:val="InternetLink"/>
                  <w:color w:val="000080"/>
                  <w:u w:val="single"/>
                </w:rPr>
                <w:t>5 and 2024</w:t>
              </w:r>
            </w:hyperlink>
            <w:r>
              <w:rPr/>
              <w:t xml:space="preserve"> </w:t>
            </w:r>
          </w:p>
        </w:tc>
        <w:tc>
          <w:tcPr>
            <w:tcW w:w="146" w:type="dxa"/>
            <w:tcBorders/>
            <w:shd w:fill="CCEEFF" w:val="clear"/>
            <w:vAlign w:val="center"/>
          </w:tcPr>
          <w:p>
            <w:pPr>
              <w:pStyle w:val="TableContents"/>
              <w:bidi w:val="0"/>
              <w:spacing w:before="0" w:after="283"/>
              <w:jc w:val="both"/>
              <w:rPr/>
            </w:pPr>
            <w:r>
              <w:rPr/>
              <w:t> </w:t>
            </w:r>
          </w:p>
        </w:tc>
        <w:tc>
          <w:tcPr>
            <w:tcW w:w="695" w:type="dxa"/>
            <w:tcBorders/>
            <w:shd w:fill="CCEEFF" w:val="clear"/>
            <w:vAlign w:val="center"/>
          </w:tcPr>
          <w:p>
            <w:pPr>
              <w:pStyle w:val="TableContents"/>
              <w:bidi w:val="0"/>
              <w:spacing w:before="0" w:after="283"/>
              <w:jc w:val="both"/>
              <w:rPr/>
            </w:pPr>
            <w:hyperlink w:anchor="equity">
              <w:r>
                <w:rPr>
                  <w:rStyle w:val="InternetLink"/>
                  <w:color w:val="000080"/>
                  <w:u w:val="single"/>
                </w:rPr>
                <w:t>F-</w:t>
              </w:r>
            </w:hyperlink>
            <w:hyperlink w:anchor="equity">
              <w:r>
                <w:rPr>
                  <w:rStyle w:val="InternetLink"/>
                  <w:color w:val="000080"/>
                  <w:u w:val="single"/>
                </w:rPr>
                <w:t>5</w:t>
              </w:r>
            </w:hyperlink>
            <w:r>
              <w:rPr/>
              <w:t xml:space="preserve"> </w:t>
            </w:r>
          </w:p>
        </w:tc>
      </w:tr>
      <w:tr>
        <w:trPr/>
        <w:tc>
          <w:tcPr>
            <w:tcW w:w="9364"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95" w:type="dxa"/>
            <w:tcBorders/>
            <w:vAlign w:val="center"/>
          </w:tcPr>
          <w:p>
            <w:pPr>
              <w:pStyle w:val="TableContents"/>
              <w:bidi w:val="0"/>
              <w:spacing w:before="0" w:after="283"/>
              <w:jc w:val="both"/>
              <w:rPr/>
            </w:pPr>
            <w:r>
              <w:rPr/>
              <w:t> </w:t>
            </w:r>
          </w:p>
        </w:tc>
      </w:tr>
      <w:tr>
        <w:trPr/>
        <w:tc>
          <w:tcPr>
            <w:tcW w:w="9364" w:type="dxa"/>
            <w:tcBorders/>
            <w:shd w:fill="CCEEFF" w:val="clear"/>
            <w:vAlign w:val="center"/>
          </w:tcPr>
          <w:p>
            <w:pPr>
              <w:pStyle w:val="TableContents"/>
              <w:bidi w:val="0"/>
              <w:spacing w:before="0" w:after="283"/>
              <w:jc w:val="both"/>
              <w:rPr/>
            </w:pPr>
            <w:hyperlink w:anchor="cash_flows">
              <w:r>
                <w:rPr>
                  <w:rStyle w:val="InternetLink"/>
                  <w:color w:val="000080"/>
                  <w:u w:val="single"/>
                </w:rPr>
                <w:t>Consolidated Statements of Cash Flows for the Years Ended December 31, 202</w:t>
              </w:r>
            </w:hyperlink>
            <w:hyperlink w:anchor="cash_flows">
              <w:r>
                <w:rPr>
                  <w:rStyle w:val="InternetLink"/>
                  <w:color w:val="000080"/>
                  <w:u w:val="single"/>
                </w:rPr>
                <w:t>5 and 2024</w:t>
              </w:r>
            </w:hyperlink>
            <w:r>
              <w:rPr/>
              <w:t xml:space="preserve"> </w:t>
            </w:r>
          </w:p>
        </w:tc>
        <w:tc>
          <w:tcPr>
            <w:tcW w:w="146" w:type="dxa"/>
            <w:tcBorders/>
            <w:shd w:fill="CCEEFF" w:val="clear"/>
            <w:vAlign w:val="center"/>
          </w:tcPr>
          <w:p>
            <w:pPr>
              <w:pStyle w:val="TableContents"/>
              <w:bidi w:val="0"/>
              <w:spacing w:before="0" w:after="283"/>
              <w:jc w:val="both"/>
              <w:rPr/>
            </w:pPr>
            <w:r>
              <w:rPr/>
              <w:t> </w:t>
            </w:r>
          </w:p>
        </w:tc>
        <w:tc>
          <w:tcPr>
            <w:tcW w:w="695" w:type="dxa"/>
            <w:tcBorders/>
            <w:shd w:fill="CCEEFF" w:val="clear"/>
            <w:vAlign w:val="center"/>
          </w:tcPr>
          <w:p>
            <w:pPr>
              <w:pStyle w:val="TableContents"/>
              <w:bidi w:val="0"/>
              <w:spacing w:before="0" w:after="283"/>
              <w:jc w:val="both"/>
              <w:rPr/>
            </w:pPr>
            <w:hyperlink w:anchor="cash_flows">
              <w:r>
                <w:rPr>
                  <w:rStyle w:val="InternetLink"/>
                  <w:color w:val="000080"/>
                  <w:u w:val="single"/>
                </w:rPr>
                <w:t>F-</w:t>
              </w:r>
            </w:hyperlink>
            <w:hyperlink w:anchor="cash_flows">
              <w:r>
                <w:rPr>
                  <w:rStyle w:val="InternetLink"/>
                  <w:color w:val="000080"/>
                  <w:u w:val="single"/>
                </w:rPr>
                <w:t>6</w:t>
              </w:r>
            </w:hyperlink>
            <w:r>
              <w:rPr/>
              <w:t xml:space="preserve"> </w:t>
            </w:r>
          </w:p>
        </w:tc>
      </w:tr>
      <w:tr>
        <w:trPr/>
        <w:tc>
          <w:tcPr>
            <w:tcW w:w="9364" w:type="dxa"/>
            <w:tcBorders/>
            <w:vAlign w:val="center"/>
          </w:tcPr>
          <w:p>
            <w:pPr>
              <w:pStyle w:val="TableContents"/>
              <w:bidi w:val="0"/>
              <w:spacing w:before="0" w:after="283"/>
              <w:jc w:val="both"/>
              <w:rPr/>
            </w:pPr>
            <w:r>
              <w:rPr/>
              <w:t> </w:t>
            </w:r>
          </w:p>
        </w:tc>
        <w:tc>
          <w:tcPr>
            <w:tcW w:w="146" w:type="dxa"/>
            <w:tcBorders/>
            <w:vAlign w:val="center"/>
          </w:tcPr>
          <w:p>
            <w:pPr>
              <w:pStyle w:val="TableContents"/>
              <w:bidi w:val="0"/>
              <w:spacing w:before="0" w:after="283"/>
              <w:jc w:val="both"/>
              <w:rPr/>
            </w:pPr>
            <w:r>
              <w:rPr/>
              <w:t> </w:t>
            </w:r>
          </w:p>
        </w:tc>
        <w:tc>
          <w:tcPr>
            <w:tcW w:w="695" w:type="dxa"/>
            <w:tcBorders/>
            <w:vAlign w:val="center"/>
          </w:tcPr>
          <w:p>
            <w:pPr>
              <w:pStyle w:val="TableContents"/>
              <w:bidi w:val="0"/>
              <w:spacing w:before="0" w:after="283"/>
              <w:jc w:val="both"/>
              <w:rPr/>
            </w:pPr>
            <w:r>
              <w:rPr/>
              <w:t> </w:t>
            </w:r>
          </w:p>
        </w:tc>
      </w:tr>
      <w:tr>
        <w:trPr/>
        <w:tc>
          <w:tcPr>
            <w:tcW w:w="9364" w:type="dxa"/>
            <w:tcBorders/>
            <w:shd w:fill="CCEEFF" w:val="clear"/>
            <w:vAlign w:val="center"/>
          </w:tcPr>
          <w:p>
            <w:pPr>
              <w:pStyle w:val="TableContents"/>
              <w:bidi w:val="0"/>
              <w:spacing w:before="0" w:after="283"/>
              <w:jc w:val="both"/>
              <w:rPr/>
            </w:pPr>
            <w:hyperlink w:anchor="notes">
              <w:r>
                <w:rPr>
                  <w:rStyle w:val="InternetLink"/>
                  <w:color w:val="0000EE"/>
                  <w:u w:val="single"/>
                </w:rPr>
                <w:t>Notes to Consolidated Financial Statements</w:t>
              </w:r>
            </w:hyperlink>
            <w:r>
              <w:rPr/>
              <w:t xml:space="preserve"> </w:t>
            </w:r>
          </w:p>
        </w:tc>
        <w:tc>
          <w:tcPr>
            <w:tcW w:w="146" w:type="dxa"/>
            <w:tcBorders/>
            <w:shd w:fill="CCEEFF" w:val="clear"/>
            <w:vAlign w:val="center"/>
          </w:tcPr>
          <w:p>
            <w:pPr>
              <w:pStyle w:val="TableContents"/>
              <w:bidi w:val="0"/>
              <w:spacing w:before="0" w:after="283"/>
              <w:jc w:val="both"/>
              <w:rPr/>
            </w:pPr>
            <w:r>
              <w:rPr/>
              <w:t> </w:t>
            </w:r>
          </w:p>
        </w:tc>
        <w:tc>
          <w:tcPr>
            <w:tcW w:w="695" w:type="dxa"/>
            <w:tcBorders/>
            <w:shd w:fill="CCEEFF" w:val="clear"/>
            <w:vAlign w:val="center"/>
          </w:tcPr>
          <w:p>
            <w:pPr>
              <w:pStyle w:val="TableContents"/>
              <w:bidi w:val="0"/>
              <w:spacing w:before="0" w:after="283"/>
              <w:jc w:val="both"/>
              <w:rPr/>
            </w:pPr>
            <w:hyperlink w:anchor="notes">
              <w:r>
                <w:rPr>
                  <w:rStyle w:val="InternetLink"/>
                  <w:color w:val="000080"/>
                  <w:u w:val="single"/>
                </w:rPr>
                <w:t>F</w:t>
              </w:r>
            </w:hyperlink>
            <w:hyperlink w:anchor="notes">
              <w:r>
                <w:rPr>
                  <w:rStyle w:val="InternetLink"/>
                  <w:color w:val="000080"/>
                  <w:u w:val="single"/>
                </w:rPr>
                <w:t>-</w:t>
              </w:r>
            </w:hyperlink>
            <w:hyperlink w:anchor="notes">
              <w:r>
                <w:rPr>
                  <w:rStyle w:val="InternetLink"/>
                  <w:color w:val="000080"/>
                  <w:u w:val="single"/>
                </w:rPr>
                <w:t>7</w:t>
              </w:r>
            </w:hyperlink>
            <w:r>
              <w:rPr/>
              <w:t xml:space="preserve"> </w:t>
            </w:r>
          </w:p>
        </w:tc>
      </w:tr>
    </w:tbl>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bookmarkStart w:id="28" w:name="pcaob"/>
      <w:bookmarkEnd w:id="28"/>
      <w:r>
        <w:rPr>
          <w:rFonts w:ascii="Times New Roman" w:hAnsi="Times New Roman"/>
          <w:b/>
          <w:sz w:val="20"/>
        </w:rPr>
        <w:t>REPORT OF INDEPENDENT REGISTERED PUBLIC ACCOUNTING FIRM</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To the Board of Directors and Stockholders of  Wrap Technologies Inc.</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b/>
          <w:sz w:val="20"/>
        </w:rPr>
        <w:t>Opinion on the Consolidated Financial Statements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We have audited the accompanying consolidated balance sheets of Wrap Technologies, Inc. (the “Company”) as of December 31, 2025 and 2024, and the related consolidated statements of operations and comprehensive loss, stockholders’ equity, and cash flows for each of the two years in the period ended December 31, 2025, including the related notes (collectively referred to as the “consolidated financial statements”). In our opinion, the consolidated financial statements present fairly, in all material respects, the consolidated financial position of the Company as of December 31, 2025 and 2024, and the consolidated results of its operations and its consolidated cash flows for each of the two years in the period ended December 31, 2025, in conformity with accounting principles generally accepted in the United States of America.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Basis for Opinion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These consolidated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0" w:after="0"/>
        <w:jc w:val="both"/>
        <w:rPr/>
      </w:pPr>
      <w:r>
        <w:rPr/>
        <w:t xml:space="preserve">  </w:t>
      </w:r>
    </w:p>
    <w:p>
      <w:pPr>
        <w:pStyle w:val="TextBody"/>
        <w:bidi w:val="0"/>
        <w:spacing w:before="0" w:after="0"/>
        <w:jc w:val="both"/>
        <w:rPr/>
      </w:pPr>
      <w:r>
        <w:rPr/>
        <w:t xml:space="preserve">  </w:t>
      </w:r>
    </w:p>
    <w:tbl>
      <w:tblPr>
        <w:tblW w:w="4590" w:type="dxa"/>
        <w:jc w:val="left"/>
        <w:tblInd w:w="0" w:type="dxa"/>
        <w:tblLayout w:type="fixed"/>
        <w:tblCellMar>
          <w:top w:w="28" w:type="dxa"/>
          <w:left w:w="28" w:type="dxa"/>
          <w:bottom w:w="28" w:type="dxa"/>
          <w:right w:w="28" w:type="dxa"/>
        </w:tblCellMar>
      </w:tblPr>
      <w:tblGrid>
        <w:gridCol w:w="3898"/>
        <w:gridCol w:w="692"/>
      </w:tblGrid>
      <w:tr>
        <w:trPr/>
        <w:tc>
          <w:tcPr>
            <w:tcW w:w="3898" w:type="dxa"/>
            <w:tcBorders/>
            <w:vAlign w:val="center"/>
          </w:tcPr>
          <w:p>
            <w:pPr>
              <w:pStyle w:val="TableContents"/>
              <w:bidi w:val="0"/>
              <w:spacing w:before="0" w:after="283"/>
              <w:jc w:val="left"/>
              <w:rPr/>
            </w:pPr>
            <w:r>
              <w:rPr/>
              <w:t> </w:t>
            </w:r>
          </w:p>
        </w:tc>
        <w:tc>
          <w:tcPr>
            <w:tcW w:w="692" w:type="dxa"/>
            <w:tcBorders/>
            <w:vAlign w:val="center"/>
          </w:tcPr>
          <w:p>
            <w:pPr>
              <w:pStyle w:val="TableContents"/>
              <w:bidi w:val="0"/>
              <w:spacing w:before="0" w:after="283"/>
              <w:jc w:val="left"/>
              <w:rPr/>
            </w:pPr>
            <w:r>
              <w:rPr/>
              <w:t> </w:t>
            </w:r>
          </w:p>
        </w:tc>
      </w:tr>
      <w:tr>
        <w:trPr/>
        <w:tc>
          <w:tcPr>
            <w:tcW w:w="4590" w:type="dxa"/>
            <w:gridSpan w:val="2"/>
            <w:tcBorders/>
            <w:tcMar>
              <w:top w:w="0" w:type="dxa"/>
              <w:left w:w="0" w:type="dxa"/>
              <w:bottom w:w="0" w:type="dxa"/>
              <w:right w:w="0" w:type="dxa"/>
            </w:tcMar>
            <w:vAlign w:val="center"/>
          </w:tcPr>
          <w:p>
            <w:pPr>
              <w:pStyle w:val="TableContents"/>
              <w:bidi w:val="0"/>
              <w:spacing w:before="0" w:after="0"/>
              <w:jc w:val="both"/>
              <w:rPr/>
            </w:pPr>
            <w:r>
              <w:rPr>
                <w:color w:val="000000"/>
                <w:sz w:val="20"/>
              </w:rPr>
              <w:t>/s/ HTL International, LLC</w:t>
            </w:r>
            <w:r>
              <w:rPr/>
              <w:t xml:space="preserve"> </w:t>
            </w:r>
          </w:p>
        </w:tc>
      </w:tr>
      <w:tr>
        <w:trPr/>
        <w:tc>
          <w:tcPr>
            <w:tcW w:w="3898" w:type="dxa"/>
            <w:tcBorders/>
            <w:tcMar>
              <w:top w:w="0" w:type="dxa"/>
              <w:left w:w="0" w:type="dxa"/>
              <w:bottom w:w="0" w:type="dxa"/>
              <w:right w:w="0" w:type="dxa"/>
            </w:tcMar>
            <w:vAlign w:val="center"/>
          </w:tcPr>
          <w:p>
            <w:pPr>
              <w:pStyle w:val="TableContents"/>
              <w:bidi w:val="0"/>
              <w:spacing w:before="0" w:after="0"/>
              <w:jc w:val="both"/>
              <w:rPr/>
            </w:pPr>
            <w:r>
              <w:rPr>
                <w:color w:val="000000"/>
              </w:rPr>
              <w:t> </w:t>
            </w:r>
            <w:r>
              <w:rPr/>
              <w:t xml:space="preserve"> </w:t>
            </w:r>
          </w:p>
        </w:tc>
        <w:tc>
          <w:tcPr>
            <w:tcW w:w="692" w:type="dxa"/>
            <w:tcBorders/>
            <w:tcMar>
              <w:top w:w="0" w:type="dxa"/>
              <w:left w:w="0" w:type="dxa"/>
              <w:bottom w:w="0" w:type="dxa"/>
              <w:right w:w="0" w:type="dxa"/>
            </w:tcMar>
            <w:vAlign w:val="center"/>
          </w:tcPr>
          <w:p>
            <w:pPr>
              <w:pStyle w:val="TableContents"/>
              <w:bidi w:val="0"/>
              <w:spacing w:before="0" w:after="0"/>
              <w:jc w:val="both"/>
              <w:rPr/>
            </w:pPr>
            <w:r>
              <w:rPr>
                <w:color w:val="000000"/>
              </w:rPr>
              <w:t> </w:t>
            </w:r>
            <w:r>
              <w:rPr/>
              <w:t xml:space="preserve"> </w:t>
            </w:r>
          </w:p>
        </w:tc>
      </w:tr>
      <w:tr>
        <w:trPr/>
        <w:tc>
          <w:tcPr>
            <w:tcW w:w="4590" w:type="dxa"/>
            <w:gridSpan w:val="2"/>
            <w:tcBorders/>
            <w:tcMar>
              <w:top w:w="0" w:type="dxa"/>
              <w:left w:w="0" w:type="dxa"/>
              <w:bottom w:w="0" w:type="dxa"/>
              <w:right w:w="0" w:type="dxa"/>
            </w:tcMar>
            <w:vAlign w:val="center"/>
          </w:tcPr>
          <w:p>
            <w:pPr>
              <w:pStyle w:val="TableContents"/>
              <w:bidi w:val="0"/>
              <w:spacing w:before="0" w:after="0"/>
              <w:jc w:val="both"/>
              <w:rPr/>
            </w:pPr>
            <w:r>
              <w:rPr>
                <w:color w:val="000000"/>
                <w:sz w:val="20"/>
              </w:rPr>
              <w:t>We have served as the Company’s auditor since 2024.</w:t>
            </w:r>
            <w:r>
              <w:rPr/>
              <w:t xml:space="preserve"> </w:t>
            </w:r>
          </w:p>
        </w:tc>
      </w:tr>
      <w:tr>
        <w:trPr/>
        <w:tc>
          <w:tcPr>
            <w:tcW w:w="3898" w:type="dxa"/>
            <w:tcBorders/>
            <w:tcMar>
              <w:top w:w="0" w:type="dxa"/>
              <w:left w:w="0" w:type="dxa"/>
              <w:bottom w:w="0" w:type="dxa"/>
              <w:right w:w="0" w:type="dxa"/>
            </w:tcMar>
            <w:vAlign w:val="center"/>
          </w:tcPr>
          <w:p>
            <w:pPr>
              <w:pStyle w:val="TableContents"/>
              <w:bidi w:val="0"/>
              <w:spacing w:before="0" w:after="0"/>
              <w:jc w:val="both"/>
              <w:rPr/>
            </w:pPr>
            <w:r>
              <w:rPr>
                <w:color w:val="000000"/>
              </w:rPr>
              <w:t> </w:t>
            </w:r>
            <w:r>
              <w:rPr/>
              <w:t xml:space="preserve"> </w:t>
            </w:r>
          </w:p>
        </w:tc>
        <w:tc>
          <w:tcPr>
            <w:tcW w:w="692" w:type="dxa"/>
            <w:tcBorders/>
            <w:tcMar>
              <w:top w:w="0" w:type="dxa"/>
              <w:left w:w="0" w:type="dxa"/>
              <w:bottom w:w="0" w:type="dxa"/>
              <w:right w:w="0" w:type="dxa"/>
            </w:tcMar>
            <w:vAlign w:val="center"/>
          </w:tcPr>
          <w:p>
            <w:pPr>
              <w:pStyle w:val="TableContents"/>
              <w:bidi w:val="0"/>
              <w:spacing w:before="0" w:after="0"/>
              <w:jc w:val="both"/>
              <w:rPr/>
            </w:pPr>
            <w:r>
              <w:rPr>
                <w:color w:val="000000"/>
              </w:rPr>
              <w:t> </w:t>
            </w:r>
            <w:r>
              <w:rPr/>
              <w:t xml:space="preserve"> </w:t>
            </w:r>
          </w:p>
        </w:tc>
      </w:tr>
      <w:tr>
        <w:trPr/>
        <w:tc>
          <w:tcPr>
            <w:tcW w:w="4590" w:type="dxa"/>
            <w:gridSpan w:val="2"/>
            <w:tcBorders/>
            <w:tcMar>
              <w:top w:w="0" w:type="dxa"/>
              <w:left w:w="0" w:type="dxa"/>
              <w:bottom w:w="0" w:type="dxa"/>
              <w:right w:w="0" w:type="dxa"/>
            </w:tcMar>
            <w:vAlign w:val="center"/>
          </w:tcPr>
          <w:p>
            <w:pPr>
              <w:pStyle w:val="TableContents"/>
              <w:bidi w:val="0"/>
              <w:spacing w:before="0" w:after="0"/>
              <w:jc w:val="both"/>
              <w:rPr/>
            </w:pPr>
            <w:r>
              <w:rPr>
                <w:color w:val="000000"/>
                <w:sz w:val="20"/>
              </w:rPr>
              <w:t>Houston, TX</w:t>
            </w:r>
            <w:r>
              <w:rPr/>
              <w:t xml:space="preserve"> </w:t>
            </w:r>
          </w:p>
        </w:tc>
      </w:tr>
      <w:tr>
        <w:trPr/>
        <w:tc>
          <w:tcPr>
            <w:tcW w:w="3898" w:type="dxa"/>
            <w:tcBorders/>
            <w:tcMar>
              <w:top w:w="0" w:type="dxa"/>
              <w:left w:w="0" w:type="dxa"/>
              <w:bottom w:w="0" w:type="dxa"/>
              <w:right w:w="0" w:type="dxa"/>
            </w:tcMar>
            <w:vAlign w:val="center"/>
          </w:tcPr>
          <w:p>
            <w:pPr>
              <w:pStyle w:val="TableContents"/>
              <w:bidi w:val="0"/>
              <w:spacing w:before="0" w:after="0"/>
              <w:jc w:val="both"/>
              <w:rPr/>
            </w:pPr>
            <w:r>
              <w:rPr>
                <w:color w:val="000000"/>
              </w:rPr>
              <w:t> </w:t>
            </w:r>
            <w:r>
              <w:rPr/>
              <w:t xml:space="preserve"> </w:t>
            </w:r>
          </w:p>
        </w:tc>
        <w:tc>
          <w:tcPr>
            <w:tcW w:w="692" w:type="dxa"/>
            <w:tcBorders/>
            <w:tcMar>
              <w:top w:w="0" w:type="dxa"/>
              <w:left w:w="0" w:type="dxa"/>
              <w:bottom w:w="0" w:type="dxa"/>
              <w:right w:w="0" w:type="dxa"/>
            </w:tcMar>
            <w:vAlign w:val="center"/>
          </w:tcPr>
          <w:p>
            <w:pPr>
              <w:pStyle w:val="TableContents"/>
              <w:bidi w:val="0"/>
              <w:spacing w:before="0" w:after="0"/>
              <w:jc w:val="both"/>
              <w:rPr/>
            </w:pPr>
            <w:r>
              <w:rPr>
                <w:color w:val="000000"/>
              </w:rPr>
              <w:t> </w:t>
            </w:r>
            <w:r>
              <w:rPr/>
              <w:t xml:space="preserve"> </w:t>
            </w:r>
          </w:p>
        </w:tc>
      </w:tr>
      <w:tr>
        <w:trPr/>
        <w:tc>
          <w:tcPr>
            <w:tcW w:w="3898" w:type="dxa"/>
            <w:tcBorders/>
            <w:tcMar>
              <w:top w:w="0" w:type="dxa"/>
              <w:left w:w="0" w:type="dxa"/>
              <w:bottom w:w="0" w:type="dxa"/>
              <w:right w:w="0" w:type="dxa"/>
            </w:tcMar>
            <w:vAlign w:val="center"/>
          </w:tcPr>
          <w:p>
            <w:pPr>
              <w:pStyle w:val="TableContents"/>
              <w:bidi w:val="0"/>
              <w:spacing w:before="0" w:after="0"/>
              <w:jc w:val="both"/>
              <w:rPr>
                <w:color w:val="000000"/>
                <w:sz w:val="20"/>
              </w:rPr>
            </w:pPr>
            <w:r>
              <w:rPr>
                <w:color w:val="000000"/>
                <w:sz w:val="20"/>
              </w:rPr>
              <w:t>March 26, 2026</w:t>
            </w:r>
          </w:p>
        </w:tc>
        <w:tc>
          <w:tcPr>
            <w:tcW w:w="692" w:type="dxa"/>
            <w:tcBorders/>
            <w:tcMar>
              <w:top w:w="0" w:type="dxa"/>
              <w:left w:w="0" w:type="dxa"/>
              <w:bottom w:w="0" w:type="dxa"/>
              <w:right w:w="0" w:type="dxa"/>
            </w:tcMar>
            <w:vAlign w:val="center"/>
          </w:tcPr>
          <w:p>
            <w:pPr>
              <w:pStyle w:val="TableContents"/>
              <w:bidi w:val="0"/>
              <w:spacing w:before="0" w:after="0"/>
              <w:jc w:val="both"/>
              <w:rPr/>
            </w:pPr>
            <w:r>
              <w:rPr>
                <w:color w:val="000000"/>
              </w:rPr>
              <w:t> </w:t>
            </w:r>
            <w:r>
              <w:rPr/>
              <w:t xml:space="preserve"> </w:t>
            </w:r>
          </w:p>
        </w:tc>
      </w:tr>
    </w:tbl>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F-2</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center"/>
        <w:rPr>
          <w:rFonts w:ascii="Times New Roman" w:hAnsi="Times New Roman"/>
          <w:sz w:val="24"/>
        </w:rPr>
      </w:pPr>
      <w:r>
        <w:rPr>
          <w:rFonts w:ascii="Times New Roman" w:hAnsi="Times New Roman"/>
          <w:b/>
          <w:sz w:val="20"/>
        </w:rPr>
        <w:t>Wrap Technologies, Inc.</w:t>
      </w:r>
      <w:r>
        <w:rPr>
          <w:rFonts w:ascii="Times New Roman" w:hAnsi="Times New Roman"/>
          <w:sz w:val="24"/>
        </w:rPr>
        <w:t xml:space="preserve"> </w:t>
      </w:r>
    </w:p>
    <w:p>
      <w:pPr>
        <w:pStyle w:val="TextBody"/>
        <w:bidi w:val="0"/>
        <w:spacing w:before="0" w:after="0"/>
        <w:jc w:val="center"/>
        <w:rPr>
          <w:rFonts w:ascii="Times New Roman" w:hAnsi="Times New Roman"/>
          <w:sz w:val="24"/>
        </w:rPr>
      </w:pPr>
      <w:bookmarkStart w:id="29" w:name="balance_sheets"/>
      <w:bookmarkEnd w:id="29"/>
      <w:r>
        <w:rPr>
          <w:rFonts w:ascii="Times New Roman" w:hAnsi="Times New Roman"/>
          <w:b/>
          <w:sz w:val="20"/>
        </w:rPr>
        <w:t>Consolidated Balance Sheets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sz w:val="20"/>
        </w:rPr>
        <w:t>(in thousands, except par value and share amounts)</w:t>
      </w:r>
      <w:r>
        <w:rPr>
          <w:rFonts w:ascii="Times New Roman" w:hAnsi="Times New Roman"/>
          <w:sz w:val="24"/>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6596"/>
        <w:gridCol w:w="90"/>
        <w:gridCol w:w="170"/>
        <w:gridCol w:w="1336"/>
        <w:gridCol w:w="185"/>
        <w:gridCol w:w="90"/>
        <w:gridCol w:w="170"/>
        <w:gridCol w:w="1336"/>
        <w:gridCol w:w="232"/>
      </w:tblGrid>
      <w:tr>
        <w:trPr/>
        <w:tc>
          <w:tcPr>
            <w:tcW w:w="6596"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659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36" w:type="dxa"/>
            <w:tcBorders>
              <w:bottom w:val="single" w:sz="2" w:space="0" w:color="000000"/>
            </w:tcBorders>
            <w:tcMar>
              <w:bottom w:w="28" w:type="dxa"/>
            </w:tcMar>
            <w:vAlign w:val="center"/>
          </w:tcPr>
          <w:p>
            <w:pPr>
              <w:pStyle w:val="TableContents"/>
              <w:bidi w:val="0"/>
              <w:spacing w:before="0" w:after="283"/>
              <w:jc w:val="center"/>
              <w:rPr>
                <w:b/>
              </w:rPr>
            </w:pPr>
            <w:r>
              <w:rPr>
                <w:b/>
              </w:rPr>
              <w:t>December 31, 2025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36" w:type="dxa"/>
            <w:tcBorders>
              <w:bottom w:val="single" w:sz="2" w:space="0" w:color="000000"/>
            </w:tcBorders>
            <w:tcMar>
              <w:bottom w:w="28" w:type="dxa"/>
            </w:tcMar>
            <w:vAlign w:val="center"/>
          </w:tcPr>
          <w:p>
            <w:pPr>
              <w:pStyle w:val="TableContents"/>
              <w:bidi w:val="0"/>
              <w:spacing w:before="0" w:after="283"/>
              <w:jc w:val="center"/>
              <w:rPr>
                <w:b/>
              </w:rPr>
            </w:pPr>
            <w:r>
              <w:rPr>
                <w:b/>
              </w:rPr>
              <w:t>December 31, 2024</w:t>
            </w:r>
          </w:p>
        </w:tc>
        <w:tc>
          <w:tcPr>
            <w:tcW w:w="23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6596"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3,468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336" w:type="dxa"/>
            <w:tcBorders/>
            <w:shd w:fill="CCEEFF" w:val="clear"/>
            <w:vAlign w:val="center"/>
          </w:tcPr>
          <w:p>
            <w:pPr>
              <w:pStyle w:val="TableContents"/>
              <w:bidi w:val="0"/>
              <w:spacing w:before="0" w:after="283"/>
              <w:jc w:val="right"/>
              <w:rPr/>
            </w:pPr>
            <w:r>
              <w:rPr/>
              <w:t>3,610</w:t>
            </w:r>
          </w:p>
        </w:tc>
        <w:tc>
          <w:tcPr>
            <w:tcW w:w="232" w:type="dxa"/>
            <w:tcBorders/>
            <w:shd w:fill="CCEEFF" w:val="clear"/>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pPr>
            <w:r>
              <w:rPr/>
              <w:t>Accounts receivable and contract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2,787</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513</w:t>
            </w:r>
          </w:p>
        </w:tc>
        <w:tc>
          <w:tcPr>
            <w:tcW w:w="232" w:type="dxa"/>
            <w:tcBorders/>
            <w:vAlign w:val="center"/>
          </w:tcPr>
          <w:p>
            <w:pPr>
              <w:pStyle w:val="TableContents"/>
              <w:bidi w:val="0"/>
              <w:spacing w:before="0" w:after="283"/>
              <w:jc w:val="left"/>
              <w:rPr/>
            </w:pPr>
            <w:r>
              <w:rPr/>
              <w:t> </w:t>
            </w:r>
          </w:p>
        </w:tc>
      </w:tr>
      <w:tr>
        <w:trPr/>
        <w:tc>
          <w:tcPr>
            <w:tcW w:w="6596" w:type="dxa"/>
            <w:tcBorders/>
            <w:shd w:fill="CCEEFF" w:val="clear"/>
            <w:vAlign w:val="center"/>
          </w:tcPr>
          <w:p>
            <w:pPr>
              <w:pStyle w:val="TableContents"/>
              <w:bidi w:val="0"/>
              <w:spacing w:before="0" w:after="283"/>
              <w:jc w:val="left"/>
              <w:rPr/>
            </w:pPr>
            <w:r>
              <w:rPr/>
              <w:t>Inventories,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4,971</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6,170</w:t>
            </w:r>
          </w:p>
        </w:tc>
        <w:tc>
          <w:tcPr>
            <w:tcW w:w="232" w:type="dxa"/>
            <w:tcBorders/>
            <w:shd w:fill="CCEEFF" w:val="clear"/>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pPr>
            <w:r>
              <w:rPr/>
              <w:t>Prepaid expenses and other current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bottom w:val="single" w:sz="2" w:space="0" w:color="000000"/>
            </w:tcBorders>
            <w:tcMar>
              <w:bottom w:w="28" w:type="dxa"/>
            </w:tcMar>
            <w:vAlign w:val="center"/>
          </w:tcPr>
          <w:p>
            <w:pPr>
              <w:pStyle w:val="TableContents"/>
              <w:bidi w:val="0"/>
              <w:spacing w:before="0" w:after="283"/>
              <w:jc w:val="right"/>
              <w:rPr/>
            </w:pPr>
            <w:r>
              <w:rPr/>
              <w:t>194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bottom w:val="single" w:sz="2" w:space="0" w:color="000000"/>
            </w:tcBorders>
            <w:tcMar>
              <w:bottom w:w="28" w:type="dxa"/>
            </w:tcMar>
            <w:vAlign w:val="center"/>
          </w:tcPr>
          <w:p>
            <w:pPr>
              <w:pStyle w:val="TableContents"/>
              <w:bidi w:val="0"/>
              <w:spacing w:before="0" w:after="283"/>
              <w:jc w:val="right"/>
              <w:rPr/>
            </w:pPr>
            <w:r>
              <w:rPr/>
              <w:t>178</w:t>
            </w:r>
          </w:p>
        </w:tc>
        <w:tc>
          <w:tcPr>
            <w:tcW w:w="232" w:type="dxa"/>
            <w:tcBorders/>
            <w:vAlign w:val="center"/>
          </w:tcPr>
          <w:p>
            <w:pPr>
              <w:pStyle w:val="TableContents"/>
              <w:bidi w:val="0"/>
              <w:spacing w:before="0" w:after="283"/>
              <w:jc w:val="left"/>
              <w:rPr/>
            </w:pPr>
            <w:r>
              <w:rPr/>
              <w:t> </w:t>
            </w:r>
          </w:p>
        </w:tc>
      </w:tr>
      <w:tr>
        <w:trPr/>
        <w:tc>
          <w:tcPr>
            <w:tcW w:w="6596" w:type="dxa"/>
            <w:tcBorders/>
            <w:shd w:fill="CCEEFF" w:val="clear"/>
            <w:vAlign w:val="center"/>
          </w:tcPr>
          <w:p>
            <w:pPr>
              <w:pStyle w:val="TableContents"/>
              <w:bidi w:val="0"/>
              <w:spacing w:before="0" w:after="283"/>
              <w:jc w:val="left"/>
              <w:rPr/>
            </w:pPr>
            <w:r>
              <w:rPr/>
              <w:t>Total current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11,420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10,471</w:t>
            </w:r>
          </w:p>
        </w:tc>
        <w:tc>
          <w:tcPr>
            <w:tcW w:w="232" w:type="dxa"/>
            <w:tcBorders/>
            <w:shd w:fill="CCEEFF" w:val="clear"/>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pPr>
            <w:r>
              <w:rPr/>
              <w:t>Property and equipment,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123</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146</w:t>
            </w:r>
          </w:p>
        </w:tc>
        <w:tc>
          <w:tcPr>
            <w:tcW w:w="232" w:type="dxa"/>
            <w:tcBorders/>
            <w:vAlign w:val="center"/>
          </w:tcPr>
          <w:p>
            <w:pPr>
              <w:pStyle w:val="TableContents"/>
              <w:bidi w:val="0"/>
              <w:spacing w:before="0" w:after="283"/>
              <w:jc w:val="left"/>
              <w:rPr/>
            </w:pPr>
            <w:r>
              <w:rPr/>
              <w:t> </w:t>
            </w:r>
          </w:p>
        </w:tc>
      </w:tr>
      <w:tr>
        <w:trPr/>
        <w:tc>
          <w:tcPr>
            <w:tcW w:w="6596" w:type="dxa"/>
            <w:tcBorders/>
            <w:shd w:fill="CCEEFF" w:val="clear"/>
            <w:vAlign w:val="center"/>
          </w:tcPr>
          <w:p>
            <w:pPr>
              <w:pStyle w:val="TableContents"/>
              <w:bidi w:val="0"/>
              <w:spacing w:before="0" w:after="283"/>
              <w:jc w:val="left"/>
              <w:rPr/>
            </w:pPr>
            <w:r>
              <w:rPr/>
              <w:t>Operating lease right-of-use asset,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2,175</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1,964</w:t>
            </w:r>
          </w:p>
        </w:tc>
        <w:tc>
          <w:tcPr>
            <w:tcW w:w="232" w:type="dxa"/>
            <w:tcBorders/>
            <w:shd w:fill="CCEEFF" w:val="clear"/>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pPr>
            <w:r>
              <w:rPr/>
              <w:t>Intangible assets, net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1,572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2,354</w:t>
            </w:r>
          </w:p>
        </w:tc>
        <w:tc>
          <w:tcPr>
            <w:tcW w:w="232" w:type="dxa"/>
            <w:tcBorders/>
            <w:vAlign w:val="center"/>
          </w:tcPr>
          <w:p>
            <w:pPr>
              <w:pStyle w:val="TableContents"/>
              <w:bidi w:val="0"/>
              <w:spacing w:before="0" w:after="283"/>
              <w:jc w:val="left"/>
              <w:rPr/>
            </w:pPr>
            <w:r>
              <w:rPr/>
              <w:t> </w:t>
            </w:r>
          </w:p>
        </w:tc>
      </w:tr>
      <w:tr>
        <w:trPr/>
        <w:tc>
          <w:tcPr>
            <w:tcW w:w="6596" w:type="dxa"/>
            <w:tcBorders/>
            <w:shd w:fill="CCEEFF" w:val="clear"/>
            <w:vAlign w:val="center"/>
          </w:tcPr>
          <w:p>
            <w:pPr>
              <w:pStyle w:val="TableContents"/>
              <w:bidi w:val="0"/>
              <w:spacing w:before="0" w:after="283"/>
              <w:jc w:val="left"/>
              <w:rPr/>
            </w:pPr>
            <w:r>
              <w:rPr/>
              <w:t>Other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bottom w:val="single" w:sz="2" w:space="0" w:color="000000"/>
            </w:tcBorders>
            <w:shd w:fill="CCEEFF" w:val="clear"/>
            <w:tcMar>
              <w:bottom w:w="28" w:type="dxa"/>
            </w:tcMar>
            <w:vAlign w:val="center"/>
          </w:tcPr>
          <w:p>
            <w:pPr>
              <w:pStyle w:val="TableContents"/>
              <w:bidi w:val="0"/>
              <w:spacing w:before="0" w:after="283"/>
              <w:jc w:val="right"/>
              <w:rPr/>
            </w:pPr>
            <w:r>
              <w:rPr/>
              <w:t>128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bottom w:val="single" w:sz="2" w:space="0" w:color="000000"/>
            </w:tcBorders>
            <w:shd w:fill="CCEEFF" w:val="clear"/>
            <w:tcMar>
              <w:bottom w:w="28" w:type="dxa"/>
            </w:tcMar>
            <w:vAlign w:val="center"/>
          </w:tcPr>
          <w:p>
            <w:pPr>
              <w:pStyle w:val="TableContents"/>
              <w:bidi w:val="0"/>
              <w:spacing w:before="0" w:after="283"/>
              <w:jc w:val="right"/>
              <w:rPr/>
            </w:pPr>
            <w:r>
              <w:rPr/>
              <w:t>186</w:t>
            </w:r>
          </w:p>
        </w:tc>
        <w:tc>
          <w:tcPr>
            <w:tcW w:w="232" w:type="dxa"/>
            <w:tcBorders/>
            <w:shd w:fill="CCEEFF" w:val="clear"/>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pPr>
            <w:r>
              <w:rPr/>
              <w:t>Total assets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bottom w:val="double" w:sz="6" w:space="0" w:color="000000"/>
            </w:tcBorders>
            <w:tcMar>
              <w:bottom w:w="28" w:type="dxa"/>
            </w:tcMar>
            <w:vAlign w:val="center"/>
          </w:tcPr>
          <w:p>
            <w:pPr>
              <w:pStyle w:val="TableContents"/>
              <w:bidi w:val="0"/>
              <w:spacing w:before="0" w:after="283"/>
              <w:jc w:val="right"/>
              <w:rPr/>
            </w:pPr>
            <w:r>
              <w:rPr/>
              <w:t>15,418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bottom w:val="double" w:sz="6" w:space="0" w:color="000000"/>
            </w:tcBorders>
            <w:tcMar>
              <w:bottom w:w="28" w:type="dxa"/>
            </w:tcMar>
            <w:vAlign w:val="center"/>
          </w:tcPr>
          <w:p>
            <w:pPr>
              <w:pStyle w:val="TableContents"/>
              <w:bidi w:val="0"/>
              <w:spacing w:before="0" w:after="283"/>
              <w:jc w:val="right"/>
              <w:rPr/>
            </w:pPr>
            <w:r>
              <w:rPr/>
              <w:t>15,121</w:t>
            </w:r>
          </w:p>
        </w:tc>
        <w:tc>
          <w:tcPr>
            <w:tcW w:w="232" w:type="dxa"/>
            <w:tcBorders/>
            <w:vAlign w:val="center"/>
          </w:tcPr>
          <w:p>
            <w:pPr>
              <w:pStyle w:val="TableContents"/>
              <w:bidi w:val="0"/>
              <w:spacing w:before="0" w:after="283"/>
              <w:jc w:val="left"/>
              <w:rPr/>
            </w:pPr>
            <w:r>
              <w:rPr/>
              <w:t> </w:t>
            </w:r>
          </w:p>
        </w:tc>
      </w:tr>
      <w:tr>
        <w:trPr/>
        <w:tc>
          <w:tcPr>
            <w:tcW w:w="659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b/>
              </w:rPr>
            </w:pPr>
            <w:r>
              <w:rPr>
                <w:b/>
              </w:rPr>
              <w:t>LIABILITIES AND STOCKHOLDERS'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6596" w:type="dxa"/>
            <w:tcBorders/>
            <w:shd w:fill="CCEEFF" w:val="clear"/>
            <w:vAlign w:val="center"/>
          </w:tcPr>
          <w:p>
            <w:pPr>
              <w:pStyle w:val="TableContents"/>
              <w:bidi w:val="0"/>
              <w:spacing w:before="0" w:after="283"/>
              <w:jc w:val="left"/>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right"/>
              <w:rPr/>
            </w:pPr>
            <w:r>
              <w:rPr/>
              <w:t>620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336" w:type="dxa"/>
            <w:tcBorders/>
            <w:vAlign w:val="center"/>
          </w:tcPr>
          <w:p>
            <w:pPr>
              <w:pStyle w:val="TableContents"/>
              <w:bidi w:val="0"/>
              <w:spacing w:before="0" w:after="283"/>
              <w:jc w:val="right"/>
              <w:rPr/>
            </w:pPr>
            <w:r>
              <w:rPr/>
              <w:t>609</w:t>
            </w:r>
          </w:p>
        </w:tc>
        <w:tc>
          <w:tcPr>
            <w:tcW w:w="232" w:type="dxa"/>
            <w:tcBorders/>
            <w:vAlign w:val="center"/>
          </w:tcPr>
          <w:p>
            <w:pPr>
              <w:pStyle w:val="TableContents"/>
              <w:bidi w:val="0"/>
              <w:spacing w:before="0" w:after="283"/>
              <w:jc w:val="left"/>
              <w:rPr/>
            </w:pPr>
            <w:r>
              <w:rPr/>
              <w:t> </w:t>
            </w:r>
          </w:p>
        </w:tc>
      </w:tr>
      <w:tr>
        <w:trPr/>
        <w:tc>
          <w:tcPr>
            <w:tcW w:w="6596" w:type="dxa"/>
            <w:tcBorders/>
            <w:shd w:fill="CCEEFF" w:val="clear"/>
            <w:vAlign w:val="center"/>
          </w:tcPr>
          <w:p>
            <w:pPr>
              <w:pStyle w:val="TableContents"/>
              <w:bidi w:val="0"/>
              <w:spacing w:before="0" w:after="283"/>
              <w:jc w:val="left"/>
              <w:rPr/>
            </w:pPr>
            <w:r>
              <w:rPr/>
              <w:t>Accrued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color w:val="000000"/>
              </w:rPr>
            </w:pPr>
            <w:r>
              <w:rPr>
                <w:color w:val="000000"/>
              </w:rPr>
              <w:t>407</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1,403</w:t>
            </w:r>
          </w:p>
        </w:tc>
        <w:tc>
          <w:tcPr>
            <w:tcW w:w="232" w:type="dxa"/>
            <w:tcBorders/>
            <w:shd w:fill="CCEEFF" w:val="clear"/>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pPr>
            <w:r>
              <w:rPr/>
              <w:t>Customer deposits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62</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27</w:t>
            </w:r>
          </w:p>
        </w:tc>
        <w:tc>
          <w:tcPr>
            <w:tcW w:w="232" w:type="dxa"/>
            <w:tcBorders/>
            <w:vAlign w:val="center"/>
          </w:tcPr>
          <w:p>
            <w:pPr>
              <w:pStyle w:val="TableContents"/>
              <w:bidi w:val="0"/>
              <w:spacing w:before="0" w:after="283"/>
              <w:jc w:val="left"/>
              <w:rPr/>
            </w:pPr>
            <w:r>
              <w:rPr/>
              <w:t> </w:t>
            </w:r>
          </w:p>
        </w:tc>
      </w:tr>
      <w:tr>
        <w:trPr/>
        <w:tc>
          <w:tcPr>
            <w:tcW w:w="6596" w:type="dxa"/>
            <w:tcBorders/>
            <w:shd w:fill="CCEEFF" w:val="clear"/>
            <w:vAlign w:val="center"/>
          </w:tcPr>
          <w:p>
            <w:pPr>
              <w:pStyle w:val="TableContents"/>
              <w:bidi w:val="0"/>
              <w:spacing w:before="0" w:after="283"/>
              <w:jc w:val="left"/>
              <w:rPr/>
            </w:pPr>
            <w:r>
              <w:rPr/>
              <w:t>Deferred revenue- short term</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408</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466</w:t>
            </w:r>
          </w:p>
        </w:tc>
        <w:tc>
          <w:tcPr>
            <w:tcW w:w="232" w:type="dxa"/>
            <w:tcBorders/>
            <w:shd w:fill="CCEEFF" w:val="clear"/>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pPr>
            <w:r>
              <w:rPr/>
              <w:t>Operating lease liability - short term</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320</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567</w:t>
            </w:r>
          </w:p>
        </w:tc>
        <w:tc>
          <w:tcPr>
            <w:tcW w:w="232" w:type="dxa"/>
            <w:tcBorders/>
            <w:vAlign w:val="center"/>
          </w:tcPr>
          <w:p>
            <w:pPr>
              <w:pStyle w:val="TableContents"/>
              <w:bidi w:val="0"/>
              <w:spacing w:before="0" w:after="283"/>
              <w:jc w:val="left"/>
              <w:rPr/>
            </w:pPr>
            <w:r>
              <w:rPr/>
              <w:t> </w:t>
            </w:r>
          </w:p>
        </w:tc>
      </w:tr>
      <w:tr>
        <w:trPr/>
        <w:tc>
          <w:tcPr>
            <w:tcW w:w="6596" w:type="dxa"/>
            <w:tcBorders/>
            <w:shd w:fill="CCEEFF" w:val="clear"/>
            <w:vAlign w:val="center"/>
          </w:tcPr>
          <w:p>
            <w:pPr>
              <w:pStyle w:val="TableContents"/>
              <w:bidi w:val="0"/>
              <w:spacing w:before="0" w:after="283"/>
              <w:jc w:val="left"/>
              <w:rPr/>
            </w:pPr>
            <w:r>
              <w:rPr/>
              <w:t>Warrants - short term</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36"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36" w:type="dxa"/>
            <w:tcBorders>
              <w:bottom w:val="single" w:sz="2" w:space="0" w:color="000000"/>
            </w:tcBorders>
            <w:shd w:fill="CCEEFF" w:val="clear"/>
            <w:tcMar>
              <w:bottom w:w="28" w:type="dxa"/>
            </w:tcMar>
            <w:vAlign w:val="center"/>
          </w:tcPr>
          <w:p>
            <w:pPr>
              <w:pStyle w:val="TableContents"/>
              <w:bidi w:val="0"/>
              <w:spacing w:before="0" w:after="283"/>
              <w:jc w:val="right"/>
              <w:rPr/>
            </w:pPr>
            <w:r>
              <w:rPr/>
              <w:t>10,131</w:t>
            </w:r>
          </w:p>
        </w:tc>
        <w:tc>
          <w:tcPr>
            <w:tcW w:w="23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b/>
              </w:rPr>
            </w:pPr>
            <w:r>
              <w:rPr>
                <w:b/>
              </w:rPr>
              <w:t>Total current liabilities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36" w:type="dxa"/>
            <w:tcBorders>
              <w:bottom w:val="single" w:sz="2" w:space="0" w:color="000000"/>
            </w:tcBorders>
            <w:tcMar>
              <w:bottom w:w="28" w:type="dxa"/>
            </w:tcMar>
            <w:vAlign w:val="center"/>
          </w:tcPr>
          <w:p>
            <w:pPr>
              <w:pStyle w:val="TableContents"/>
              <w:bidi w:val="0"/>
              <w:spacing w:before="0" w:after="283"/>
              <w:jc w:val="right"/>
              <w:rPr/>
            </w:pPr>
            <w:r>
              <w:rPr/>
              <w:t>1,817</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36" w:type="dxa"/>
            <w:tcBorders>
              <w:bottom w:val="single" w:sz="2" w:space="0" w:color="000000"/>
            </w:tcBorders>
            <w:tcMar>
              <w:bottom w:w="28" w:type="dxa"/>
            </w:tcMar>
            <w:vAlign w:val="center"/>
          </w:tcPr>
          <w:p>
            <w:pPr>
              <w:pStyle w:val="TableContents"/>
              <w:bidi w:val="0"/>
              <w:spacing w:before="0" w:after="283"/>
              <w:jc w:val="right"/>
              <w:rPr/>
            </w:pPr>
            <w:r>
              <w:rPr/>
              <w:t>13,203</w:t>
            </w:r>
          </w:p>
        </w:tc>
        <w:tc>
          <w:tcPr>
            <w:tcW w:w="23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59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pPr>
            <w:r>
              <w:rPr/>
              <w:t>Long-term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6596" w:type="dxa"/>
            <w:tcBorders/>
            <w:shd w:fill="CCEEFF" w:val="clear"/>
            <w:vAlign w:val="center"/>
          </w:tcPr>
          <w:p>
            <w:pPr>
              <w:pStyle w:val="TableContents"/>
              <w:bidi w:val="0"/>
              <w:spacing w:before="0" w:after="283"/>
              <w:jc w:val="left"/>
              <w:rPr/>
            </w:pPr>
            <w:r>
              <w:rPr/>
              <w:t>Deferred revenue- long term</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39</w:t>
            </w:r>
          </w:p>
        </w:tc>
        <w:tc>
          <w:tcPr>
            <w:tcW w:w="232" w:type="dxa"/>
            <w:tcBorders/>
            <w:shd w:fill="CCEEFF" w:val="clear"/>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pPr>
            <w:r>
              <w:rPr/>
              <w:t>Operating lease liability - long term</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36" w:type="dxa"/>
            <w:tcBorders>
              <w:bottom w:val="single" w:sz="2" w:space="0" w:color="000000"/>
            </w:tcBorders>
            <w:tcMar>
              <w:bottom w:w="28" w:type="dxa"/>
            </w:tcMar>
            <w:vAlign w:val="center"/>
          </w:tcPr>
          <w:p>
            <w:pPr>
              <w:pStyle w:val="TableContents"/>
              <w:bidi w:val="0"/>
              <w:spacing w:before="0" w:after="283"/>
              <w:jc w:val="right"/>
              <w:rPr/>
            </w:pPr>
            <w:r>
              <w:rPr/>
              <w:t>2,097</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36" w:type="dxa"/>
            <w:tcBorders>
              <w:bottom w:val="single" w:sz="2" w:space="0" w:color="000000"/>
            </w:tcBorders>
            <w:tcMar>
              <w:bottom w:w="28" w:type="dxa"/>
            </w:tcMar>
            <w:vAlign w:val="center"/>
          </w:tcPr>
          <w:p>
            <w:pPr>
              <w:pStyle w:val="TableContents"/>
              <w:bidi w:val="0"/>
              <w:spacing w:before="0" w:after="283"/>
              <w:jc w:val="right"/>
              <w:rPr/>
            </w:pPr>
            <w:r>
              <w:rPr/>
              <w:t>1,629</w:t>
            </w:r>
          </w:p>
        </w:tc>
        <w:tc>
          <w:tcPr>
            <w:tcW w:w="23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596" w:type="dxa"/>
            <w:tcBorders/>
            <w:shd w:fill="CCEEFF" w:val="clear"/>
            <w:vAlign w:val="center"/>
          </w:tcPr>
          <w:p>
            <w:pPr>
              <w:pStyle w:val="TableContents"/>
              <w:bidi w:val="0"/>
              <w:spacing w:before="0" w:after="283"/>
              <w:jc w:val="left"/>
              <w:rPr>
                <w:b/>
              </w:rPr>
            </w:pPr>
            <w:r>
              <w:rPr>
                <w:b/>
              </w:rPr>
              <w:t>Total long-term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36" w:type="dxa"/>
            <w:tcBorders>
              <w:bottom w:val="single" w:sz="2" w:space="0" w:color="000000"/>
            </w:tcBorders>
            <w:shd w:fill="CCEEFF" w:val="clear"/>
            <w:tcMar>
              <w:bottom w:w="28" w:type="dxa"/>
            </w:tcMar>
            <w:vAlign w:val="center"/>
          </w:tcPr>
          <w:p>
            <w:pPr>
              <w:pStyle w:val="TableContents"/>
              <w:bidi w:val="0"/>
              <w:spacing w:before="0" w:after="283"/>
              <w:jc w:val="right"/>
              <w:rPr/>
            </w:pPr>
            <w:r>
              <w:rPr/>
              <w:t>2,111</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36" w:type="dxa"/>
            <w:tcBorders>
              <w:bottom w:val="single" w:sz="2" w:space="0" w:color="000000"/>
            </w:tcBorders>
            <w:shd w:fill="CCEEFF" w:val="clear"/>
            <w:tcMar>
              <w:bottom w:w="28" w:type="dxa"/>
            </w:tcMar>
            <w:vAlign w:val="center"/>
          </w:tcPr>
          <w:p>
            <w:pPr>
              <w:pStyle w:val="TableContents"/>
              <w:bidi w:val="0"/>
              <w:spacing w:before="0" w:after="283"/>
              <w:jc w:val="right"/>
              <w:rPr/>
            </w:pPr>
            <w:r>
              <w:rPr/>
              <w:t>1,668</w:t>
            </w:r>
          </w:p>
        </w:tc>
        <w:tc>
          <w:tcPr>
            <w:tcW w:w="23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b/>
              </w:rPr>
            </w:pPr>
            <w:r>
              <w:rPr>
                <w:b/>
              </w:rPr>
              <w:t>Total liabilities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36" w:type="dxa"/>
            <w:tcBorders>
              <w:bottom w:val="single" w:sz="2" w:space="0" w:color="000000"/>
            </w:tcBorders>
            <w:tcMar>
              <w:bottom w:w="28" w:type="dxa"/>
            </w:tcMar>
            <w:vAlign w:val="center"/>
          </w:tcPr>
          <w:p>
            <w:pPr>
              <w:pStyle w:val="TableContents"/>
              <w:bidi w:val="0"/>
              <w:spacing w:before="0" w:after="283"/>
              <w:jc w:val="right"/>
              <w:rPr/>
            </w:pPr>
            <w:r>
              <w:rPr/>
              <w:t>3,928</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36" w:type="dxa"/>
            <w:tcBorders>
              <w:bottom w:val="single" w:sz="2" w:space="0" w:color="000000"/>
            </w:tcBorders>
            <w:tcMar>
              <w:bottom w:w="28" w:type="dxa"/>
            </w:tcMar>
            <w:vAlign w:val="center"/>
          </w:tcPr>
          <w:p>
            <w:pPr>
              <w:pStyle w:val="TableContents"/>
              <w:bidi w:val="0"/>
              <w:spacing w:before="0" w:after="283"/>
              <w:jc w:val="right"/>
              <w:rPr/>
            </w:pPr>
            <w:r>
              <w:rPr/>
              <w:t>14,871</w:t>
            </w:r>
          </w:p>
        </w:tc>
        <w:tc>
          <w:tcPr>
            <w:tcW w:w="23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59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b/>
              </w:rPr>
            </w:pPr>
            <w:r>
              <w:rPr>
                <w:b/>
              </w:rPr>
              <w:t>Commitments and contingencies (Note 15)</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0"/>
              <w:jc w:val="righ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0"/>
              <w:jc w:val="right"/>
              <w:rPr/>
            </w:pPr>
            <w:r>
              <w:rPr/>
              <w:t> </w:t>
            </w:r>
          </w:p>
        </w:tc>
        <w:tc>
          <w:tcPr>
            <w:tcW w:w="232" w:type="dxa"/>
            <w:tcBorders/>
            <w:vAlign w:val="center"/>
          </w:tcPr>
          <w:p>
            <w:pPr>
              <w:pStyle w:val="TableContents"/>
              <w:bidi w:val="0"/>
              <w:spacing w:before="0" w:after="283"/>
              <w:jc w:val="left"/>
              <w:rPr/>
            </w:pPr>
            <w:r>
              <w:rPr/>
              <w:t> </w:t>
            </w:r>
          </w:p>
        </w:tc>
      </w:tr>
      <w:tr>
        <w:trPr/>
        <w:tc>
          <w:tcPr>
            <w:tcW w:w="6596"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 </w:t>
            </w:r>
          </w:p>
        </w:tc>
        <w:tc>
          <w:tcPr>
            <w:tcW w:w="232" w:type="dxa"/>
            <w:tcBorders/>
            <w:shd w:fill="CCEEFF" w:val="clear"/>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pPr>
            <w:r>
              <w:rPr/>
              <w:t>Stockholders' equity: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 </w:t>
            </w:r>
          </w:p>
        </w:tc>
      </w:tr>
      <w:tr>
        <w:trPr/>
        <w:tc>
          <w:tcPr>
            <w:tcW w:w="6596" w:type="dxa"/>
            <w:tcBorders/>
            <w:shd w:fill="CCEEFF" w:val="clear"/>
            <w:vAlign w:val="center"/>
          </w:tcPr>
          <w:p>
            <w:pPr>
              <w:pStyle w:val="TableContents"/>
              <w:bidi w:val="0"/>
              <w:spacing w:before="0" w:after="283"/>
              <w:jc w:val="left"/>
              <w:rPr/>
            </w:pPr>
            <w:r>
              <w:rPr/>
              <w:t>Preferred stock - 5,000,000 authorized; par value $0.0001 per share; 12,707 and 8,207 shares issued and outstanding at December 31, 2025 and December 31, 2024, respectively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w:t>
            </w:r>
          </w:p>
        </w:tc>
        <w:tc>
          <w:tcPr>
            <w:tcW w:w="232" w:type="dxa"/>
            <w:tcBorders/>
            <w:shd w:fill="CCEEFF" w:val="clear"/>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pPr>
            <w:r>
              <w:rPr/>
              <w:t>Common stock - 200,000,000 authorized; par value $0.0001 per share; 51,733,217 and 47,101,631 shares issued and outstanding at December 31, 2025 and December 31, 2024, respectively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5</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5</w:t>
            </w:r>
          </w:p>
        </w:tc>
        <w:tc>
          <w:tcPr>
            <w:tcW w:w="232" w:type="dxa"/>
            <w:tcBorders/>
            <w:vAlign w:val="center"/>
          </w:tcPr>
          <w:p>
            <w:pPr>
              <w:pStyle w:val="TableContents"/>
              <w:bidi w:val="0"/>
              <w:spacing w:before="0" w:after="283"/>
              <w:jc w:val="left"/>
              <w:rPr/>
            </w:pPr>
            <w:r>
              <w:rPr/>
              <w:t> </w:t>
            </w:r>
          </w:p>
        </w:tc>
      </w:tr>
      <w:tr>
        <w:trPr/>
        <w:tc>
          <w:tcPr>
            <w:tcW w:w="6596" w:type="dxa"/>
            <w:tcBorders/>
            <w:shd w:fill="CCEEFF" w:val="clear"/>
            <w:vAlign w:val="center"/>
          </w:tcPr>
          <w:p>
            <w:pPr>
              <w:pStyle w:val="TableContents"/>
              <w:bidi w:val="0"/>
              <w:spacing w:before="0" w:after="283"/>
              <w:jc w:val="left"/>
              <w:rPr/>
            </w:pPr>
            <w:r>
              <w:rPr/>
              <w:t>Series A convertible preferred stock - 10,000 authorized, par value $0.0001 per share; 8,207 shares issued and outstanding at December 31, 2025 and December 31, 2024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w:t>
            </w:r>
          </w:p>
        </w:tc>
        <w:tc>
          <w:tcPr>
            <w:tcW w:w="232" w:type="dxa"/>
            <w:tcBorders/>
            <w:shd w:fill="CCEEFF" w:val="clear"/>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pPr>
            <w:r>
              <w:rPr/>
              <w:t>Series B convertible preferred stock - 4,500 authorized, par value $0.0001 per share, 4,500 and 0 shares issued and outstanding at December 31, 2025 and December 31, 2024, respectively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w:t>
            </w:r>
          </w:p>
        </w:tc>
        <w:tc>
          <w:tcPr>
            <w:tcW w:w="232" w:type="dxa"/>
            <w:tcBorders/>
            <w:vAlign w:val="center"/>
          </w:tcPr>
          <w:p>
            <w:pPr>
              <w:pStyle w:val="TableContents"/>
              <w:bidi w:val="0"/>
              <w:spacing w:before="0" w:after="283"/>
              <w:jc w:val="left"/>
              <w:rPr/>
            </w:pPr>
            <w:r>
              <w:rPr/>
              <w:t> </w:t>
            </w:r>
          </w:p>
        </w:tc>
      </w:tr>
      <w:tr>
        <w:trPr/>
        <w:tc>
          <w:tcPr>
            <w:tcW w:w="6596" w:type="dxa"/>
            <w:tcBorders/>
            <w:shd w:fill="CCEEFF" w:val="clear"/>
            <w:vAlign w:val="center"/>
          </w:tcPr>
          <w:p>
            <w:pPr>
              <w:pStyle w:val="TableContents"/>
              <w:bidi w:val="0"/>
              <w:spacing w:before="0" w:after="283"/>
              <w:jc w:val="left"/>
              <w:rPr/>
            </w:pPr>
            <w:r>
              <w:rPr/>
              <w:t>Additional paid-in capital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127,804</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105,326</w:t>
            </w:r>
          </w:p>
        </w:tc>
        <w:tc>
          <w:tcPr>
            <w:tcW w:w="232" w:type="dxa"/>
            <w:tcBorders/>
            <w:shd w:fill="CCEEFF" w:val="clear"/>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pPr>
            <w:r>
              <w:rPr/>
              <w:t>Accumulated deficit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(116,319</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336" w:type="dxa"/>
            <w:tcBorders/>
            <w:vAlign w:val="center"/>
          </w:tcPr>
          <w:p>
            <w:pPr>
              <w:pStyle w:val="TableContents"/>
              <w:bidi w:val="0"/>
              <w:spacing w:before="0" w:after="283"/>
              <w:jc w:val="right"/>
              <w:rPr/>
            </w:pPr>
            <w:r>
              <w:rPr/>
              <w:t>(105,081</w:t>
            </w:r>
          </w:p>
        </w:tc>
        <w:tc>
          <w:tcPr>
            <w:tcW w:w="232" w:type="dxa"/>
            <w:tcBorders/>
            <w:vAlign w:val="center"/>
          </w:tcPr>
          <w:p>
            <w:pPr>
              <w:pStyle w:val="TableContents"/>
              <w:bidi w:val="0"/>
              <w:spacing w:before="0" w:after="283"/>
              <w:jc w:val="left"/>
              <w:rPr/>
            </w:pPr>
            <w:r>
              <w:rPr/>
              <w:t>) </w:t>
            </w:r>
          </w:p>
        </w:tc>
      </w:tr>
      <w:tr>
        <w:trPr/>
        <w:tc>
          <w:tcPr>
            <w:tcW w:w="6596" w:type="dxa"/>
            <w:tcBorders/>
            <w:shd w:fill="CCEEFF" w:val="clear"/>
            <w:vAlign w:val="center"/>
          </w:tcPr>
          <w:p>
            <w:pPr>
              <w:pStyle w:val="TableContents"/>
              <w:bidi w:val="0"/>
              <w:spacing w:before="0" w:after="283"/>
              <w:jc w:val="left"/>
              <w:rPr/>
            </w:pPr>
            <w:r>
              <w:rPr/>
              <w:t>Accumulated other comprehensive loss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36"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336"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596" w:type="dxa"/>
            <w:tcBorders/>
            <w:vAlign w:val="center"/>
          </w:tcPr>
          <w:p>
            <w:pPr>
              <w:pStyle w:val="TableContents"/>
              <w:bidi w:val="0"/>
              <w:spacing w:before="0" w:after="283"/>
              <w:jc w:val="left"/>
              <w:rPr>
                <w:b/>
              </w:rPr>
            </w:pPr>
            <w:r>
              <w:rPr>
                <w:b/>
              </w:rPr>
              <w:t>Total stockholders' equity</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36" w:type="dxa"/>
            <w:tcBorders>
              <w:bottom w:val="single" w:sz="2" w:space="0" w:color="000000"/>
            </w:tcBorders>
            <w:tcMar>
              <w:bottom w:w="28" w:type="dxa"/>
            </w:tcMar>
            <w:vAlign w:val="center"/>
          </w:tcPr>
          <w:p>
            <w:pPr>
              <w:pStyle w:val="TableContents"/>
              <w:bidi w:val="0"/>
              <w:spacing w:before="0" w:after="283"/>
              <w:jc w:val="right"/>
              <w:rPr/>
            </w:pPr>
            <w:r>
              <w:rPr/>
              <w:t>11,490</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336" w:type="dxa"/>
            <w:tcBorders>
              <w:bottom w:val="single" w:sz="2" w:space="0" w:color="000000"/>
            </w:tcBorders>
            <w:tcMar>
              <w:bottom w:w="28" w:type="dxa"/>
            </w:tcMar>
            <w:vAlign w:val="center"/>
          </w:tcPr>
          <w:p>
            <w:pPr>
              <w:pStyle w:val="TableContents"/>
              <w:bidi w:val="0"/>
              <w:spacing w:before="0" w:after="283"/>
              <w:jc w:val="right"/>
              <w:rPr/>
            </w:pPr>
            <w:r>
              <w:rPr/>
              <w:t>250</w:t>
            </w:r>
          </w:p>
        </w:tc>
        <w:tc>
          <w:tcPr>
            <w:tcW w:w="23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596" w:type="dxa"/>
            <w:tcBorders/>
            <w:shd w:fill="CCEEFF" w:val="clear"/>
            <w:vAlign w:val="center"/>
          </w:tcPr>
          <w:p>
            <w:pPr>
              <w:pStyle w:val="TableContents"/>
              <w:bidi w:val="0"/>
              <w:spacing w:before="0" w:after="283"/>
              <w:jc w:val="left"/>
              <w:rPr>
                <w:b/>
              </w:rPr>
            </w:pPr>
            <w:r>
              <w:rPr>
                <w:b/>
              </w:rPr>
              <w:t>Total liabilities and stockholders' equity</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36" w:type="dxa"/>
            <w:tcBorders>
              <w:bottom w:val="double" w:sz="6" w:space="0" w:color="000000"/>
            </w:tcBorders>
            <w:shd w:fill="CCEEFF" w:val="clear"/>
            <w:tcMar>
              <w:bottom w:w="28" w:type="dxa"/>
            </w:tcMar>
            <w:vAlign w:val="center"/>
          </w:tcPr>
          <w:p>
            <w:pPr>
              <w:pStyle w:val="TableContents"/>
              <w:bidi w:val="0"/>
              <w:spacing w:before="0" w:after="283"/>
              <w:jc w:val="right"/>
              <w:rPr/>
            </w:pPr>
            <w:r>
              <w:rPr/>
              <w:t>15,418</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336" w:type="dxa"/>
            <w:tcBorders>
              <w:bottom w:val="double" w:sz="6" w:space="0" w:color="000000"/>
            </w:tcBorders>
            <w:shd w:fill="CCEEFF" w:val="clear"/>
            <w:tcMar>
              <w:bottom w:w="28" w:type="dxa"/>
            </w:tcMar>
            <w:vAlign w:val="center"/>
          </w:tcPr>
          <w:p>
            <w:pPr>
              <w:pStyle w:val="TableContents"/>
              <w:bidi w:val="0"/>
              <w:spacing w:before="0" w:after="283"/>
              <w:jc w:val="right"/>
              <w:rPr/>
            </w:pPr>
            <w:r>
              <w:rPr/>
              <w:t>15,121</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4"/>
        </w:rPr>
      </w:pPr>
      <w:r>
        <w:rPr>
          <w:rFonts w:ascii="Times New Roman" w:hAnsi="Times New Roman"/>
          <w:sz w:val="20"/>
        </w:rPr>
        <w:t>See accompanying notes to consolidated financial statements.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F-3</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center"/>
        <w:rPr>
          <w:rFonts w:ascii="Times New Roman" w:hAnsi="Times New Roman"/>
          <w:sz w:val="24"/>
        </w:rPr>
      </w:pPr>
      <w:r>
        <w:rPr>
          <w:rFonts w:ascii="Times New Roman" w:hAnsi="Times New Roman"/>
          <w:b/>
          <w:sz w:val="20"/>
        </w:rPr>
        <w:t>Wrap Technologies, Inc.</w:t>
      </w:r>
      <w:r>
        <w:rPr>
          <w:rFonts w:ascii="Times New Roman" w:hAnsi="Times New Roman"/>
          <w:sz w:val="24"/>
        </w:rPr>
        <w:t xml:space="preserve"> </w:t>
      </w:r>
    </w:p>
    <w:p>
      <w:pPr>
        <w:pStyle w:val="TextBody"/>
        <w:bidi w:val="0"/>
        <w:spacing w:before="0" w:after="0"/>
        <w:jc w:val="center"/>
        <w:rPr>
          <w:rFonts w:ascii="Times New Roman" w:hAnsi="Times New Roman"/>
          <w:sz w:val="24"/>
        </w:rPr>
      </w:pPr>
      <w:bookmarkStart w:id="30" w:name="operations"/>
      <w:bookmarkEnd w:id="30"/>
      <w:r>
        <w:rPr>
          <w:rFonts w:ascii="Times New Roman" w:hAnsi="Times New Roman"/>
          <w:b/>
          <w:sz w:val="20"/>
        </w:rPr>
        <w:t>Consolidated Statements of Operations and Comprehensive Loss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sz w:val="20"/>
        </w:rPr>
        <w:t>(in thousands, except share and per share amounts)</w:t>
      </w:r>
      <w:r>
        <w:rPr>
          <w:rFonts w:ascii="Times New Roman" w:hAnsi="Times New Roman"/>
          <w:sz w:val="24"/>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50"/>
        <w:gridCol w:w="90"/>
        <w:gridCol w:w="155"/>
        <w:gridCol w:w="980"/>
        <w:gridCol w:w="155"/>
        <w:gridCol w:w="90"/>
        <w:gridCol w:w="155"/>
        <w:gridCol w:w="980"/>
        <w:gridCol w:w="350"/>
      </w:tblGrid>
      <w:tr>
        <w:trPr/>
        <w:tc>
          <w:tcPr>
            <w:tcW w:w="7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65" w:type="dxa"/>
            <w:gridSpan w:val="7"/>
            <w:tcBorders/>
            <w:vAlign w:val="center"/>
          </w:tcPr>
          <w:p>
            <w:pPr>
              <w:pStyle w:val="TableContents"/>
              <w:bidi w:val="0"/>
              <w:spacing w:before="0" w:after="283"/>
              <w:jc w:val="center"/>
              <w:rPr>
                <w:b/>
                <w:sz w:val="20"/>
              </w:rPr>
            </w:pPr>
            <w:r>
              <w:rPr>
                <w:b/>
                <w:sz w:val="20"/>
              </w:rPr>
              <w:t>Year Ended December 31,</w:t>
            </w:r>
          </w:p>
        </w:tc>
      </w:tr>
      <w:tr>
        <w:trPr/>
        <w:tc>
          <w:tcPr>
            <w:tcW w:w="7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top w:val="single" w:sz="2" w:space="0" w:color="000000"/>
            </w:tcBorders>
            <w:tcMar>
              <w:top w:w="28" w:type="dxa"/>
            </w:tcMar>
            <w:vAlign w:val="center"/>
          </w:tcPr>
          <w:p>
            <w:pPr>
              <w:pStyle w:val="TableContents"/>
              <w:bidi w:val="0"/>
              <w:spacing w:before="0" w:after="283"/>
              <w:jc w:val="left"/>
              <w:rPr/>
            </w:pPr>
            <w:r>
              <w:rPr/>
              <w:t> </w:t>
            </w:r>
          </w:p>
        </w:tc>
        <w:tc>
          <w:tcPr>
            <w:tcW w:w="980" w:type="dxa"/>
            <w:tcBorders>
              <w:top w:val="single" w:sz="2" w:space="0" w:color="000000"/>
            </w:tcBorders>
            <w:tcMar>
              <w:top w:w="28" w:type="dxa"/>
            </w:tcMar>
            <w:vAlign w:val="center"/>
          </w:tcPr>
          <w:p>
            <w:pPr>
              <w:pStyle w:val="TableContents"/>
              <w:bidi w:val="0"/>
              <w:spacing w:before="0" w:after="283"/>
              <w:jc w:val="center"/>
              <w:rPr>
                <w:b/>
                <w:sz w:val="20"/>
              </w:rPr>
            </w:pPr>
            <w:r>
              <w:rPr>
                <w:b/>
                <w:sz w:val="20"/>
              </w:rPr>
              <w:t>2025</w:t>
            </w:r>
          </w:p>
        </w:tc>
        <w:tc>
          <w:tcPr>
            <w:tcW w:w="155" w:type="dxa"/>
            <w:tcBorders>
              <w:top w:val="single" w:sz="2" w:space="0" w:color="000000"/>
            </w:tcBorders>
            <w:tcMar>
              <w:top w:w="28" w:type="dxa"/>
            </w:tcMar>
            <w:vAlign w:val="center"/>
          </w:tcPr>
          <w:p>
            <w:pPr>
              <w:pStyle w:val="TableContents"/>
              <w:bidi w:val="0"/>
              <w:spacing w:before="0" w:after="283"/>
              <w:jc w:val="left"/>
              <w:rPr/>
            </w:pPr>
            <w:r>
              <w:rPr/>
              <w:t> </w:t>
            </w:r>
          </w:p>
        </w:tc>
        <w:tc>
          <w:tcPr>
            <w:tcW w:w="90" w:type="dxa"/>
            <w:tcBorders>
              <w:top w:val="single" w:sz="2" w:space="0" w:color="000000"/>
            </w:tcBorders>
            <w:tcMar>
              <w:top w:w="28" w:type="dxa"/>
            </w:tcMar>
            <w:vAlign w:val="center"/>
          </w:tcPr>
          <w:p>
            <w:pPr>
              <w:pStyle w:val="TableContents"/>
              <w:bidi w:val="0"/>
              <w:spacing w:before="0" w:after="283"/>
              <w:jc w:val="left"/>
              <w:rPr/>
            </w:pPr>
            <w:r>
              <w:rPr/>
              <w:t> </w:t>
            </w:r>
          </w:p>
        </w:tc>
        <w:tc>
          <w:tcPr>
            <w:tcW w:w="155" w:type="dxa"/>
            <w:tcBorders>
              <w:top w:val="single" w:sz="2" w:space="0" w:color="000000"/>
            </w:tcBorders>
            <w:tcMar>
              <w:top w:w="28" w:type="dxa"/>
            </w:tcMar>
            <w:vAlign w:val="center"/>
          </w:tcPr>
          <w:p>
            <w:pPr>
              <w:pStyle w:val="TableContents"/>
              <w:bidi w:val="0"/>
              <w:spacing w:before="0" w:after="283"/>
              <w:jc w:val="left"/>
              <w:rPr/>
            </w:pPr>
            <w:r>
              <w:rPr/>
              <w:t> </w:t>
            </w:r>
          </w:p>
        </w:tc>
        <w:tc>
          <w:tcPr>
            <w:tcW w:w="980" w:type="dxa"/>
            <w:tcBorders>
              <w:top w:val="single" w:sz="2" w:space="0" w:color="000000"/>
            </w:tcBorders>
            <w:tcMar>
              <w:top w:w="28" w:type="dxa"/>
            </w:tcMar>
            <w:vAlign w:val="center"/>
          </w:tcPr>
          <w:p>
            <w:pPr>
              <w:pStyle w:val="TableContents"/>
              <w:bidi w:val="0"/>
              <w:spacing w:before="0" w:after="283"/>
              <w:jc w:val="center"/>
              <w:rPr>
                <w:b/>
                <w:sz w:val="20"/>
              </w:rPr>
            </w:pPr>
            <w:r>
              <w:rPr>
                <w:b/>
                <w:sz w:val="20"/>
              </w:rPr>
              <w:t>2024</w:t>
            </w:r>
          </w:p>
        </w:tc>
        <w:tc>
          <w:tcPr>
            <w:tcW w:w="350" w:type="dxa"/>
            <w:tcBorders>
              <w:top w:val="single" w:sz="2" w:space="0" w:color="000000"/>
            </w:tcBorders>
            <w:tcMar>
              <w:top w:w="28" w:type="dxa"/>
            </w:tcM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b/>
                <w:sz w:val="20"/>
              </w:rPr>
            </w:pPr>
            <w:r>
              <w:rPr>
                <w:b/>
                <w:sz w:val="20"/>
              </w:rPr>
              <w:t>Revenues:</w:t>
            </w:r>
          </w:p>
        </w:tc>
        <w:tc>
          <w:tcPr>
            <w:tcW w:w="90" w:type="dxa"/>
            <w:tcBorders/>
            <w:vAlign w:val="center"/>
          </w:tcPr>
          <w:p>
            <w:pPr>
              <w:pStyle w:val="TableContents"/>
              <w:bidi w:val="0"/>
              <w:spacing w:before="0" w:after="283"/>
              <w:jc w:val="left"/>
              <w:rPr/>
            </w:pPr>
            <w:r>
              <w:rPr/>
              <w:t> </w:t>
            </w:r>
          </w:p>
        </w:tc>
        <w:tc>
          <w:tcPr>
            <w:tcW w:w="155" w:type="dxa"/>
            <w:tcBorders>
              <w:top w:val="single" w:sz="2" w:space="0" w:color="000000"/>
            </w:tcBorders>
            <w:tcMar>
              <w:top w:w="28" w:type="dxa"/>
            </w:tcMar>
            <w:vAlign w:val="center"/>
          </w:tcPr>
          <w:p>
            <w:pPr>
              <w:pStyle w:val="TableContents"/>
              <w:bidi w:val="0"/>
              <w:spacing w:before="0" w:after="283"/>
              <w:jc w:val="left"/>
              <w:rPr/>
            </w:pPr>
            <w:r>
              <w:rPr/>
              <w:t> </w:t>
            </w:r>
          </w:p>
        </w:tc>
        <w:tc>
          <w:tcPr>
            <w:tcW w:w="980" w:type="dxa"/>
            <w:tcBorders>
              <w:top w:val="single" w:sz="2" w:space="0" w:color="000000"/>
            </w:tcBorders>
            <w:tcMar>
              <w:top w:w="28" w:type="dxa"/>
            </w:tcMar>
            <w:vAlign w:val="center"/>
          </w:tcPr>
          <w:p>
            <w:pPr>
              <w:pStyle w:val="TableContents"/>
              <w:bidi w:val="0"/>
              <w:spacing w:before="0" w:after="283"/>
              <w:jc w:val="left"/>
              <w:rPr/>
            </w:pPr>
            <w:r>
              <w:rPr/>
              <w:t> </w:t>
            </w:r>
          </w:p>
        </w:tc>
        <w:tc>
          <w:tcPr>
            <w:tcW w:w="155" w:type="dxa"/>
            <w:tcBorders>
              <w:top w:val="single" w:sz="2" w:space="0" w:color="000000"/>
            </w:tcBorders>
            <w:tcMar>
              <w:top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top w:val="single" w:sz="2" w:space="0" w:color="000000"/>
            </w:tcBorders>
            <w:tcMar>
              <w:top w:w="28" w:type="dxa"/>
            </w:tcMar>
            <w:vAlign w:val="center"/>
          </w:tcPr>
          <w:p>
            <w:pPr>
              <w:pStyle w:val="TableContents"/>
              <w:bidi w:val="0"/>
              <w:spacing w:before="0" w:after="283"/>
              <w:jc w:val="left"/>
              <w:rPr/>
            </w:pPr>
            <w:r>
              <w:rPr/>
              <w:t> </w:t>
            </w:r>
          </w:p>
        </w:tc>
        <w:tc>
          <w:tcPr>
            <w:tcW w:w="980" w:type="dxa"/>
            <w:tcBorders>
              <w:top w:val="single" w:sz="2" w:space="0" w:color="000000"/>
            </w:tcBorders>
            <w:tcMar>
              <w:top w:w="28" w:type="dxa"/>
            </w:tcMar>
            <w:vAlign w:val="center"/>
          </w:tcPr>
          <w:p>
            <w:pPr>
              <w:pStyle w:val="TableContents"/>
              <w:bidi w:val="0"/>
              <w:spacing w:before="0" w:after="283"/>
              <w:jc w:val="left"/>
              <w:rPr/>
            </w:pPr>
            <w:r>
              <w:rPr/>
              <w:t> </w:t>
            </w:r>
          </w:p>
        </w:tc>
        <w:tc>
          <w:tcPr>
            <w:tcW w:w="350" w:type="dxa"/>
            <w:tcBorders>
              <w:top w:val="single" w:sz="2" w:space="0" w:color="000000"/>
            </w:tcBorders>
            <w:tcMar>
              <w:top w:w="28" w:type="dxa"/>
            </w:tcMar>
            <w:vAlign w:val="center"/>
          </w:tcPr>
          <w:p>
            <w:pPr>
              <w:pStyle w:val="TableContents"/>
              <w:bidi w:val="0"/>
              <w:spacing w:before="0" w:after="283"/>
              <w:ind w:left="0" w:right="0" w:firstLine="150"/>
              <w:jc w:val="left"/>
              <w:rPr/>
            </w:pPr>
            <w:r>
              <w:rPr/>
              <w:t> </w:t>
            </w:r>
          </w:p>
        </w:tc>
      </w:tr>
      <w:tr>
        <w:trPr/>
        <w:tc>
          <w:tcPr>
            <w:tcW w:w="7250" w:type="dxa"/>
            <w:tcBorders/>
            <w:shd w:fill="CCEEFF" w:val="clear"/>
            <w:vAlign w:val="center"/>
          </w:tcPr>
          <w:p>
            <w:pPr>
              <w:pStyle w:val="TableContents"/>
              <w:bidi w:val="0"/>
              <w:spacing w:before="0" w:after="283"/>
              <w:jc w:val="left"/>
              <w:rPr>
                <w:sz w:val="20"/>
              </w:rPr>
            </w:pPr>
            <w:r>
              <w:rPr>
                <w:sz w:val="20"/>
              </w:rPr>
              <w:t>Product sales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980" w:type="dxa"/>
            <w:tcBorders/>
            <w:shd w:fill="CCEEFF" w:val="clear"/>
            <w:vAlign w:val="center"/>
          </w:tcPr>
          <w:p>
            <w:pPr>
              <w:pStyle w:val="TableContents"/>
              <w:bidi w:val="0"/>
              <w:spacing w:before="0" w:after="283"/>
              <w:jc w:val="right"/>
              <w:rPr>
                <w:sz w:val="20"/>
              </w:rPr>
            </w:pPr>
            <w:r>
              <w:rPr>
                <w:sz w:val="20"/>
              </w:rPr>
              <w:t>3,507</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980" w:type="dxa"/>
            <w:tcBorders/>
            <w:shd w:fill="CCEEFF" w:val="clear"/>
            <w:vAlign w:val="center"/>
          </w:tcPr>
          <w:p>
            <w:pPr>
              <w:pStyle w:val="TableContents"/>
              <w:bidi w:val="0"/>
              <w:spacing w:before="0" w:after="283"/>
              <w:jc w:val="right"/>
              <w:rPr>
                <w:sz w:val="20"/>
              </w:rPr>
            </w:pPr>
            <w:r>
              <w:rPr>
                <w:sz w:val="20"/>
              </w:rPr>
              <w:t>3,590</w:t>
            </w:r>
          </w:p>
        </w:tc>
        <w:tc>
          <w:tcPr>
            <w:tcW w:w="350" w:type="dxa"/>
            <w:tcBorders/>
            <w:shd w:fill="CCEEFF" w:val="clear"/>
            <w:vAlign w:val="center"/>
          </w:tcPr>
          <w:p>
            <w:pPr>
              <w:pStyle w:val="TableContents"/>
              <w:bidi w:val="0"/>
              <w:spacing w:before="0" w:after="283"/>
              <w:ind w:left="0" w:right="0" w:firstLine="150"/>
              <w:jc w:val="left"/>
              <w:rPr/>
            </w:pPr>
            <w:r>
              <w:rPr/>
              <w:t> </w:t>
            </w:r>
          </w:p>
        </w:tc>
      </w:tr>
      <w:tr>
        <w:trPr/>
        <w:tc>
          <w:tcPr>
            <w:tcW w:w="7250" w:type="dxa"/>
            <w:tcBorders/>
            <w:vAlign w:val="center"/>
          </w:tcPr>
          <w:p>
            <w:pPr>
              <w:pStyle w:val="TableContents"/>
              <w:bidi w:val="0"/>
              <w:spacing w:before="0" w:after="283"/>
              <w:jc w:val="left"/>
              <w:rPr>
                <w:sz w:val="20"/>
              </w:rPr>
            </w:pPr>
            <w:r>
              <w:rPr>
                <w:sz w:val="20"/>
              </w:rPr>
              <w:t>Technology enabled services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1,696</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917</w:t>
            </w:r>
          </w:p>
        </w:tc>
        <w:tc>
          <w:tcPr>
            <w:tcW w:w="35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sz w:val="20"/>
              </w:rPr>
            </w:pPr>
            <w:r>
              <w:rPr>
                <w:sz w:val="20"/>
              </w:rPr>
              <w:t>Total revenues, gross</w:t>
            </w:r>
          </w:p>
        </w:tc>
        <w:tc>
          <w:tcPr>
            <w:tcW w:w="90" w:type="dxa"/>
            <w:tcBorders/>
            <w:shd w:fill="CCEEFF" w:val="clear"/>
            <w:vAlign w:val="center"/>
          </w:tcPr>
          <w:p>
            <w:pPr>
              <w:pStyle w:val="TableContents"/>
              <w:bidi w:val="0"/>
              <w:spacing w:before="0" w:after="283"/>
              <w:jc w:val="left"/>
              <w:rPr/>
            </w:pPr>
            <w:r>
              <w:rPr/>
              <w:t> </w:t>
            </w:r>
          </w:p>
        </w:tc>
        <w:tc>
          <w:tcPr>
            <w:tcW w:w="155"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c>
          <w:tcPr>
            <w:tcW w:w="980" w:type="dxa"/>
            <w:tcBorders>
              <w:top w:val="single" w:sz="2" w:space="0" w:color="000000"/>
            </w:tcBorders>
            <w:shd w:fill="CCEEFF" w:val="clear"/>
            <w:tcMar>
              <w:top w:w="28" w:type="dxa"/>
            </w:tcMar>
            <w:vAlign w:val="center"/>
          </w:tcPr>
          <w:p>
            <w:pPr>
              <w:pStyle w:val="TableContents"/>
              <w:bidi w:val="0"/>
              <w:spacing w:before="0" w:after="283"/>
              <w:jc w:val="right"/>
              <w:rPr>
                <w:sz w:val="20"/>
              </w:rPr>
            </w:pPr>
            <w:r>
              <w:rPr>
                <w:sz w:val="20"/>
              </w:rPr>
              <w:t>5,203</w:t>
            </w:r>
          </w:p>
        </w:tc>
        <w:tc>
          <w:tcPr>
            <w:tcW w:w="155"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top w:val="single" w:sz="2" w:space="0" w:color="000000"/>
            </w:tcBorders>
            <w:shd w:fill="CCEEFF" w:val="clear"/>
            <w:tcMar>
              <w:top w:w="28" w:type="dxa"/>
            </w:tcMar>
            <w:vAlign w:val="center"/>
          </w:tcPr>
          <w:p>
            <w:pPr>
              <w:pStyle w:val="TableContents"/>
              <w:bidi w:val="0"/>
              <w:spacing w:before="0" w:after="283"/>
              <w:jc w:val="right"/>
              <w:rPr>
                <w:sz w:val="20"/>
              </w:rPr>
            </w:pPr>
            <w:r>
              <w:rPr>
                <w:sz w:val="20"/>
              </w:rPr>
              <w:t>4,507</w:t>
            </w:r>
          </w:p>
        </w:tc>
        <w:tc>
          <w:tcPr>
            <w:tcW w:w="350"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sz w:val="20"/>
              </w:rPr>
            </w:pPr>
            <w:r>
              <w:rPr>
                <w:sz w:val="20"/>
              </w:rPr>
              <w:t>Sales returns and allowances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(531</w:t>
            </w:r>
          </w:p>
        </w:tc>
        <w:tc>
          <w:tcPr>
            <w:tcW w:w="155" w:type="dxa"/>
            <w:tcBorders/>
            <w:vAlign w:val="center"/>
          </w:tcPr>
          <w:p>
            <w:pPr>
              <w:pStyle w:val="TableContents"/>
              <w:bidi w:val="0"/>
              <w:spacing w:before="0" w:after="283"/>
              <w:jc w:val="left"/>
              <w:rPr>
                <w:sz w:val="20"/>
              </w:rPr>
            </w:pPr>
            <w:r>
              <w:rPr>
                <w:sz w:val="20"/>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w:t>
            </w:r>
          </w:p>
        </w:tc>
        <w:tc>
          <w:tcPr>
            <w:tcW w:w="35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sz w:val="20"/>
              </w:rPr>
            </w:pPr>
            <w:r>
              <w:rPr>
                <w:sz w:val="20"/>
              </w:rPr>
              <w:t>Total revenues, net</w:t>
            </w:r>
          </w:p>
        </w:tc>
        <w:tc>
          <w:tcPr>
            <w:tcW w:w="90" w:type="dxa"/>
            <w:tcBorders/>
            <w:shd w:fill="CCEEFF" w:val="clear"/>
            <w:vAlign w:val="center"/>
          </w:tcPr>
          <w:p>
            <w:pPr>
              <w:pStyle w:val="TableContents"/>
              <w:bidi w:val="0"/>
              <w:spacing w:before="0" w:after="283"/>
              <w:jc w:val="left"/>
              <w:rPr/>
            </w:pPr>
            <w:r>
              <w:rPr/>
              <w:t> </w:t>
            </w:r>
          </w:p>
        </w:tc>
        <w:tc>
          <w:tcPr>
            <w:tcW w:w="155"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c>
          <w:tcPr>
            <w:tcW w:w="980" w:type="dxa"/>
            <w:tcBorders>
              <w:top w:val="single" w:sz="2" w:space="0" w:color="000000"/>
            </w:tcBorders>
            <w:shd w:fill="CCEEFF" w:val="clear"/>
            <w:tcMar>
              <w:top w:w="28" w:type="dxa"/>
            </w:tcMar>
            <w:vAlign w:val="center"/>
          </w:tcPr>
          <w:p>
            <w:pPr>
              <w:pStyle w:val="TableContents"/>
              <w:bidi w:val="0"/>
              <w:spacing w:before="0" w:after="283"/>
              <w:jc w:val="right"/>
              <w:rPr>
                <w:sz w:val="20"/>
              </w:rPr>
            </w:pPr>
            <w:r>
              <w:rPr>
                <w:sz w:val="20"/>
              </w:rPr>
              <w:t>4,672</w:t>
            </w:r>
          </w:p>
        </w:tc>
        <w:tc>
          <w:tcPr>
            <w:tcW w:w="155"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top w:val="single" w:sz="2" w:space="0" w:color="000000"/>
            </w:tcBorders>
            <w:shd w:fill="CCEEFF" w:val="clear"/>
            <w:tcMar>
              <w:top w:w="28" w:type="dxa"/>
            </w:tcMar>
            <w:vAlign w:val="center"/>
          </w:tcPr>
          <w:p>
            <w:pPr>
              <w:pStyle w:val="TableContents"/>
              <w:bidi w:val="0"/>
              <w:spacing w:before="0" w:after="283"/>
              <w:jc w:val="right"/>
              <w:rPr>
                <w:sz w:val="20"/>
              </w:rPr>
            </w:pPr>
            <w:r>
              <w:rPr>
                <w:sz w:val="20"/>
              </w:rPr>
              <w:t>4,507</w:t>
            </w:r>
          </w:p>
        </w:tc>
        <w:tc>
          <w:tcPr>
            <w:tcW w:w="350"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sz w:val="20"/>
              </w:rPr>
            </w:pPr>
            <w:r>
              <w:rPr>
                <w:sz w:val="20"/>
              </w:rPr>
              <w:t>Cost of revenues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1,973</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2,042</w:t>
            </w:r>
          </w:p>
        </w:tc>
        <w:tc>
          <w:tcPr>
            <w:tcW w:w="35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b/>
                <w:sz w:val="20"/>
              </w:rPr>
            </w:pPr>
            <w:r>
              <w:rPr>
                <w:b/>
                <w:sz w:val="20"/>
              </w:rPr>
              <w:t>Gross profit</w:t>
            </w:r>
          </w:p>
        </w:tc>
        <w:tc>
          <w:tcPr>
            <w:tcW w:w="90" w:type="dxa"/>
            <w:tcBorders/>
            <w:shd w:fill="CCEEFF" w:val="clear"/>
            <w:vAlign w:val="center"/>
          </w:tcPr>
          <w:p>
            <w:pPr>
              <w:pStyle w:val="TableContents"/>
              <w:bidi w:val="0"/>
              <w:spacing w:before="0" w:after="283"/>
              <w:jc w:val="left"/>
              <w:rPr/>
            </w:pPr>
            <w:r>
              <w:rPr/>
              <w:t> </w:t>
            </w:r>
          </w:p>
        </w:tc>
        <w:tc>
          <w:tcPr>
            <w:tcW w:w="155"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c>
          <w:tcPr>
            <w:tcW w:w="980" w:type="dxa"/>
            <w:tcBorders>
              <w:top w:val="single" w:sz="2" w:space="0" w:color="000000"/>
            </w:tcBorders>
            <w:shd w:fill="CCEEFF" w:val="clear"/>
            <w:tcMar>
              <w:top w:w="28" w:type="dxa"/>
            </w:tcMar>
            <w:vAlign w:val="center"/>
          </w:tcPr>
          <w:p>
            <w:pPr>
              <w:pStyle w:val="TableContents"/>
              <w:bidi w:val="0"/>
              <w:spacing w:before="0" w:after="283"/>
              <w:jc w:val="right"/>
              <w:rPr>
                <w:sz w:val="20"/>
              </w:rPr>
            </w:pPr>
            <w:r>
              <w:rPr>
                <w:sz w:val="20"/>
              </w:rPr>
              <w:t>2,699</w:t>
            </w:r>
          </w:p>
        </w:tc>
        <w:tc>
          <w:tcPr>
            <w:tcW w:w="155"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top w:val="single" w:sz="2" w:space="0" w:color="000000"/>
            </w:tcBorders>
            <w:shd w:fill="CCEEFF" w:val="clear"/>
            <w:tcMar>
              <w:top w:w="28" w:type="dxa"/>
            </w:tcMar>
            <w:vAlign w:val="center"/>
          </w:tcPr>
          <w:p>
            <w:pPr>
              <w:pStyle w:val="TableContents"/>
              <w:bidi w:val="0"/>
              <w:spacing w:before="0" w:after="283"/>
              <w:jc w:val="right"/>
              <w:rPr>
                <w:sz w:val="20"/>
              </w:rPr>
            </w:pPr>
            <w:r>
              <w:rPr>
                <w:sz w:val="20"/>
              </w:rPr>
              <w:t>2,465</w:t>
            </w:r>
          </w:p>
        </w:tc>
        <w:tc>
          <w:tcPr>
            <w:tcW w:w="350"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top w:val="single" w:sz="2" w:space="0" w:color="000000"/>
            </w:tcBorders>
            <w:tcMar>
              <w:top w:w="28" w:type="dxa"/>
            </w:tcMar>
            <w:vAlign w:val="center"/>
          </w:tcPr>
          <w:p>
            <w:pPr>
              <w:pStyle w:val="TableContents"/>
              <w:bidi w:val="0"/>
              <w:spacing w:before="0" w:after="283"/>
              <w:jc w:val="left"/>
              <w:rPr/>
            </w:pPr>
            <w:r>
              <w:rPr/>
              <w:t> </w:t>
            </w:r>
          </w:p>
        </w:tc>
        <w:tc>
          <w:tcPr>
            <w:tcW w:w="980" w:type="dxa"/>
            <w:tcBorders>
              <w:top w:val="single" w:sz="2" w:space="0" w:color="000000"/>
            </w:tcBorders>
            <w:tcMar>
              <w:top w:w="28" w:type="dxa"/>
            </w:tcMar>
            <w:vAlign w:val="center"/>
          </w:tcPr>
          <w:p>
            <w:pPr>
              <w:pStyle w:val="TableContents"/>
              <w:bidi w:val="0"/>
              <w:spacing w:before="0" w:after="283"/>
              <w:jc w:val="left"/>
              <w:rPr/>
            </w:pPr>
            <w:r>
              <w:rPr/>
              <w:t> </w:t>
            </w:r>
          </w:p>
        </w:tc>
        <w:tc>
          <w:tcPr>
            <w:tcW w:w="155" w:type="dxa"/>
            <w:tcBorders>
              <w:top w:val="single" w:sz="2" w:space="0" w:color="000000"/>
            </w:tcBorders>
            <w:tcMar>
              <w:top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top w:val="single" w:sz="2" w:space="0" w:color="000000"/>
            </w:tcBorders>
            <w:tcMar>
              <w:top w:w="28" w:type="dxa"/>
            </w:tcMar>
            <w:vAlign w:val="center"/>
          </w:tcPr>
          <w:p>
            <w:pPr>
              <w:pStyle w:val="TableContents"/>
              <w:bidi w:val="0"/>
              <w:spacing w:before="0" w:after="283"/>
              <w:jc w:val="left"/>
              <w:rPr/>
            </w:pPr>
            <w:r>
              <w:rPr/>
              <w:t> </w:t>
            </w:r>
          </w:p>
        </w:tc>
        <w:tc>
          <w:tcPr>
            <w:tcW w:w="980" w:type="dxa"/>
            <w:tcBorders>
              <w:top w:val="single" w:sz="2" w:space="0" w:color="000000"/>
            </w:tcBorders>
            <w:tcMar>
              <w:top w:w="28" w:type="dxa"/>
            </w:tcMar>
            <w:vAlign w:val="center"/>
          </w:tcPr>
          <w:p>
            <w:pPr>
              <w:pStyle w:val="TableContents"/>
              <w:bidi w:val="0"/>
              <w:spacing w:before="0" w:after="283"/>
              <w:jc w:val="left"/>
              <w:rPr/>
            </w:pPr>
            <w:r>
              <w:rPr/>
              <w:t> </w:t>
            </w:r>
          </w:p>
        </w:tc>
        <w:tc>
          <w:tcPr>
            <w:tcW w:w="350" w:type="dxa"/>
            <w:tcBorders>
              <w:top w:val="single" w:sz="2" w:space="0" w:color="000000"/>
            </w:tcBorders>
            <w:tcMar>
              <w:top w:w="28" w:type="dxa"/>
            </w:tcM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b/>
                <w:sz w:val="20"/>
              </w:rPr>
            </w:pPr>
            <w:r>
              <w:rPr>
                <w:b/>
                <w:sz w:val="20"/>
              </w:rPr>
              <w:t>Operating expenses: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sz w:val="20"/>
              </w:rPr>
            </w:pPr>
            <w:r>
              <w:rPr>
                <w:sz w:val="20"/>
              </w:rPr>
              <w:t>Selling, general and administrative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16,128</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15,688</w:t>
            </w:r>
          </w:p>
        </w:tc>
        <w:tc>
          <w:tcPr>
            <w:tcW w:w="35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sz w:val="20"/>
              </w:rPr>
            </w:pPr>
            <w:r>
              <w:rPr>
                <w:sz w:val="20"/>
              </w:rPr>
              <w:t>Research and development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56</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2,344</w:t>
            </w:r>
          </w:p>
        </w:tc>
        <w:tc>
          <w:tcPr>
            <w:tcW w:w="35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sz w:val="20"/>
              </w:rPr>
            </w:pPr>
            <w:r>
              <w:rPr>
                <w:sz w:val="20"/>
              </w:rPr>
              <w:t>Total operating expenses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16,184</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18,032</w:t>
            </w:r>
          </w:p>
        </w:tc>
        <w:tc>
          <w:tcPr>
            <w:tcW w:w="35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sz w:val="20"/>
              </w:rPr>
            </w:pPr>
            <w:r>
              <w:rPr>
                <w:sz w:val="20"/>
              </w:rPr>
              <w:t>Loss from operations</w:t>
            </w:r>
          </w:p>
        </w:tc>
        <w:tc>
          <w:tcPr>
            <w:tcW w:w="90" w:type="dxa"/>
            <w:tcBorders/>
            <w:shd w:fill="CCEEFF" w:val="clear"/>
            <w:vAlign w:val="center"/>
          </w:tcPr>
          <w:p>
            <w:pPr>
              <w:pStyle w:val="TableContents"/>
              <w:bidi w:val="0"/>
              <w:spacing w:before="0" w:after="283"/>
              <w:jc w:val="left"/>
              <w:rPr/>
            </w:pPr>
            <w:r>
              <w:rPr/>
              <w:t> </w:t>
            </w:r>
          </w:p>
        </w:tc>
        <w:tc>
          <w:tcPr>
            <w:tcW w:w="155"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c>
          <w:tcPr>
            <w:tcW w:w="980" w:type="dxa"/>
            <w:tcBorders>
              <w:top w:val="single" w:sz="2" w:space="0" w:color="000000"/>
            </w:tcBorders>
            <w:shd w:fill="CCEEFF" w:val="clear"/>
            <w:tcMar>
              <w:top w:w="28" w:type="dxa"/>
            </w:tcMar>
            <w:vAlign w:val="center"/>
          </w:tcPr>
          <w:p>
            <w:pPr>
              <w:pStyle w:val="TableContents"/>
              <w:bidi w:val="0"/>
              <w:spacing w:before="0" w:after="283"/>
              <w:jc w:val="right"/>
              <w:rPr>
                <w:sz w:val="20"/>
              </w:rPr>
            </w:pPr>
            <w:r>
              <w:rPr>
                <w:sz w:val="20"/>
              </w:rPr>
              <w:t>(13,485</w:t>
            </w:r>
          </w:p>
        </w:tc>
        <w:tc>
          <w:tcPr>
            <w:tcW w:w="155" w:type="dxa"/>
            <w:tcBorders>
              <w:top w:val="single" w:sz="2" w:space="0" w:color="000000"/>
            </w:tcBorders>
            <w:shd w:fill="CCEEFF" w:val="clear"/>
            <w:tcMar>
              <w:top w:w="28" w:type="dxa"/>
            </w:tcMar>
            <w:vAlign w:val="center"/>
          </w:tcPr>
          <w:p>
            <w:pPr>
              <w:pStyle w:val="TableContents"/>
              <w:bidi w:val="0"/>
              <w:spacing w:before="0" w:after="283"/>
              <w:jc w:val="left"/>
              <w:rPr>
                <w:sz w:val="20"/>
              </w:rPr>
            </w:pPr>
            <w:r>
              <w:rPr>
                <w:sz w:val="20"/>
              </w:rPr>
              <w:t>) </w:t>
            </w:r>
          </w:p>
        </w:tc>
        <w:tc>
          <w:tcPr>
            <w:tcW w:w="90" w:type="dxa"/>
            <w:tcBorders/>
            <w:shd w:fill="CCEEFF" w:val="clear"/>
            <w:vAlign w:val="center"/>
          </w:tcPr>
          <w:p>
            <w:pPr>
              <w:pStyle w:val="TableContents"/>
              <w:bidi w:val="0"/>
              <w:spacing w:before="0" w:after="283"/>
              <w:jc w:val="left"/>
              <w:rPr/>
            </w:pPr>
            <w:r>
              <w:rPr/>
              <w:t> </w:t>
            </w:r>
          </w:p>
        </w:tc>
        <w:tc>
          <w:tcPr>
            <w:tcW w:w="155" w:type="dxa"/>
            <w:tcBorders>
              <w:top w:val="single" w:sz="2" w:space="0" w:color="000000"/>
            </w:tcBorders>
            <w:shd w:fill="CCEEFF" w:val="clear"/>
            <w:tcMar>
              <w:top w:w="28" w:type="dxa"/>
            </w:tcMar>
            <w:vAlign w:val="center"/>
          </w:tcPr>
          <w:p>
            <w:pPr>
              <w:pStyle w:val="TableContents"/>
              <w:bidi w:val="0"/>
              <w:spacing w:before="0" w:after="283"/>
              <w:jc w:val="left"/>
              <w:rPr/>
            </w:pPr>
            <w:r>
              <w:rPr/>
              <w:t> </w:t>
            </w:r>
          </w:p>
        </w:tc>
        <w:tc>
          <w:tcPr>
            <w:tcW w:w="980" w:type="dxa"/>
            <w:tcBorders>
              <w:top w:val="single" w:sz="2" w:space="0" w:color="000000"/>
            </w:tcBorders>
            <w:shd w:fill="CCEEFF" w:val="clear"/>
            <w:tcMar>
              <w:top w:w="28" w:type="dxa"/>
            </w:tcMar>
            <w:vAlign w:val="center"/>
          </w:tcPr>
          <w:p>
            <w:pPr>
              <w:pStyle w:val="TableContents"/>
              <w:bidi w:val="0"/>
              <w:spacing w:before="0" w:after="283"/>
              <w:jc w:val="right"/>
              <w:rPr>
                <w:sz w:val="20"/>
              </w:rPr>
            </w:pPr>
            <w:r>
              <w:rPr>
                <w:sz w:val="20"/>
              </w:rPr>
              <w:t>(15,567</w:t>
            </w:r>
          </w:p>
        </w:tc>
        <w:tc>
          <w:tcPr>
            <w:tcW w:w="350" w:type="dxa"/>
            <w:tcBorders>
              <w:top w:val="single" w:sz="2" w:space="0" w:color="000000"/>
            </w:tcBorders>
            <w:shd w:fill="CCEEFF" w:val="clear"/>
            <w:tcMar>
              <w:top w:w="28" w:type="dxa"/>
            </w:tcMar>
            <w:vAlign w:val="center"/>
          </w:tcPr>
          <w:p>
            <w:pPr>
              <w:pStyle w:val="TableContents"/>
              <w:bidi w:val="0"/>
              <w:spacing w:before="0" w:after="283"/>
              <w:jc w:val="left"/>
              <w:rPr>
                <w:sz w:val="20"/>
              </w:rPr>
            </w:pPr>
            <w:r>
              <w:rPr>
                <w:sz w:val="20"/>
              </w:rPr>
              <w:t>) </w:t>
            </w:r>
          </w:p>
        </w:tc>
      </w:tr>
      <w:tr>
        <w:trPr/>
        <w:tc>
          <w:tcPr>
            <w:tcW w:w="7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top w:val="single" w:sz="2" w:space="0" w:color="000000"/>
            </w:tcBorders>
            <w:tcMar>
              <w:top w:w="28" w:type="dxa"/>
            </w:tcMar>
            <w:vAlign w:val="center"/>
          </w:tcPr>
          <w:p>
            <w:pPr>
              <w:pStyle w:val="TableContents"/>
              <w:bidi w:val="0"/>
              <w:spacing w:before="0" w:after="283"/>
              <w:jc w:val="left"/>
              <w:rPr/>
            </w:pPr>
            <w:r>
              <w:rPr/>
              <w:t> </w:t>
            </w:r>
          </w:p>
        </w:tc>
        <w:tc>
          <w:tcPr>
            <w:tcW w:w="980" w:type="dxa"/>
            <w:tcBorders>
              <w:top w:val="single" w:sz="2" w:space="0" w:color="000000"/>
            </w:tcBorders>
            <w:tcMar>
              <w:top w:w="28" w:type="dxa"/>
            </w:tcMar>
            <w:vAlign w:val="center"/>
          </w:tcPr>
          <w:p>
            <w:pPr>
              <w:pStyle w:val="TableContents"/>
              <w:bidi w:val="0"/>
              <w:spacing w:before="0" w:after="283"/>
              <w:jc w:val="left"/>
              <w:rPr/>
            </w:pPr>
            <w:r>
              <w:rPr/>
              <w:t> </w:t>
            </w:r>
          </w:p>
        </w:tc>
        <w:tc>
          <w:tcPr>
            <w:tcW w:w="155" w:type="dxa"/>
            <w:tcBorders>
              <w:top w:val="single" w:sz="2" w:space="0" w:color="000000"/>
            </w:tcBorders>
            <w:tcMar>
              <w:top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top w:val="single" w:sz="2" w:space="0" w:color="000000"/>
            </w:tcBorders>
            <w:tcMar>
              <w:top w:w="28" w:type="dxa"/>
            </w:tcMar>
            <w:vAlign w:val="center"/>
          </w:tcPr>
          <w:p>
            <w:pPr>
              <w:pStyle w:val="TableContents"/>
              <w:bidi w:val="0"/>
              <w:spacing w:before="0" w:after="283"/>
              <w:jc w:val="left"/>
              <w:rPr/>
            </w:pPr>
            <w:r>
              <w:rPr/>
              <w:t> </w:t>
            </w:r>
          </w:p>
        </w:tc>
        <w:tc>
          <w:tcPr>
            <w:tcW w:w="980" w:type="dxa"/>
            <w:tcBorders>
              <w:top w:val="single" w:sz="2" w:space="0" w:color="000000"/>
            </w:tcBorders>
            <w:tcMar>
              <w:top w:w="28" w:type="dxa"/>
            </w:tcMar>
            <w:vAlign w:val="center"/>
          </w:tcPr>
          <w:p>
            <w:pPr>
              <w:pStyle w:val="TableContents"/>
              <w:bidi w:val="0"/>
              <w:spacing w:before="0" w:after="283"/>
              <w:jc w:val="left"/>
              <w:rPr/>
            </w:pPr>
            <w:r>
              <w:rPr/>
              <w:t> </w:t>
            </w:r>
          </w:p>
        </w:tc>
        <w:tc>
          <w:tcPr>
            <w:tcW w:w="350" w:type="dxa"/>
            <w:tcBorders>
              <w:top w:val="single" w:sz="2" w:space="0" w:color="000000"/>
            </w:tcBorders>
            <w:tcMar>
              <w:top w:w="28" w:type="dxa"/>
            </w:tcM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b/>
                <w:sz w:val="20"/>
              </w:rPr>
            </w:pPr>
            <w:r>
              <w:rPr>
                <w:b/>
                <w:sz w:val="20"/>
              </w:rPr>
              <w:t>Other income / (expense):</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sz w:val="20"/>
              </w:rPr>
            </w:pPr>
            <w:r>
              <w:rPr>
                <w:sz w:val="20"/>
              </w:rPr>
              <w:t>Interest Income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7</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156</w:t>
            </w:r>
          </w:p>
        </w:tc>
        <w:tc>
          <w:tcPr>
            <w:tcW w:w="35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sz w:val="20"/>
              </w:rPr>
            </w:pPr>
            <w:r>
              <w:rPr>
                <w:sz w:val="20"/>
              </w:rPr>
              <w:t>Change in fair value of warrant liabilities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3,158</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9,572</w:t>
            </w:r>
          </w:p>
        </w:tc>
        <w:tc>
          <w:tcPr>
            <w:tcW w:w="35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sz w:val="20"/>
              </w:rPr>
            </w:pPr>
            <w:r>
              <w:rPr>
                <w:sz w:val="20"/>
              </w:rPr>
              <w:t xml:space="preserve">Other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980" w:type="dxa"/>
            <w:tcBorders>
              <w:bottom w:val="single" w:sz="2" w:space="0" w:color="000000"/>
            </w:tcBorders>
            <w:tcMar>
              <w:bottom w:w="28" w:type="dxa"/>
            </w:tcMar>
            <w:vAlign w:val="center"/>
          </w:tcPr>
          <w:p>
            <w:pPr>
              <w:pStyle w:val="TableContents"/>
              <w:bidi w:val="0"/>
              <w:spacing w:before="0" w:after="283"/>
              <w:jc w:val="right"/>
              <w:rPr>
                <w:sz w:val="20"/>
              </w:rPr>
            </w:pPr>
            <w:r>
              <w:rPr>
                <w:sz w:val="20"/>
              </w:rPr>
              <w:t>(15</w:t>
            </w:r>
          </w:p>
        </w:tc>
        <w:tc>
          <w:tcPr>
            <w:tcW w:w="155" w:type="dxa"/>
            <w:tcBorders>
              <w:bottom w:val="single" w:sz="2" w:space="0" w:color="000000"/>
            </w:tcBorders>
            <w:tcMar>
              <w:bottom w:w="28" w:type="dxa"/>
            </w:tcMar>
            <w:vAlign w:val="center"/>
          </w:tcPr>
          <w:p>
            <w:pPr>
              <w:pStyle w:val="TableContents"/>
              <w:bidi w:val="0"/>
              <w:spacing w:before="0" w:after="283"/>
              <w:jc w:val="left"/>
              <w:rPr>
                <w:sz w:val="20"/>
              </w:rPr>
            </w:pPr>
            <w:r>
              <w:rPr>
                <w:sz w:val="20"/>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980" w:type="dxa"/>
            <w:tcBorders>
              <w:bottom w:val="single" w:sz="2" w:space="0" w:color="000000"/>
            </w:tcBorders>
            <w:tcMar>
              <w:bottom w:w="28" w:type="dxa"/>
            </w:tcMar>
            <w:vAlign w:val="center"/>
          </w:tcPr>
          <w:p>
            <w:pPr>
              <w:pStyle w:val="TableContents"/>
              <w:bidi w:val="0"/>
              <w:spacing w:before="0" w:after="283"/>
              <w:jc w:val="right"/>
              <w:rPr>
                <w:sz w:val="20"/>
              </w:rPr>
            </w:pPr>
            <w:r>
              <w:rPr>
                <w:sz w:val="20"/>
              </w:rPr>
              <w:t>(36</w:t>
            </w:r>
          </w:p>
        </w:tc>
        <w:tc>
          <w:tcPr>
            <w:tcW w:w="350" w:type="dxa"/>
            <w:tcBorders>
              <w:bottom w:val="single" w:sz="2" w:space="0" w:color="000000"/>
            </w:tcBorders>
            <w:tcMar>
              <w:bottom w:w="28" w:type="dxa"/>
            </w:tcMar>
            <w:vAlign w:val="center"/>
          </w:tcPr>
          <w:p>
            <w:pPr>
              <w:pStyle w:val="TableContents"/>
              <w:bidi w:val="0"/>
              <w:spacing w:before="0" w:after="283"/>
              <w:jc w:val="left"/>
              <w:rPr>
                <w:sz w:val="20"/>
              </w:rPr>
            </w:pPr>
            <w:r>
              <w:rPr>
                <w:sz w:val="20"/>
              </w:rPr>
              <w:t>) </w:t>
            </w:r>
          </w:p>
        </w:tc>
      </w:tr>
      <w:tr>
        <w:trPr/>
        <w:tc>
          <w:tcPr>
            <w:tcW w:w="7250" w:type="dxa"/>
            <w:tcBorders/>
            <w:shd w:fill="CCEEFF" w:val="clear"/>
            <w:vAlign w:val="center"/>
          </w:tcPr>
          <w:p>
            <w:pPr>
              <w:pStyle w:val="TableContents"/>
              <w:bidi w:val="0"/>
              <w:spacing w:before="0" w:after="283"/>
              <w:jc w:val="left"/>
              <w:rPr>
                <w:sz w:val="20"/>
              </w:rPr>
            </w:pPr>
            <w:r>
              <w:rPr>
                <w:sz w:val="20"/>
              </w:rPr>
              <w:t>Total other income / (expense), net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3,150</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9,692</w:t>
            </w:r>
          </w:p>
        </w:tc>
        <w:tc>
          <w:tcPr>
            <w:tcW w:w="3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b/>
                <w:sz w:val="20"/>
              </w:rPr>
            </w:pPr>
            <w:r>
              <w:rPr>
                <w:b/>
                <w:sz w:val="20"/>
              </w:rPr>
              <w:t>Net loss</w:t>
            </w:r>
          </w:p>
        </w:tc>
        <w:tc>
          <w:tcPr>
            <w:tcW w:w="90" w:type="dxa"/>
            <w:tcBorders/>
            <w:vAlign w:val="center"/>
          </w:tcPr>
          <w:p>
            <w:pPr>
              <w:pStyle w:val="TableContents"/>
              <w:bidi w:val="0"/>
              <w:spacing w:before="0" w:after="283"/>
              <w:jc w:val="left"/>
              <w:rPr/>
            </w:pPr>
            <w:r>
              <w:rPr/>
              <w:t> </w:t>
            </w:r>
          </w:p>
        </w:tc>
        <w:tc>
          <w:tcPr>
            <w:tcW w:w="155" w:type="dxa"/>
            <w:tcBorders>
              <w:bottom w:val="double" w:sz="6" w:space="0" w:color="000000"/>
            </w:tcBorders>
            <w:tcMar>
              <w:bottom w:w="28" w:type="dxa"/>
            </w:tcMar>
            <w:vAlign w:val="center"/>
          </w:tcPr>
          <w:p>
            <w:pPr>
              <w:pStyle w:val="TableContents"/>
              <w:bidi w:val="0"/>
              <w:spacing w:before="0" w:after="283"/>
              <w:jc w:val="left"/>
              <w:rPr>
                <w:sz w:val="20"/>
              </w:rPr>
            </w:pPr>
            <w:r>
              <w:rPr>
                <w:sz w:val="20"/>
              </w:rPr>
              <w:t>$</w:t>
            </w:r>
          </w:p>
        </w:tc>
        <w:tc>
          <w:tcPr>
            <w:tcW w:w="980" w:type="dxa"/>
            <w:tcBorders>
              <w:bottom w:val="double" w:sz="6" w:space="0" w:color="000000"/>
            </w:tcBorders>
            <w:tcMar>
              <w:bottom w:w="28" w:type="dxa"/>
            </w:tcMar>
            <w:vAlign w:val="center"/>
          </w:tcPr>
          <w:p>
            <w:pPr>
              <w:pStyle w:val="TableContents"/>
              <w:bidi w:val="0"/>
              <w:spacing w:before="0" w:after="283"/>
              <w:jc w:val="right"/>
              <w:rPr>
                <w:sz w:val="20"/>
              </w:rPr>
            </w:pPr>
            <w:r>
              <w:rPr>
                <w:sz w:val="20"/>
              </w:rPr>
              <w:t>(10,335</w:t>
            </w:r>
          </w:p>
        </w:tc>
        <w:tc>
          <w:tcPr>
            <w:tcW w:w="155" w:type="dxa"/>
            <w:tcBorders>
              <w:bottom w:val="double" w:sz="6" w:space="0" w:color="000000"/>
            </w:tcBorders>
            <w:tcMar>
              <w:bottom w:w="28" w:type="dxa"/>
            </w:tcMar>
            <w:vAlign w:val="center"/>
          </w:tcPr>
          <w:p>
            <w:pPr>
              <w:pStyle w:val="TableContents"/>
              <w:bidi w:val="0"/>
              <w:spacing w:before="0" w:after="283"/>
              <w:jc w:val="left"/>
              <w:rPr>
                <w:sz w:val="20"/>
              </w:rPr>
            </w:pPr>
            <w:r>
              <w:rPr>
                <w:sz w:val="20"/>
              </w:rPr>
              <w:t>) </w:t>
            </w:r>
          </w:p>
        </w:tc>
        <w:tc>
          <w:tcPr>
            <w:tcW w:w="90" w:type="dxa"/>
            <w:tcBorders/>
            <w:vAlign w:val="center"/>
          </w:tcPr>
          <w:p>
            <w:pPr>
              <w:pStyle w:val="TableContents"/>
              <w:bidi w:val="0"/>
              <w:spacing w:before="0" w:after="283"/>
              <w:jc w:val="left"/>
              <w:rPr/>
            </w:pPr>
            <w:r>
              <w:rPr/>
              <w:t> </w:t>
            </w:r>
          </w:p>
        </w:tc>
        <w:tc>
          <w:tcPr>
            <w:tcW w:w="155" w:type="dxa"/>
            <w:tcBorders>
              <w:bottom w:val="double" w:sz="6" w:space="0" w:color="000000"/>
            </w:tcBorders>
            <w:tcMar>
              <w:bottom w:w="28" w:type="dxa"/>
            </w:tcMar>
            <w:vAlign w:val="center"/>
          </w:tcPr>
          <w:p>
            <w:pPr>
              <w:pStyle w:val="TableContents"/>
              <w:bidi w:val="0"/>
              <w:spacing w:before="0" w:after="283"/>
              <w:jc w:val="left"/>
              <w:rPr>
                <w:sz w:val="20"/>
              </w:rPr>
            </w:pPr>
            <w:r>
              <w:rPr>
                <w:sz w:val="20"/>
              </w:rPr>
              <w:t>$</w:t>
            </w:r>
          </w:p>
        </w:tc>
        <w:tc>
          <w:tcPr>
            <w:tcW w:w="980" w:type="dxa"/>
            <w:tcBorders>
              <w:bottom w:val="double" w:sz="6" w:space="0" w:color="000000"/>
            </w:tcBorders>
            <w:tcMar>
              <w:bottom w:w="28" w:type="dxa"/>
            </w:tcMar>
            <w:vAlign w:val="center"/>
          </w:tcPr>
          <w:p>
            <w:pPr>
              <w:pStyle w:val="TableContents"/>
              <w:bidi w:val="0"/>
              <w:spacing w:before="0" w:after="283"/>
              <w:jc w:val="right"/>
              <w:rPr>
                <w:sz w:val="20"/>
              </w:rPr>
            </w:pPr>
            <w:r>
              <w:rPr>
                <w:sz w:val="20"/>
              </w:rPr>
              <w:t>(5,875</w:t>
            </w:r>
          </w:p>
        </w:tc>
        <w:tc>
          <w:tcPr>
            <w:tcW w:w="350" w:type="dxa"/>
            <w:tcBorders>
              <w:bottom w:val="double" w:sz="6" w:space="0" w:color="000000"/>
            </w:tcBorders>
            <w:tcMar>
              <w:bottom w:w="28" w:type="dxa"/>
            </w:tcMar>
            <w:vAlign w:val="center"/>
          </w:tcPr>
          <w:p>
            <w:pPr>
              <w:pStyle w:val="TableContents"/>
              <w:bidi w:val="0"/>
              <w:spacing w:before="0" w:after="283"/>
              <w:jc w:val="left"/>
              <w:rPr>
                <w:sz w:val="20"/>
              </w:rPr>
            </w:pPr>
            <w:r>
              <w:rPr>
                <w:sz w:val="20"/>
              </w:rPr>
              <w:t>) </w:t>
            </w:r>
          </w:p>
        </w:tc>
      </w:tr>
      <w:tr>
        <w:trPr/>
        <w:tc>
          <w:tcPr>
            <w:tcW w:w="72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sz w:val="20"/>
              </w:rPr>
            </w:pPr>
            <w:r>
              <w:rPr>
                <w:sz w:val="20"/>
              </w:rPr>
              <w:t>Less: Convertible preferred stock dividends</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980" w:type="dxa"/>
            <w:tcBorders>
              <w:bottom w:val="single" w:sz="2" w:space="0" w:color="000000"/>
            </w:tcBorders>
            <w:tcMar>
              <w:bottom w:w="28" w:type="dxa"/>
            </w:tcMar>
            <w:vAlign w:val="center"/>
          </w:tcPr>
          <w:p>
            <w:pPr>
              <w:pStyle w:val="TableContents"/>
              <w:bidi w:val="0"/>
              <w:spacing w:before="0" w:after="283"/>
              <w:jc w:val="right"/>
              <w:rPr>
                <w:sz w:val="20"/>
              </w:rPr>
            </w:pPr>
            <w:r>
              <w:rPr>
                <w:sz w:val="20"/>
              </w:rPr>
              <w:t>(903</w:t>
            </w:r>
          </w:p>
        </w:tc>
        <w:tc>
          <w:tcPr>
            <w:tcW w:w="155" w:type="dxa"/>
            <w:tcBorders>
              <w:bottom w:val="single" w:sz="2" w:space="0" w:color="000000"/>
            </w:tcBorders>
            <w:tcMar>
              <w:bottom w:w="28" w:type="dxa"/>
            </w:tcMar>
            <w:vAlign w:val="center"/>
          </w:tcPr>
          <w:p>
            <w:pPr>
              <w:pStyle w:val="TableContents"/>
              <w:bidi w:val="0"/>
              <w:spacing w:before="0" w:after="283"/>
              <w:jc w:val="left"/>
              <w:rPr>
                <w:sz w:val="20"/>
              </w:rPr>
            </w:pPr>
            <w:r>
              <w:rPr>
                <w:sz w:val="20"/>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980" w:type="dxa"/>
            <w:tcBorders>
              <w:bottom w:val="single" w:sz="2" w:space="0" w:color="000000"/>
            </w:tcBorders>
            <w:tcMar>
              <w:bottom w:w="28" w:type="dxa"/>
            </w:tcMar>
            <w:vAlign w:val="center"/>
          </w:tcPr>
          <w:p>
            <w:pPr>
              <w:pStyle w:val="TableContents"/>
              <w:bidi w:val="0"/>
              <w:spacing w:before="0" w:after="283"/>
              <w:jc w:val="right"/>
              <w:rPr>
                <w:sz w:val="20"/>
              </w:rPr>
            </w:pPr>
            <w:r>
              <w:rPr>
                <w:sz w:val="20"/>
              </w:rPr>
              <w:t>(1,218</w:t>
            </w:r>
          </w:p>
        </w:tc>
        <w:tc>
          <w:tcPr>
            <w:tcW w:w="350" w:type="dxa"/>
            <w:tcBorders>
              <w:bottom w:val="single" w:sz="2" w:space="0" w:color="000000"/>
            </w:tcBorders>
            <w:tcMar>
              <w:bottom w:w="28" w:type="dxa"/>
            </w:tcMar>
            <w:vAlign w:val="center"/>
          </w:tcPr>
          <w:p>
            <w:pPr>
              <w:pStyle w:val="TableContents"/>
              <w:bidi w:val="0"/>
              <w:spacing w:before="0" w:after="283"/>
              <w:jc w:val="left"/>
              <w:rPr>
                <w:sz w:val="20"/>
              </w:rPr>
            </w:pPr>
            <w:r>
              <w:rPr>
                <w:sz w:val="20"/>
              </w:rPr>
              <w:t>) </w:t>
            </w:r>
          </w:p>
        </w:tc>
      </w:tr>
      <w:tr>
        <w:trPr/>
        <w:tc>
          <w:tcPr>
            <w:tcW w:w="7250" w:type="dxa"/>
            <w:tcBorders/>
            <w:shd w:fill="CCEEFF" w:val="clear"/>
            <w:vAlign w:val="center"/>
          </w:tcPr>
          <w:p>
            <w:pPr>
              <w:pStyle w:val="TableContents"/>
              <w:bidi w:val="0"/>
              <w:spacing w:before="0" w:after="283"/>
              <w:jc w:val="left"/>
              <w:rPr>
                <w:b/>
                <w:sz w:val="20"/>
              </w:rPr>
            </w:pPr>
            <w:r>
              <w:rPr>
                <w:b/>
                <w:sz w:val="20"/>
              </w:rPr>
              <w:t>Net loss attributable to common stockholders</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(11,238</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(7,093</w:t>
            </w:r>
          </w:p>
        </w:tc>
        <w:tc>
          <w:tcPr>
            <w:tcW w:w="350"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w:t>
            </w:r>
          </w:p>
        </w:tc>
      </w:tr>
      <w:tr>
        <w:trPr/>
        <w:tc>
          <w:tcPr>
            <w:tcW w:w="7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sz w:val="20"/>
              </w:rPr>
            </w:pPr>
            <w:r>
              <w:rPr>
                <w:sz w:val="20"/>
              </w:rPr>
              <w:t>Net loss per basic and diluted share of Common Stock</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980" w:type="dxa"/>
            <w:tcBorders/>
            <w:shd w:fill="CCEEFF" w:val="clear"/>
            <w:vAlign w:val="center"/>
          </w:tcPr>
          <w:p>
            <w:pPr>
              <w:pStyle w:val="TableContents"/>
              <w:bidi w:val="0"/>
              <w:spacing w:before="0" w:after="283"/>
              <w:jc w:val="right"/>
              <w:rPr>
                <w:sz w:val="20"/>
              </w:rPr>
            </w:pPr>
            <w:r>
              <w:rPr>
                <w:sz w:val="20"/>
              </w:rPr>
              <w:t>(0.22</w:t>
            </w:r>
          </w:p>
        </w:tc>
        <w:tc>
          <w:tcPr>
            <w:tcW w:w="155" w:type="dxa"/>
            <w:tcBorders/>
            <w:shd w:fill="CCEEFF" w:val="clear"/>
            <w:vAlign w:val="center"/>
          </w:tcPr>
          <w:p>
            <w:pPr>
              <w:pStyle w:val="TableContents"/>
              <w:bidi w:val="0"/>
              <w:spacing w:before="0" w:after="283"/>
              <w:jc w:val="lef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980" w:type="dxa"/>
            <w:tcBorders/>
            <w:shd w:fill="CCEEFF" w:val="clear"/>
            <w:vAlign w:val="center"/>
          </w:tcPr>
          <w:p>
            <w:pPr>
              <w:pStyle w:val="TableContents"/>
              <w:bidi w:val="0"/>
              <w:spacing w:before="0" w:after="283"/>
              <w:jc w:val="right"/>
              <w:rPr>
                <w:sz w:val="20"/>
              </w:rPr>
            </w:pPr>
            <w:r>
              <w:rPr>
                <w:sz w:val="20"/>
              </w:rPr>
              <w:t>(0.16</w:t>
            </w:r>
          </w:p>
        </w:tc>
        <w:tc>
          <w:tcPr>
            <w:tcW w:w="350" w:type="dxa"/>
            <w:tcBorders/>
            <w:shd w:fill="CCEEFF" w:val="clear"/>
            <w:vAlign w:val="center"/>
          </w:tcPr>
          <w:p>
            <w:pPr>
              <w:pStyle w:val="TableContents"/>
              <w:bidi w:val="0"/>
              <w:spacing w:before="0" w:after="283"/>
              <w:jc w:val="left"/>
              <w:rPr>
                <w:sz w:val="20"/>
              </w:rPr>
            </w:pPr>
            <w:r>
              <w:rPr>
                <w:sz w:val="20"/>
              </w:rPr>
              <w:t>) </w:t>
            </w:r>
          </w:p>
        </w:tc>
      </w:tr>
      <w:tr>
        <w:trPr/>
        <w:tc>
          <w:tcPr>
            <w:tcW w:w="7250" w:type="dxa"/>
            <w:tcBorders/>
            <w:vAlign w:val="center"/>
          </w:tcPr>
          <w:p>
            <w:pPr>
              <w:pStyle w:val="TableContents"/>
              <w:bidi w:val="0"/>
              <w:spacing w:before="0" w:after="283"/>
              <w:jc w:val="left"/>
              <w:rPr>
                <w:sz w:val="20"/>
              </w:rPr>
            </w:pPr>
            <w:r>
              <w:rPr>
                <w:sz w:val="20"/>
              </w:rPr>
              <w:t>Weighted average shares of Common Stock used to compute net loss per basic and diluted shares of Common Stock</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50,390,735</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45,621,214</w:t>
            </w:r>
          </w:p>
        </w:tc>
        <w:tc>
          <w:tcPr>
            <w:tcW w:w="350" w:type="dxa"/>
            <w:tcBorders/>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b/>
                <w:sz w:val="20"/>
              </w:rPr>
            </w:pPr>
            <w:r>
              <w:rPr>
                <w:b/>
                <w:sz w:val="20"/>
              </w:rPr>
              <w:t>Comprehensive loss: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ind w:left="0" w:right="0" w:firstLine="150"/>
              <w:jc w:val="left"/>
              <w:rPr/>
            </w:pPr>
            <w:r>
              <w:rPr/>
              <w:t> </w:t>
            </w:r>
          </w:p>
        </w:tc>
      </w:tr>
      <w:tr>
        <w:trPr/>
        <w:tc>
          <w:tcPr>
            <w:tcW w:w="7250" w:type="dxa"/>
            <w:tcBorders/>
            <w:shd w:fill="CCEEFF" w:val="clear"/>
            <w:vAlign w:val="center"/>
          </w:tcPr>
          <w:p>
            <w:pPr>
              <w:pStyle w:val="TableContents"/>
              <w:bidi w:val="0"/>
              <w:spacing w:before="0" w:after="283"/>
              <w:jc w:val="left"/>
              <w:rPr>
                <w:sz w:val="20"/>
              </w:rPr>
            </w:pPr>
            <w:r>
              <w:rPr>
                <w:sz w:val="20"/>
              </w:rPr>
              <w:t>Net loss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980" w:type="dxa"/>
            <w:tcBorders/>
            <w:shd w:fill="CCEEFF" w:val="clear"/>
            <w:vAlign w:val="center"/>
          </w:tcPr>
          <w:p>
            <w:pPr>
              <w:pStyle w:val="TableContents"/>
              <w:bidi w:val="0"/>
              <w:spacing w:before="0" w:after="283"/>
              <w:jc w:val="right"/>
              <w:rPr>
                <w:sz w:val="20"/>
              </w:rPr>
            </w:pPr>
            <w:r>
              <w:rPr>
                <w:sz w:val="20"/>
              </w:rPr>
              <w:t>(10,335</w:t>
            </w:r>
          </w:p>
        </w:tc>
        <w:tc>
          <w:tcPr>
            <w:tcW w:w="155" w:type="dxa"/>
            <w:tcBorders/>
            <w:shd w:fill="CCEEFF" w:val="clear"/>
            <w:vAlign w:val="center"/>
          </w:tcPr>
          <w:p>
            <w:pPr>
              <w:pStyle w:val="TableContents"/>
              <w:bidi w:val="0"/>
              <w:spacing w:before="0" w:after="283"/>
              <w:jc w:val="left"/>
              <w:rPr>
                <w:sz w:val="20"/>
              </w:rPr>
            </w:pPr>
            <w:r>
              <w:rPr>
                <w:sz w:val="20"/>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980" w:type="dxa"/>
            <w:tcBorders/>
            <w:shd w:fill="CCEEFF" w:val="clear"/>
            <w:vAlign w:val="center"/>
          </w:tcPr>
          <w:p>
            <w:pPr>
              <w:pStyle w:val="TableContents"/>
              <w:bidi w:val="0"/>
              <w:spacing w:before="0" w:after="283"/>
              <w:jc w:val="right"/>
              <w:rPr>
                <w:sz w:val="20"/>
              </w:rPr>
            </w:pPr>
            <w:r>
              <w:rPr>
                <w:sz w:val="20"/>
              </w:rPr>
              <w:t>(5,875</w:t>
            </w:r>
          </w:p>
        </w:tc>
        <w:tc>
          <w:tcPr>
            <w:tcW w:w="350" w:type="dxa"/>
            <w:tcBorders/>
            <w:shd w:fill="CCEEFF" w:val="clear"/>
            <w:vAlign w:val="center"/>
          </w:tcPr>
          <w:p>
            <w:pPr>
              <w:pStyle w:val="TableContents"/>
              <w:bidi w:val="0"/>
              <w:spacing w:before="0" w:after="283"/>
              <w:ind w:left="0" w:right="0" w:firstLine="150"/>
              <w:jc w:val="left"/>
              <w:rPr>
                <w:sz w:val="20"/>
              </w:rPr>
            </w:pPr>
            <w:r>
              <w:rPr>
                <w:sz w:val="20"/>
              </w:rPr>
              <w:t>) </w:t>
            </w:r>
          </w:p>
        </w:tc>
      </w:tr>
      <w:tr>
        <w:trPr/>
        <w:tc>
          <w:tcPr>
            <w:tcW w:w="7250" w:type="dxa"/>
            <w:tcBorders/>
            <w:vAlign w:val="center"/>
          </w:tcPr>
          <w:p>
            <w:pPr>
              <w:pStyle w:val="TableContents"/>
              <w:bidi w:val="0"/>
              <w:spacing w:before="0" w:after="283"/>
              <w:jc w:val="left"/>
              <w:rPr>
                <w:sz w:val="20"/>
              </w:rPr>
            </w:pPr>
            <w:r>
              <w:rPr>
                <w:sz w:val="20"/>
              </w:rPr>
              <w:t>Comprehensive loss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20"/>
              </w:rPr>
            </w:pPr>
            <w:r>
              <w:rPr>
                <w:sz w:val="20"/>
              </w:rPr>
              <w:t>$</w:t>
            </w:r>
          </w:p>
        </w:tc>
        <w:tc>
          <w:tcPr>
            <w:tcW w:w="980" w:type="dxa"/>
            <w:tcBorders/>
            <w:vAlign w:val="center"/>
          </w:tcPr>
          <w:p>
            <w:pPr>
              <w:pStyle w:val="TableContents"/>
              <w:bidi w:val="0"/>
              <w:spacing w:before="0" w:after="283"/>
              <w:jc w:val="right"/>
              <w:rPr>
                <w:sz w:val="20"/>
              </w:rPr>
            </w:pPr>
            <w:r>
              <w:rPr>
                <w:sz w:val="20"/>
              </w:rPr>
              <w:t>(10,335</w:t>
            </w:r>
          </w:p>
        </w:tc>
        <w:tc>
          <w:tcPr>
            <w:tcW w:w="155" w:type="dxa"/>
            <w:tcBorders/>
            <w:vAlign w:val="center"/>
          </w:tcPr>
          <w:p>
            <w:pPr>
              <w:pStyle w:val="TableContents"/>
              <w:bidi w:val="0"/>
              <w:spacing w:before="0" w:after="283"/>
              <w:jc w:val="left"/>
              <w:rPr>
                <w:sz w:val="20"/>
              </w:rPr>
            </w:pPr>
            <w:r>
              <w:rPr>
                <w:sz w:val="20"/>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20"/>
              </w:rPr>
            </w:pPr>
            <w:r>
              <w:rPr>
                <w:sz w:val="20"/>
              </w:rPr>
              <w:t>$</w:t>
            </w:r>
          </w:p>
        </w:tc>
        <w:tc>
          <w:tcPr>
            <w:tcW w:w="980" w:type="dxa"/>
            <w:tcBorders/>
            <w:vAlign w:val="center"/>
          </w:tcPr>
          <w:p>
            <w:pPr>
              <w:pStyle w:val="TableContents"/>
              <w:bidi w:val="0"/>
              <w:spacing w:before="0" w:after="283"/>
              <w:jc w:val="right"/>
              <w:rPr>
                <w:sz w:val="20"/>
              </w:rPr>
            </w:pPr>
            <w:r>
              <w:rPr>
                <w:sz w:val="20"/>
              </w:rPr>
              <w:t>(5,875</w:t>
            </w:r>
          </w:p>
        </w:tc>
        <w:tc>
          <w:tcPr>
            <w:tcW w:w="350" w:type="dxa"/>
            <w:tcBorders/>
            <w:vAlign w:val="center"/>
          </w:tcPr>
          <w:p>
            <w:pPr>
              <w:pStyle w:val="TableContents"/>
              <w:bidi w:val="0"/>
              <w:spacing w:before="0" w:after="283"/>
              <w:jc w:val="left"/>
              <w:rPr>
                <w:sz w:val="20"/>
              </w:rPr>
            </w:pPr>
            <w:r>
              <w:rPr>
                <w:sz w:val="20"/>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F-4</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center"/>
        <w:rPr>
          <w:rFonts w:ascii="Times New Roman" w:hAnsi="Times New Roman"/>
          <w:sz w:val="24"/>
          <w:shd w:fill="FFFFFF" w:val="clear"/>
        </w:rPr>
      </w:pPr>
      <w:r>
        <w:rPr>
          <w:rFonts w:ascii="Times New Roman" w:hAnsi="Times New Roman"/>
          <w:b/>
          <w:sz w:val="20"/>
          <w:shd w:fill="FFFFFF" w:val="clear"/>
        </w:rPr>
        <w:t>Wrap Technologies, Inc.</w:t>
      </w:r>
      <w:r>
        <w:rPr>
          <w:rFonts w:ascii="Times New Roman" w:hAnsi="Times New Roman"/>
          <w:sz w:val="24"/>
          <w:shd w:fill="FFFFFF" w:val="clear"/>
        </w:rPr>
        <w:t xml:space="preserve"> </w:t>
      </w:r>
    </w:p>
    <w:p>
      <w:pPr>
        <w:pStyle w:val="TextBody"/>
        <w:bidi w:val="0"/>
        <w:spacing w:before="0" w:after="0"/>
        <w:jc w:val="center"/>
        <w:rPr>
          <w:rFonts w:ascii="Times New Roman" w:hAnsi="Times New Roman"/>
          <w:sz w:val="24"/>
          <w:shd w:fill="FFFFFF" w:val="clear"/>
        </w:rPr>
      </w:pPr>
      <w:bookmarkStart w:id="31" w:name="equity"/>
      <w:bookmarkEnd w:id="31"/>
      <w:r>
        <w:rPr>
          <w:rFonts w:ascii="Times New Roman" w:hAnsi="Times New Roman"/>
          <w:b/>
          <w:sz w:val="20"/>
          <w:shd w:fill="FFFFFF" w:val="clear"/>
        </w:rPr>
        <w:t>Consolidated Statements of Stockholders' Equity</w:t>
      </w:r>
      <w:r>
        <w:rPr>
          <w:rFonts w:ascii="Times New Roman" w:hAnsi="Times New Roman"/>
          <w:sz w:val="24"/>
          <w:shd w:fill="FFFFFF" w:val="clear"/>
        </w:rPr>
        <w:t xml:space="preserve"> </w:t>
      </w:r>
    </w:p>
    <w:p>
      <w:pPr>
        <w:pStyle w:val="TextBody"/>
        <w:bidi w:val="0"/>
        <w:spacing w:before="0" w:after="0"/>
        <w:jc w:val="center"/>
        <w:rPr>
          <w:rFonts w:ascii="Times New Roman" w:hAnsi="Times New Roman"/>
          <w:sz w:val="24"/>
          <w:shd w:fill="FFFFFF" w:val="clear"/>
        </w:rPr>
      </w:pPr>
      <w:r>
        <w:rPr>
          <w:rFonts w:ascii="Times New Roman" w:hAnsi="Times New Roman"/>
          <w:sz w:val="20"/>
          <w:shd w:fill="FFFFFF" w:val="clear"/>
        </w:rPr>
        <w:t>(in thousands, except share and per share amounts)</w:t>
      </w:r>
      <w:r>
        <w:rPr>
          <w:rFonts w:ascii="Times New Roman" w:hAnsi="Times New Roman"/>
          <w:sz w:val="24"/>
          <w:shd w:fill="FFFFFF" w:val="clear"/>
        </w:rPr>
        <w:t xml:space="preserve"> </w:t>
      </w:r>
    </w:p>
    <w:p>
      <w:pPr>
        <w:pStyle w:val="TextBody"/>
        <w:bidi w:val="0"/>
        <w:spacing w:before="0" w:after="0"/>
        <w:jc w:val="left"/>
        <w:rPr/>
      </w:pPr>
      <w:r>
        <w:rPr/>
        <w:t> </w:t>
      </w:r>
    </w:p>
    <w:tbl>
      <w:tblPr>
        <w:tblW w:w="12500" w:type="dxa"/>
        <w:jc w:val="left"/>
        <w:tblInd w:w="0" w:type="dxa"/>
        <w:tblLayout w:type="fixed"/>
        <w:tblCellMar>
          <w:top w:w="0" w:type="dxa"/>
          <w:left w:w="0" w:type="dxa"/>
          <w:bottom w:w="0" w:type="dxa"/>
          <w:right w:w="0" w:type="dxa"/>
        </w:tblCellMar>
      </w:tblPr>
      <w:tblGrid>
        <w:gridCol w:w="1370"/>
        <w:gridCol w:w="90"/>
        <w:gridCol w:w="980"/>
        <w:gridCol w:w="90"/>
        <w:gridCol w:w="90"/>
        <w:gridCol w:w="155"/>
        <w:gridCol w:w="725"/>
        <w:gridCol w:w="90"/>
        <w:gridCol w:w="90"/>
        <w:gridCol w:w="90"/>
        <w:gridCol w:w="875"/>
        <w:gridCol w:w="155"/>
        <w:gridCol w:w="90"/>
        <w:gridCol w:w="155"/>
        <w:gridCol w:w="725"/>
        <w:gridCol w:w="90"/>
        <w:gridCol w:w="90"/>
        <w:gridCol w:w="90"/>
        <w:gridCol w:w="875"/>
        <w:gridCol w:w="90"/>
        <w:gridCol w:w="90"/>
        <w:gridCol w:w="155"/>
        <w:gridCol w:w="725"/>
        <w:gridCol w:w="90"/>
        <w:gridCol w:w="90"/>
        <w:gridCol w:w="155"/>
        <w:gridCol w:w="950"/>
        <w:gridCol w:w="90"/>
        <w:gridCol w:w="90"/>
        <w:gridCol w:w="155"/>
        <w:gridCol w:w="1160"/>
        <w:gridCol w:w="155"/>
        <w:gridCol w:w="90"/>
        <w:gridCol w:w="155"/>
        <w:gridCol w:w="1145"/>
        <w:gridCol w:w="200"/>
      </w:tblGrid>
      <w:tr>
        <w:trPr/>
        <w:tc>
          <w:tcPr>
            <w:tcW w:w="13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pPr>
            <w:r>
              <w:rPr/>
              <w:t> </w:t>
            </w:r>
          </w:p>
        </w:tc>
        <w:tc>
          <w:tcPr>
            <w:tcW w:w="2220" w:type="dxa"/>
            <w:gridSpan w:val="7"/>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0" w:type="dxa"/>
            <w:gridSpan w:val="7"/>
            <w:tcBorders>
              <w:bottom w:val="single" w:sz="2" w:space="0" w:color="000000"/>
            </w:tcBorders>
            <w:tcMar>
              <w:bottom w:w="28" w:type="dxa"/>
            </w:tcMar>
            <w:vAlign w:val="center"/>
          </w:tcPr>
          <w:p>
            <w:pPr>
              <w:pStyle w:val="TableContents"/>
              <w:bidi w:val="0"/>
              <w:spacing w:before="0" w:after="283"/>
              <w:jc w:val="center"/>
              <w:rPr>
                <w:b/>
                <w:sz w:val="20"/>
              </w:rPr>
            </w:pPr>
            <w:r>
              <w:rPr>
                <w:b/>
                <w:sz w:val="20"/>
              </w:rPr>
              <w:t>Series A Convertible</w:t>
            </w:r>
          </w:p>
        </w:tc>
        <w:tc>
          <w:tcPr>
            <w:tcW w:w="90" w:type="dxa"/>
            <w:tcBorders/>
            <w:vAlign w:val="center"/>
          </w:tcPr>
          <w:p>
            <w:pPr>
              <w:pStyle w:val="TableContents"/>
              <w:bidi w:val="0"/>
              <w:spacing w:before="0" w:after="283"/>
              <w:jc w:val="left"/>
              <w:rPr/>
            </w:pPr>
            <w:r>
              <w:rPr/>
              <w:t> </w:t>
            </w:r>
          </w:p>
        </w:tc>
        <w:tc>
          <w:tcPr>
            <w:tcW w:w="2115" w:type="dxa"/>
            <w:gridSpan w:val="7"/>
            <w:tcBorders>
              <w:bottom w:val="single" w:sz="2" w:space="0" w:color="000000"/>
            </w:tcBorders>
            <w:tcMar>
              <w:bottom w:w="28" w:type="dxa"/>
            </w:tcMar>
            <w:vAlign w:val="center"/>
          </w:tcPr>
          <w:p>
            <w:pPr>
              <w:pStyle w:val="TableContents"/>
              <w:bidi w:val="0"/>
              <w:spacing w:before="0" w:after="283"/>
              <w:jc w:val="center"/>
              <w:rPr>
                <w:b/>
                <w:sz w:val="20"/>
              </w:rPr>
            </w:pPr>
            <w:r>
              <w:rPr>
                <w:b/>
                <w:sz w:val="20"/>
              </w:rPr>
              <w:t>Series B Convertible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b/>
                <w:sz w:val="20"/>
              </w:rPr>
            </w:pPr>
            <w:r>
              <w:rPr>
                <w:b/>
                <w:sz w:val="20"/>
              </w:rPr>
              <w:t>Additional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sz w:val="20"/>
              </w:rPr>
            </w:pPr>
            <w:r>
              <w:rPr>
                <w:b/>
                <w:sz w:val="20"/>
              </w:rPr>
              <w:t>Total</w:t>
            </w:r>
          </w:p>
        </w:tc>
        <w:tc>
          <w:tcPr>
            <w:tcW w:w="20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980"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Common Stock</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5" w:type="dxa"/>
            <w:tcBorders>
              <w:bottom w:val="single" w:sz="2" w:space="0" w:color="000000"/>
            </w:tcBorders>
            <w:tcMar>
              <w:bottom w:w="28" w:type="dxa"/>
            </w:tcMar>
            <w:vAlign w:val="center"/>
          </w:tcPr>
          <w:p>
            <w:pPr>
              <w:pStyle w:val="TableContents"/>
              <w:bidi w:val="0"/>
              <w:spacing w:before="0" w:after="283"/>
              <w:jc w:val="center"/>
              <w:rPr/>
            </w:pPr>
            <w:r>
              <w:rPr/>
              <w:t> </w:t>
            </w:r>
          </w:p>
        </w:tc>
        <w:tc>
          <w:tcPr>
            <w:tcW w:w="72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75"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Preferred Stock</w:t>
            </w:r>
          </w:p>
        </w:tc>
        <w:tc>
          <w:tcPr>
            <w:tcW w:w="155" w:type="dxa"/>
            <w:tcBorders/>
            <w:vAlign w:val="center"/>
          </w:tcPr>
          <w:p>
            <w:pPr>
              <w:pStyle w:val="TableContents"/>
              <w:bidi w:val="0"/>
              <w:spacing w:before="0" w:after="283"/>
              <w:jc w:val="left"/>
              <w:rPr>
                <w:sz w:val="4"/>
                <w:szCs w:val="4"/>
              </w:rPr>
            </w:pPr>
            <w:r>
              <w:rPr>
                <w:sz w:val="4"/>
                <w:szCs w:val="4"/>
              </w:rPr>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5" w:type="dxa"/>
            <w:tcBorders>
              <w:bottom w:val="single" w:sz="2" w:space="0" w:color="000000"/>
            </w:tcBorders>
            <w:tcMar>
              <w:bottom w:w="28" w:type="dxa"/>
            </w:tcMar>
            <w:vAlign w:val="center"/>
          </w:tcPr>
          <w:p>
            <w:pPr>
              <w:pStyle w:val="TableContents"/>
              <w:bidi w:val="0"/>
              <w:spacing w:before="0" w:after="283"/>
              <w:jc w:val="center"/>
              <w:rPr/>
            </w:pPr>
            <w:r>
              <w:rPr/>
              <w:t> </w:t>
            </w:r>
          </w:p>
        </w:tc>
        <w:tc>
          <w:tcPr>
            <w:tcW w:w="72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sz w:val="4"/>
                <w:szCs w:val="4"/>
              </w:rPr>
            </w:pPr>
            <w:r>
              <w:rPr>
                <w:sz w:val="4"/>
                <w:szCs w:val="4"/>
              </w:rPr>
            </w:r>
          </w:p>
        </w:tc>
        <w:tc>
          <w:tcPr>
            <w:tcW w:w="875"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Preferred Stock</w:t>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5" w:type="dxa"/>
            <w:tcBorders>
              <w:bottom w:val="single" w:sz="2" w:space="0" w:color="000000"/>
            </w:tcBorders>
            <w:tcMar>
              <w:bottom w:w="28" w:type="dxa"/>
            </w:tcMar>
            <w:vAlign w:val="center"/>
          </w:tcPr>
          <w:p>
            <w:pPr>
              <w:pStyle w:val="TableContents"/>
              <w:bidi w:val="0"/>
              <w:spacing w:before="0" w:after="283"/>
              <w:jc w:val="center"/>
              <w:rPr/>
            </w:pPr>
            <w:r>
              <w:rPr/>
              <w:t> </w:t>
            </w:r>
          </w:p>
        </w:tc>
        <w:tc>
          <w:tcPr>
            <w:tcW w:w="725"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0" w:type="dxa"/>
            <w:tcBorders>
              <w:bottom w:val="single" w:sz="2" w:space="0" w:color="000000"/>
            </w:tcBorders>
            <w:tcMar>
              <w:bottom w:w="28" w:type="dxa"/>
            </w:tcMar>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b/>
                <w:sz w:val="20"/>
              </w:rPr>
            </w:pPr>
            <w:r>
              <w:rPr>
                <w:b/>
                <w:sz w:val="20"/>
              </w:rPr>
              <w:t>Paid-In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b/>
                <w:sz w:val="20"/>
              </w:rPr>
            </w:pPr>
            <w:r>
              <w:rPr>
                <w:b/>
                <w:sz w:val="20"/>
              </w:rPr>
              <w:t xml:space="preserve">Accumulated </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sz w:val="20"/>
              </w:rPr>
            </w:pPr>
            <w:r>
              <w:rPr>
                <w:b/>
                <w:sz w:val="20"/>
              </w:rPr>
              <w:t>Stockholders’</w:t>
            </w:r>
          </w:p>
        </w:tc>
        <w:tc>
          <w:tcPr>
            <w:tcW w:w="20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80"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Shares</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725"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Amount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875"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Shares</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725"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Amount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875"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Shares</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725"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Amount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Capital</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1160"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Deficit</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Equity</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70" w:type="dxa"/>
            <w:tcBorders/>
            <w:shd w:fill="CCEEFF" w:val="clear"/>
            <w:vAlign w:val="center"/>
          </w:tcPr>
          <w:p>
            <w:pPr>
              <w:pStyle w:val="TableContents"/>
              <w:bidi w:val="0"/>
              <w:spacing w:before="0" w:after="283"/>
              <w:jc w:val="left"/>
              <w:rPr>
                <w:b/>
                <w:sz w:val="20"/>
              </w:rPr>
            </w:pPr>
            <w:r>
              <w:rPr>
                <w:b/>
                <w:sz w:val="20"/>
              </w:rPr>
              <w:t>Balance at January 1, 2024</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43,855,503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725" w:type="dxa"/>
            <w:tcBorders/>
            <w:shd w:fill="CCEEFF" w:val="clear"/>
            <w:vAlign w:val="center"/>
          </w:tcPr>
          <w:p>
            <w:pPr>
              <w:pStyle w:val="TableContents"/>
              <w:bidi w:val="0"/>
              <w:spacing w:before="0" w:after="283"/>
              <w:jc w:val="right"/>
              <w:rPr>
                <w:sz w:val="20"/>
              </w:rPr>
            </w:pPr>
            <w:r>
              <w:rPr>
                <w:sz w:val="20"/>
              </w:rPr>
              <w:t>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9,898</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72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72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950" w:type="dxa"/>
            <w:tcBorders/>
            <w:shd w:fill="CCEEFF" w:val="clear"/>
            <w:vAlign w:val="center"/>
          </w:tcPr>
          <w:p>
            <w:pPr>
              <w:pStyle w:val="TableContents"/>
              <w:bidi w:val="0"/>
              <w:spacing w:before="0" w:after="283"/>
              <w:jc w:val="right"/>
              <w:rPr>
                <w:sz w:val="20"/>
              </w:rPr>
            </w:pPr>
            <w:r>
              <w:rPr>
                <w:sz w:val="20"/>
              </w:rPr>
              <w:t>101,147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1160" w:type="dxa"/>
            <w:tcBorders/>
            <w:shd w:fill="CCEEFF" w:val="clear"/>
            <w:vAlign w:val="center"/>
          </w:tcPr>
          <w:p>
            <w:pPr>
              <w:pStyle w:val="TableContents"/>
              <w:bidi w:val="0"/>
              <w:spacing w:before="0" w:after="283"/>
              <w:jc w:val="right"/>
              <w:rPr>
                <w:sz w:val="20"/>
              </w:rPr>
            </w:pPr>
            <w:r>
              <w:rPr>
                <w:sz w:val="20"/>
              </w:rPr>
              <w:t>(97,988</w:t>
            </w:r>
          </w:p>
        </w:tc>
        <w:tc>
          <w:tcPr>
            <w:tcW w:w="155" w:type="dxa"/>
            <w:tcBorders/>
            <w:shd w:fill="CCEEFF" w:val="clear"/>
            <w:vAlign w:val="center"/>
          </w:tcPr>
          <w:p>
            <w:pPr>
              <w:pStyle w:val="TableContents"/>
              <w:bidi w:val="0"/>
              <w:spacing w:before="0" w:after="283"/>
              <w:jc w:val="left"/>
              <w:rPr>
                <w:sz w:val="20"/>
              </w:rPr>
            </w:pPr>
            <w:r>
              <w:rPr>
                <w:sz w:val="20"/>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1145" w:type="dxa"/>
            <w:tcBorders/>
            <w:shd w:fill="CCEEFF" w:val="clear"/>
            <w:vAlign w:val="center"/>
          </w:tcPr>
          <w:p>
            <w:pPr>
              <w:pStyle w:val="TableContents"/>
              <w:bidi w:val="0"/>
              <w:spacing w:before="0" w:after="283"/>
              <w:jc w:val="right"/>
              <w:rPr>
                <w:sz w:val="20"/>
              </w:rPr>
            </w:pPr>
            <w:r>
              <w:rPr>
                <w:sz w:val="20"/>
              </w:rPr>
              <w:t>3,163</w:t>
            </w:r>
          </w:p>
        </w:tc>
        <w:tc>
          <w:tcPr>
            <w:tcW w:w="200" w:type="dxa"/>
            <w:tcBorders/>
            <w:shd w:fill="CCEEFF" w:val="clear"/>
            <w:vAlign w:val="center"/>
          </w:tcPr>
          <w:p>
            <w:pPr>
              <w:pStyle w:val="TableContents"/>
              <w:bidi w:val="0"/>
              <w:spacing w:before="0" w:after="283"/>
              <w:ind w:left="0" w:right="0" w:hanging="150"/>
              <w:jc w:val="left"/>
              <w:rPr/>
            </w:pPr>
            <w:r>
              <w:rPr/>
              <w:t> </w:t>
            </w:r>
          </w:p>
        </w:tc>
      </w:tr>
      <w:tr>
        <w:trPr/>
        <w:tc>
          <w:tcPr>
            <w:tcW w:w="1370" w:type="dxa"/>
            <w:tcBorders/>
            <w:vAlign w:val="center"/>
          </w:tcPr>
          <w:p>
            <w:pPr>
              <w:pStyle w:val="TableContents"/>
              <w:bidi w:val="0"/>
              <w:spacing w:before="0" w:after="283"/>
              <w:jc w:val="left"/>
              <w:rPr>
                <w:sz w:val="20"/>
              </w:rPr>
            </w:pPr>
            <w:r>
              <w:rPr>
                <w:sz w:val="20"/>
              </w:rPr>
              <w:t>Common shares issued upon exercise of stock options</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232,081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sz w:val="20"/>
              </w:rPr>
            </w:pPr>
            <w:r>
              <w:rPr>
                <w:sz w:val="20"/>
              </w:rPr>
              <w:t>-</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588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sz w:val="20"/>
              </w:rPr>
            </w:pPr>
            <w:r>
              <w:rPr>
                <w:sz w:val="20"/>
              </w:rPr>
              <w:t>-</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sz w:val="20"/>
              </w:rPr>
            </w:pPr>
            <w:r>
              <w:rPr>
                <w:sz w:val="20"/>
              </w:rPr>
              <w:t>588</w:t>
            </w:r>
          </w:p>
        </w:tc>
        <w:tc>
          <w:tcPr>
            <w:tcW w:w="200" w:type="dxa"/>
            <w:tcBorders/>
            <w:vAlign w:val="center"/>
          </w:tcPr>
          <w:p>
            <w:pPr>
              <w:pStyle w:val="TableContents"/>
              <w:bidi w:val="0"/>
              <w:spacing w:before="0" w:after="283"/>
              <w:ind w:left="0" w:right="0" w:hanging="150"/>
              <w:jc w:val="left"/>
              <w:rPr/>
            </w:pPr>
            <w:r>
              <w:rPr/>
              <w:t> </w:t>
            </w:r>
          </w:p>
        </w:tc>
      </w:tr>
      <w:tr>
        <w:trPr/>
        <w:tc>
          <w:tcPr>
            <w:tcW w:w="1370" w:type="dxa"/>
            <w:tcBorders/>
            <w:shd w:fill="CCEEFF" w:val="clear"/>
            <w:vAlign w:val="center"/>
          </w:tcPr>
          <w:p>
            <w:pPr>
              <w:pStyle w:val="TableContents"/>
              <w:bidi w:val="0"/>
              <w:spacing w:before="0" w:after="283"/>
              <w:jc w:val="left"/>
              <w:rPr>
                <w:sz w:val="20"/>
              </w:rPr>
            </w:pPr>
            <w:r>
              <w:rPr>
                <w:sz w:val="20"/>
              </w:rPr>
              <w:t>Share-based compensation expense</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2,433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sz w:val="20"/>
              </w:rPr>
            </w:pPr>
            <w:r>
              <w:rPr>
                <w:sz w:val="20"/>
              </w:rPr>
              <w:t>-</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20"/>
              </w:rPr>
            </w:pPr>
            <w:r>
              <w:rPr>
                <w:sz w:val="20"/>
              </w:rPr>
              <w:t>2,433</w:t>
            </w:r>
          </w:p>
        </w:tc>
        <w:tc>
          <w:tcPr>
            <w:tcW w:w="200" w:type="dxa"/>
            <w:tcBorders/>
            <w:shd w:fill="CCEEFF" w:val="clear"/>
            <w:vAlign w:val="center"/>
          </w:tcPr>
          <w:p>
            <w:pPr>
              <w:pStyle w:val="TableContents"/>
              <w:bidi w:val="0"/>
              <w:spacing w:before="0" w:after="283"/>
              <w:ind w:left="0" w:right="0" w:hanging="150"/>
              <w:jc w:val="left"/>
              <w:rPr/>
            </w:pPr>
            <w:r>
              <w:rPr/>
              <w:t> </w:t>
            </w:r>
          </w:p>
        </w:tc>
      </w:tr>
      <w:tr>
        <w:trPr/>
        <w:tc>
          <w:tcPr>
            <w:tcW w:w="1370" w:type="dxa"/>
            <w:tcBorders/>
            <w:vAlign w:val="center"/>
          </w:tcPr>
          <w:p>
            <w:pPr>
              <w:pStyle w:val="TableContents"/>
              <w:bidi w:val="0"/>
              <w:spacing w:before="0" w:after="283"/>
              <w:jc w:val="left"/>
              <w:rPr>
                <w:sz w:val="20"/>
              </w:rPr>
            </w:pPr>
            <w:r>
              <w:rPr>
                <w:sz w:val="20"/>
              </w:rPr>
              <w:t>Dividends on convertible preferred stock</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1,125,300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sz w:val="20"/>
              </w:rPr>
            </w:pPr>
            <w:r>
              <w:rPr>
                <w:sz w:val="20"/>
              </w:rPr>
              <w:t>-</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1,158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sz w:val="20"/>
              </w:rPr>
            </w:pPr>
            <w:r>
              <w:rPr>
                <w:sz w:val="20"/>
              </w:rPr>
              <w:t>(1,218</w:t>
            </w:r>
          </w:p>
        </w:tc>
        <w:tc>
          <w:tcPr>
            <w:tcW w:w="155" w:type="dxa"/>
            <w:tcBorders/>
            <w:vAlign w:val="center"/>
          </w:tcPr>
          <w:p>
            <w:pPr>
              <w:pStyle w:val="TableContents"/>
              <w:bidi w:val="0"/>
              <w:spacing w:before="0" w:after="283"/>
              <w:jc w:val="left"/>
              <w:rPr>
                <w:sz w:val="20"/>
              </w:rPr>
            </w:pPr>
            <w:r>
              <w:rPr>
                <w:sz w:val="20"/>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sz w:val="20"/>
              </w:rPr>
            </w:pPr>
            <w:r>
              <w:rPr>
                <w:sz w:val="20"/>
              </w:rPr>
              <w:t>(60</w:t>
            </w:r>
          </w:p>
        </w:tc>
        <w:tc>
          <w:tcPr>
            <w:tcW w:w="200" w:type="dxa"/>
            <w:tcBorders/>
            <w:vAlign w:val="center"/>
          </w:tcPr>
          <w:p>
            <w:pPr>
              <w:pStyle w:val="TableContents"/>
              <w:bidi w:val="0"/>
              <w:spacing w:before="0" w:after="283"/>
              <w:ind w:left="0" w:right="0" w:hanging="150"/>
              <w:jc w:val="left"/>
              <w:rPr>
                <w:sz w:val="20"/>
              </w:rPr>
            </w:pPr>
            <w:r>
              <w:rPr>
                <w:sz w:val="20"/>
              </w:rPr>
              <w:t>) </w:t>
            </w:r>
          </w:p>
        </w:tc>
      </w:tr>
      <w:tr>
        <w:trPr/>
        <w:tc>
          <w:tcPr>
            <w:tcW w:w="1370" w:type="dxa"/>
            <w:tcBorders/>
            <w:shd w:fill="CCEEFF" w:val="clear"/>
            <w:vAlign w:val="center"/>
          </w:tcPr>
          <w:p>
            <w:pPr>
              <w:pStyle w:val="TableContents"/>
              <w:bidi w:val="0"/>
              <w:spacing w:before="0" w:after="283"/>
              <w:jc w:val="left"/>
              <w:rPr>
                <w:sz w:val="20"/>
              </w:rPr>
            </w:pPr>
            <w:r>
              <w:rPr>
                <w:sz w:val="20"/>
              </w:rPr>
              <w:t>Common Stock issued upon vesting of restricted stock units</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497,564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sz w:val="20"/>
              </w:rPr>
            </w:pPr>
            <w:r>
              <w:rPr>
                <w:sz w:val="20"/>
              </w:rPr>
              <w:t>-</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20"/>
              </w:rPr>
            </w:pPr>
            <w:r>
              <w:rPr>
                <w:sz w:val="20"/>
              </w:rPr>
              <w:t>1</w:t>
            </w:r>
          </w:p>
        </w:tc>
        <w:tc>
          <w:tcPr>
            <w:tcW w:w="200" w:type="dxa"/>
            <w:tcBorders/>
            <w:shd w:fill="CCEEFF" w:val="clear"/>
            <w:vAlign w:val="center"/>
          </w:tcPr>
          <w:p>
            <w:pPr>
              <w:pStyle w:val="TableContents"/>
              <w:bidi w:val="0"/>
              <w:spacing w:before="0" w:after="283"/>
              <w:ind w:left="0" w:right="0" w:hanging="150"/>
              <w:jc w:val="left"/>
              <w:rPr/>
            </w:pPr>
            <w:r>
              <w:rPr/>
              <w:t> </w:t>
            </w:r>
          </w:p>
        </w:tc>
      </w:tr>
      <w:tr>
        <w:trPr/>
        <w:tc>
          <w:tcPr>
            <w:tcW w:w="13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ind w:left="0" w:right="0" w:hanging="150"/>
              <w:jc w:val="left"/>
              <w:rPr/>
            </w:pPr>
            <w:r>
              <w:rPr/>
              <w:t> </w:t>
            </w:r>
          </w:p>
        </w:tc>
      </w:tr>
      <w:tr>
        <w:trPr/>
        <w:tc>
          <w:tcPr>
            <w:tcW w:w="1370" w:type="dxa"/>
            <w:tcBorders/>
            <w:shd w:fill="CCEEFF" w:val="clear"/>
            <w:vAlign w:val="center"/>
          </w:tcPr>
          <w:p>
            <w:pPr>
              <w:pStyle w:val="TableContents"/>
              <w:bidi w:val="0"/>
              <w:spacing w:before="0" w:after="283"/>
              <w:jc w:val="left"/>
              <w:rPr>
                <w:sz w:val="20"/>
              </w:rPr>
            </w:pPr>
            <w:r>
              <w:rPr>
                <w:sz w:val="20"/>
              </w:rPr>
              <w:t>Common shares issues upon convertible preferred stock exercising convertible rights</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1,391,183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(1,691</w:t>
            </w:r>
          </w:p>
        </w:tc>
        <w:tc>
          <w:tcPr>
            <w:tcW w:w="155" w:type="dxa"/>
            <w:tcBorders/>
            <w:shd w:fill="CCEEFF" w:val="clear"/>
            <w:vAlign w:val="center"/>
          </w:tcPr>
          <w:p>
            <w:pPr>
              <w:pStyle w:val="TableContents"/>
              <w:bidi w:val="0"/>
              <w:spacing w:before="0" w:after="283"/>
              <w:jc w:val="left"/>
              <w:rPr>
                <w:sz w:val="20"/>
              </w:rPr>
            </w:pPr>
            <w:r>
              <w:rPr>
                <w:sz w:val="20"/>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sz w:val="20"/>
              </w:rPr>
            </w:pPr>
            <w:r>
              <w:rPr>
                <w:sz w:val="20"/>
              </w:rPr>
              <w:t>-</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20"/>
              </w:rPr>
            </w:pPr>
            <w:r>
              <w:rPr>
                <w:sz w:val="20"/>
              </w:rPr>
              <w:t>-</w:t>
            </w:r>
          </w:p>
        </w:tc>
        <w:tc>
          <w:tcPr>
            <w:tcW w:w="20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sz w:val="20"/>
              </w:rPr>
            </w:pPr>
            <w:r>
              <w:rPr>
                <w:sz w:val="20"/>
              </w:rPr>
              <w:t>Net loss for the year</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80" w:type="dxa"/>
            <w:tcBorders>
              <w:bottom w:val="single" w:sz="2" w:space="0" w:color="000000"/>
            </w:tcBorders>
            <w:tcMar>
              <w:bottom w:w="28" w:type="dxa"/>
            </w:tcMar>
            <w:vAlign w:val="center"/>
          </w:tcPr>
          <w:p>
            <w:pPr>
              <w:pStyle w:val="TableContents"/>
              <w:bidi w:val="0"/>
              <w:spacing w:before="0" w:after="283"/>
              <w:jc w:val="right"/>
              <w:rPr>
                <w:sz w:val="20"/>
              </w:rPr>
            </w:pPr>
            <w:r>
              <w:rPr>
                <w:sz w:val="20"/>
              </w:rPr>
              <w: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725" w:type="dxa"/>
            <w:tcBorders>
              <w:bottom w:val="single" w:sz="2" w:space="0" w:color="000000"/>
            </w:tcBorders>
            <w:tcMar>
              <w:bottom w:w="28" w:type="dxa"/>
            </w:tcMar>
            <w:vAlign w:val="center"/>
          </w:tcPr>
          <w:p>
            <w:pPr>
              <w:pStyle w:val="TableContents"/>
              <w:bidi w:val="0"/>
              <w:spacing w:before="0" w:after="283"/>
              <w:jc w:val="right"/>
              <w:rPr>
                <w:sz w:val="20"/>
              </w:rPr>
            </w:pPr>
            <w:r>
              <w:rPr>
                <w:sz w:val="20"/>
              </w:rPr>
              <w: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875" w:type="dxa"/>
            <w:tcBorders>
              <w:bottom w:val="single" w:sz="2" w:space="0" w:color="000000"/>
            </w:tcBorders>
            <w:tcMar>
              <w:bottom w:w="28" w:type="dxa"/>
            </w:tcMar>
            <w:vAlign w:val="center"/>
          </w:tcPr>
          <w:p>
            <w:pPr>
              <w:pStyle w:val="TableContents"/>
              <w:bidi w:val="0"/>
              <w:spacing w:before="0" w:after="283"/>
              <w:jc w:val="right"/>
              <w:rPr>
                <w:sz w:val="20"/>
              </w:rPr>
            </w:pPr>
            <w:r>
              <w:rPr>
                <w:sz w:val="20"/>
              </w:rPr>
              <w:t>-</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725" w:type="dxa"/>
            <w:tcBorders>
              <w:bottom w:val="single" w:sz="2" w:space="0" w:color="000000"/>
            </w:tcBorders>
            <w:tcMar>
              <w:bottom w:w="28" w:type="dxa"/>
            </w:tcMar>
            <w:vAlign w:val="center"/>
          </w:tcPr>
          <w:p>
            <w:pPr>
              <w:pStyle w:val="TableContents"/>
              <w:bidi w:val="0"/>
              <w:spacing w:before="0" w:after="283"/>
              <w:jc w:val="right"/>
              <w:rPr>
                <w:sz w:val="20"/>
              </w:rPr>
            </w:pPr>
            <w:r>
              <w:rPr>
                <w:sz w:val="20"/>
              </w:rPr>
              <w: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875" w:type="dxa"/>
            <w:tcBorders>
              <w:bottom w:val="single" w:sz="2" w:space="0" w:color="000000"/>
            </w:tcBorders>
            <w:tcMar>
              <w:bottom w:w="28" w:type="dxa"/>
            </w:tcMar>
            <w:vAlign w:val="center"/>
          </w:tcPr>
          <w:p>
            <w:pPr>
              <w:pStyle w:val="TableContents"/>
              <w:bidi w:val="0"/>
              <w:spacing w:before="0" w:after="283"/>
              <w:jc w:val="right"/>
              <w:rPr>
                <w:sz w:val="20"/>
              </w:rPr>
            </w:pPr>
            <w:r>
              <w:rPr>
                <w:sz w:val="20"/>
              </w:rPr>
              <w: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725" w:type="dxa"/>
            <w:tcBorders>
              <w:bottom w:val="single" w:sz="2" w:space="0" w:color="000000"/>
            </w:tcBorders>
            <w:tcMar>
              <w:bottom w:w="28" w:type="dxa"/>
            </w:tcMar>
            <w:vAlign w:val="center"/>
          </w:tcPr>
          <w:p>
            <w:pPr>
              <w:pStyle w:val="TableContents"/>
              <w:bidi w:val="0"/>
              <w:spacing w:before="0" w:after="283"/>
              <w:jc w:val="right"/>
              <w:rPr>
                <w:sz w:val="20"/>
              </w:rPr>
            </w:pPr>
            <w:r>
              <w:rPr>
                <w:sz w:val="20"/>
              </w:rPr>
              <w: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tcMar>
              <w:bottom w:w="28" w:type="dxa"/>
            </w:tcMar>
            <w:vAlign w:val="center"/>
          </w:tcPr>
          <w:p>
            <w:pPr>
              <w:pStyle w:val="TableContents"/>
              <w:bidi w:val="0"/>
              <w:spacing w:before="0" w:after="283"/>
              <w:jc w:val="right"/>
              <w:rPr>
                <w:sz w:val="20"/>
              </w:rPr>
            </w:pPr>
            <w:r>
              <w:rPr>
                <w:sz w:val="20"/>
              </w:rPr>
              <w: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1160" w:type="dxa"/>
            <w:tcBorders>
              <w:bottom w:val="single" w:sz="2" w:space="0" w:color="000000"/>
            </w:tcBorders>
            <w:tcMar>
              <w:bottom w:w="28" w:type="dxa"/>
            </w:tcMar>
            <w:vAlign w:val="center"/>
          </w:tcPr>
          <w:p>
            <w:pPr>
              <w:pStyle w:val="TableContents"/>
              <w:bidi w:val="0"/>
              <w:spacing w:before="0" w:after="283"/>
              <w:jc w:val="right"/>
              <w:rPr>
                <w:sz w:val="20"/>
              </w:rPr>
            </w:pPr>
            <w:r>
              <w:rPr>
                <w:sz w:val="20"/>
              </w:rPr>
              <w:t>(5,875</w:t>
            </w:r>
          </w:p>
        </w:tc>
        <w:tc>
          <w:tcPr>
            <w:tcW w:w="155" w:type="dxa"/>
            <w:tcBorders>
              <w:bottom w:val="single" w:sz="2" w:space="0" w:color="000000"/>
            </w:tcBorders>
            <w:tcMar>
              <w:bottom w:w="28" w:type="dxa"/>
            </w:tcMar>
            <w:vAlign w:val="center"/>
          </w:tcPr>
          <w:p>
            <w:pPr>
              <w:pStyle w:val="TableContents"/>
              <w:bidi w:val="0"/>
              <w:spacing w:before="0" w:after="283"/>
              <w:jc w:val="left"/>
              <w:rPr>
                <w:sz w:val="20"/>
              </w:rPr>
            </w:pPr>
            <w:r>
              <w:rPr>
                <w:sz w:val="20"/>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tcMar>
              <w:bottom w:w="28" w:type="dxa"/>
            </w:tcMar>
            <w:vAlign w:val="center"/>
          </w:tcPr>
          <w:p>
            <w:pPr>
              <w:pStyle w:val="TableContents"/>
              <w:bidi w:val="0"/>
              <w:spacing w:before="0" w:after="283"/>
              <w:jc w:val="right"/>
              <w:rPr>
                <w:sz w:val="20"/>
              </w:rPr>
            </w:pPr>
            <w:r>
              <w:rPr>
                <w:sz w:val="20"/>
              </w:rPr>
              <w:t>(5,875</w:t>
            </w:r>
          </w:p>
        </w:tc>
        <w:tc>
          <w:tcPr>
            <w:tcW w:w="200" w:type="dxa"/>
            <w:tcBorders>
              <w:bottom w:val="single" w:sz="2" w:space="0" w:color="000000"/>
            </w:tcBorders>
            <w:tcMar>
              <w:bottom w:w="28" w:type="dxa"/>
            </w:tcMar>
            <w:vAlign w:val="center"/>
          </w:tcPr>
          <w:p>
            <w:pPr>
              <w:pStyle w:val="TableContents"/>
              <w:bidi w:val="0"/>
              <w:spacing w:before="0" w:after="283"/>
              <w:jc w:val="left"/>
              <w:rPr>
                <w:sz w:val="20"/>
              </w:rPr>
            </w:pPr>
            <w:r>
              <w:rPr>
                <w:sz w:val="20"/>
              </w:rPr>
              <w:t>) </w:t>
            </w:r>
          </w:p>
        </w:tc>
      </w:tr>
      <w:tr>
        <w:trPr/>
        <w:tc>
          <w:tcPr>
            <w:tcW w:w="1370" w:type="dxa"/>
            <w:tcBorders/>
            <w:shd w:fill="CCEEFF" w:val="clear"/>
            <w:vAlign w:val="center"/>
          </w:tcPr>
          <w:p>
            <w:pPr>
              <w:pStyle w:val="TableContents"/>
              <w:bidi w:val="0"/>
              <w:spacing w:before="0" w:after="283"/>
              <w:jc w:val="left"/>
              <w:rPr>
                <w:b/>
                <w:sz w:val="20"/>
              </w:rPr>
            </w:pPr>
            <w:r>
              <w:rPr>
                <w:b/>
                <w:sz w:val="20"/>
              </w:rPr>
              <w:t>Balance at December 31, 2024</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47,101,631</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8,207</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105,326</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(105,081</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250</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ind w:left="0" w:right="0" w:hanging="150"/>
              <w:jc w:val="left"/>
              <w:rPr/>
            </w:pPr>
            <w:r>
              <w:rPr/>
              <w:t> </w:t>
            </w:r>
          </w:p>
        </w:tc>
      </w:tr>
      <w:tr>
        <w:trPr/>
        <w:tc>
          <w:tcPr>
            <w:tcW w:w="1370" w:type="dxa"/>
            <w:tcBorders/>
            <w:shd w:fill="CCEEFF" w:val="clear"/>
            <w:vAlign w:val="center"/>
          </w:tcPr>
          <w:p>
            <w:pPr>
              <w:pStyle w:val="TableContents"/>
              <w:bidi w:val="0"/>
              <w:spacing w:before="0" w:after="283"/>
              <w:jc w:val="left"/>
              <w:rPr>
                <w:sz w:val="20"/>
              </w:rPr>
            </w:pPr>
            <w:r>
              <w:rPr>
                <w:sz w:val="20"/>
              </w:rPr>
              <w:t>Share-based compensation expense</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4,076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sz w:val="20"/>
              </w:rPr>
            </w:pPr>
            <w:r>
              <w:rPr>
                <w:sz w:val="20"/>
              </w:rPr>
              <w:t>-</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20"/>
              </w:rPr>
            </w:pPr>
            <w:r>
              <w:rPr>
                <w:sz w:val="20"/>
              </w:rPr>
              <w:t>4,076</w:t>
            </w:r>
          </w:p>
        </w:tc>
        <w:tc>
          <w:tcPr>
            <w:tcW w:w="200" w:type="dxa"/>
            <w:tcBorders/>
            <w:shd w:fill="CCEEFF" w:val="clear"/>
            <w:vAlign w:val="center"/>
          </w:tcPr>
          <w:p>
            <w:pPr>
              <w:pStyle w:val="TableContents"/>
              <w:bidi w:val="0"/>
              <w:spacing w:before="0" w:after="283"/>
              <w:ind w:left="0" w:right="0" w:hanging="150"/>
              <w:jc w:val="left"/>
              <w:rPr/>
            </w:pPr>
            <w:r>
              <w:rPr/>
              <w:t> </w:t>
            </w:r>
          </w:p>
        </w:tc>
      </w:tr>
      <w:tr>
        <w:trPr/>
        <w:tc>
          <w:tcPr>
            <w:tcW w:w="1370" w:type="dxa"/>
            <w:tcBorders/>
            <w:vAlign w:val="center"/>
          </w:tcPr>
          <w:p>
            <w:pPr>
              <w:pStyle w:val="TableContents"/>
              <w:bidi w:val="0"/>
              <w:spacing w:before="0" w:after="283"/>
              <w:jc w:val="left"/>
              <w:rPr>
                <w:sz w:val="20"/>
              </w:rPr>
            </w:pPr>
            <w:r>
              <w:rPr>
                <w:sz w:val="20"/>
              </w:rPr>
              <w:t>Dividends on convertible preferred stock</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406,045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sz w:val="20"/>
              </w:rPr>
            </w:pPr>
            <w:r>
              <w:rPr>
                <w:sz w:val="20"/>
              </w:rPr>
              <w:t>-</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903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sz w:val="20"/>
              </w:rPr>
            </w:pPr>
            <w:r>
              <w:rPr>
                <w:sz w:val="20"/>
              </w:rPr>
              <w:t>(903</w:t>
            </w:r>
          </w:p>
        </w:tc>
        <w:tc>
          <w:tcPr>
            <w:tcW w:w="155" w:type="dxa"/>
            <w:tcBorders/>
            <w:vAlign w:val="center"/>
          </w:tcPr>
          <w:p>
            <w:pPr>
              <w:pStyle w:val="TableContents"/>
              <w:bidi w:val="0"/>
              <w:spacing w:before="0" w:after="283"/>
              <w:jc w:val="left"/>
              <w:rPr>
                <w:sz w:val="20"/>
              </w:rPr>
            </w:pPr>
            <w:r>
              <w:rPr>
                <w:sz w:val="20"/>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sz w:val="20"/>
              </w:rPr>
            </w:pPr>
            <w:r>
              <w:rPr>
                <w:sz w:val="20"/>
              </w:rPr>
              <w:t>-</w:t>
            </w:r>
          </w:p>
        </w:tc>
        <w:tc>
          <w:tcPr>
            <w:tcW w:w="200" w:type="dxa"/>
            <w:tcBorders/>
            <w:vAlign w:val="center"/>
          </w:tcPr>
          <w:p>
            <w:pPr>
              <w:pStyle w:val="TableContents"/>
              <w:bidi w:val="0"/>
              <w:spacing w:before="0" w:after="283"/>
              <w:ind w:left="0" w:right="0" w:hanging="150"/>
              <w:jc w:val="left"/>
              <w:rPr/>
            </w:pPr>
            <w:r>
              <w:rPr/>
              <w:t> </w:t>
            </w:r>
          </w:p>
        </w:tc>
      </w:tr>
      <w:tr>
        <w:trPr/>
        <w:tc>
          <w:tcPr>
            <w:tcW w:w="1370" w:type="dxa"/>
            <w:tcBorders/>
            <w:shd w:fill="CCEEFF" w:val="clear"/>
            <w:vAlign w:val="center"/>
          </w:tcPr>
          <w:p>
            <w:pPr>
              <w:pStyle w:val="TableContents"/>
              <w:bidi w:val="0"/>
              <w:spacing w:before="0" w:after="283"/>
              <w:jc w:val="left"/>
              <w:rPr>
                <w:sz w:val="20"/>
              </w:rPr>
            </w:pPr>
            <w:r>
              <w:rPr>
                <w:sz w:val="20"/>
              </w:rPr>
              <w:t>Common Stock issued upon vesting of restricted stock units</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837,460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sz w:val="20"/>
              </w:rPr>
            </w:pPr>
            <w:r>
              <w:rPr>
                <w:sz w:val="20"/>
              </w:rPr>
              <w:t>-</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20"/>
              </w:rPr>
            </w:pPr>
            <w:r>
              <w:rPr>
                <w:sz w:val="20"/>
              </w:rPr>
              <w:t>-</w:t>
            </w:r>
          </w:p>
        </w:tc>
        <w:tc>
          <w:tcPr>
            <w:tcW w:w="200" w:type="dxa"/>
            <w:tcBorders/>
            <w:shd w:fill="CCEEFF" w:val="clear"/>
            <w:vAlign w:val="center"/>
          </w:tcPr>
          <w:p>
            <w:pPr>
              <w:pStyle w:val="TableContents"/>
              <w:bidi w:val="0"/>
              <w:spacing w:before="0" w:after="283"/>
              <w:ind w:left="0" w:right="0" w:hanging="150"/>
              <w:jc w:val="left"/>
              <w:rPr/>
            </w:pPr>
            <w:r>
              <w:rPr/>
              <w:t> </w:t>
            </w:r>
          </w:p>
        </w:tc>
      </w:tr>
      <w:tr>
        <w:trPr/>
        <w:tc>
          <w:tcPr>
            <w:tcW w:w="1370" w:type="dxa"/>
            <w:tcBorders/>
            <w:vAlign w:val="center"/>
          </w:tcPr>
          <w:p>
            <w:pPr>
              <w:pStyle w:val="TableContents"/>
              <w:bidi w:val="0"/>
              <w:spacing w:before="0" w:after="283"/>
              <w:jc w:val="left"/>
              <w:rPr>
                <w:sz w:val="20"/>
              </w:rPr>
            </w:pPr>
            <w:r>
              <w:rPr>
                <w:sz w:val="20"/>
              </w:rPr>
              <w:t>Common shares issued upon exercise of stock options</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171,415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sz w:val="20"/>
              </w:rPr>
            </w:pPr>
            <w:r>
              <w:rPr>
                <w:sz w:val="20"/>
              </w:rPr>
              <w:t>-</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245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sz w:val="20"/>
              </w:rPr>
            </w:pPr>
            <w:r>
              <w:rPr>
                <w:sz w:val="20"/>
              </w:rPr>
              <w:t>245</w:t>
            </w:r>
          </w:p>
        </w:tc>
        <w:tc>
          <w:tcPr>
            <w:tcW w:w="200" w:type="dxa"/>
            <w:tcBorders/>
            <w:vAlign w:val="center"/>
          </w:tcPr>
          <w:p>
            <w:pPr>
              <w:pStyle w:val="TableContents"/>
              <w:bidi w:val="0"/>
              <w:spacing w:before="0" w:after="283"/>
              <w:ind w:left="0" w:right="0" w:hanging="150"/>
              <w:jc w:val="left"/>
              <w:rPr/>
            </w:pPr>
            <w:r>
              <w:rPr/>
              <w:t> </w:t>
            </w:r>
          </w:p>
        </w:tc>
      </w:tr>
      <w:tr>
        <w:trPr/>
        <w:tc>
          <w:tcPr>
            <w:tcW w:w="1370" w:type="dxa"/>
            <w:tcBorders/>
            <w:shd w:fill="CCEEFF" w:val="clear"/>
            <w:vAlign w:val="center"/>
          </w:tcPr>
          <w:p>
            <w:pPr>
              <w:pStyle w:val="TableContents"/>
              <w:bidi w:val="0"/>
              <w:spacing w:before="0" w:after="283"/>
              <w:jc w:val="left"/>
              <w:rPr>
                <w:sz w:val="20"/>
              </w:rPr>
            </w:pPr>
            <w:r>
              <w:rPr>
                <w:sz w:val="20"/>
              </w:rPr>
              <w:t>Series B Convertible Preferred Stock and warrants issuance</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4,500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4,500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sz w:val="20"/>
              </w:rPr>
            </w:pPr>
            <w:r>
              <w:rPr>
                <w:sz w:val="20"/>
              </w:rPr>
              <w:t>-</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20"/>
              </w:rPr>
            </w:pPr>
            <w:r>
              <w:rPr>
                <w:sz w:val="20"/>
              </w:rPr>
              <w:t>4,500</w:t>
            </w:r>
          </w:p>
        </w:tc>
        <w:tc>
          <w:tcPr>
            <w:tcW w:w="200" w:type="dxa"/>
            <w:tcBorders/>
            <w:shd w:fill="CCEEFF" w:val="clear"/>
            <w:vAlign w:val="center"/>
          </w:tcPr>
          <w:p>
            <w:pPr>
              <w:pStyle w:val="TableContents"/>
              <w:bidi w:val="0"/>
              <w:spacing w:before="0" w:after="283"/>
              <w:ind w:left="0" w:right="0" w:hanging="150"/>
              <w:jc w:val="left"/>
              <w:rPr/>
            </w:pPr>
            <w:r>
              <w:rPr/>
              <w:t> </w:t>
            </w:r>
          </w:p>
        </w:tc>
      </w:tr>
      <w:tr>
        <w:trPr/>
        <w:tc>
          <w:tcPr>
            <w:tcW w:w="1370" w:type="dxa"/>
            <w:tcBorders/>
            <w:vAlign w:val="center"/>
          </w:tcPr>
          <w:p>
            <w:pPr>
              <w:pStyle w:val="TableContents"/>
              <w:bidi w:val="0"/>
              <w:spacing w:before="0" w:after="283"/>
              <w:jc w:val="left"/>
              <w:rPr>
                <w:sz w:val="20"/>
              </w:rPr>
            </w:pPr>
            <w:r>
              <w:rPr>
                <w:sz w:val="20"/>
              </w:rPr>
              <w:t>Common Stock issued with Private Placement</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sz w:val="20"/>
              </w:rPr>
            </w:pPr>
            <w:r>
              <w:rPr>
                <w:sz w:val="20"/>
              </w:rPr>
              <w:t>3,216,666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sz w:val="20"/>
              </w:rPr>
            </w:pPr>
            <w:r>
              <w:rPr>
                <w:sz w:val="20"/>
              </w:rPr>
              <w:t>-</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right"/>
              <w:rPr>
                <w:sz w:val="20"/>
              </w:rPr>
            </w:pPr>
            <w:r>
              <w:rPr>
                <w:sz w:val="20"/>
              </w:rPr>
              <w:t>603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right"/>
              <w:rPr>
                <w:sz w:val="20"/>
              </w:rPr>
            </w:pPr>
            <w:r>
              <w:rPr>
                <w:sz w:val="20"/>
              </w:rPr>
              <w:t>-</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sz w:val="20"/>
              </w:rPr>
            </w:pPr>
            <w:r>
              <w:rPr>
                <w:sz w:val="20"/>
              </w:rPr>
              <w:t>603</w:t>
            </w:r>
          </w:p>
        </w:tc>
        <w:tc>
          <w:tcPr>
            <w:tcW w:w="200" w:type="dxa"/>
            <w:tcBorders/>
            <w:vAlign w:val="center"/>
          </w:tcPr>
          <w:p>
            <w:pPr>
              <w:pStyle w:val="TableContents"/>
              <w:bidi w:val="0"/>
              <w:spacing w:before="0" w:after="283"/>
              <w:ind w:left="0" w:right="0" w:hanging="150"/>
              <w:jc w:val="left"/>
              <w:rPr/>
            </w:pPr>
            <w:r>
              <w:rPr/>
              <w:t> </w:t>
            </w:r>
          </w:p>
        </w:tc>
      </w:tr>
      <w:tr>
        <w:trPr/>
        <w:tc>
          <w:tcPr>
            <w:tcW w:w="1370" w:type="dxa"/>
            <w:tcBorders/>
            <w:shd w:fill="CCEEFF" w:val="clear"/>
            <w:vAlign w:val="center"/>
          </w:tcPr>
          <w:p>
            <w:pPr>
              <w:pStyle w:val="TableContents"/>
              <w:bidi w:val="0"/>
              <w:spacing w:before="0" w:after="283"/>
              <w:jc w:val="left"/>
              <w:rPr>
                <w:sz w:val="20"/>
              </w:rPr>
            </w:pPr>
            <w:r>
              <w:rPr>
                <w:sz w:val="20"/>
              </w:rPr>
              <w:t>Reclassification of warrant liability due to warrant amendment</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12,151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sz w:val="20"/>
              </w:rPr>
            </w:pPr>
            <w:r>
              <w:rPr>
                <w:sz w:val="20"/>
              </w:rPr>
              <w:t>-</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sz w:val="20"/>
              </w:rPr>
            </w:pPr>
            <w:r>
              <w:rPr>
                <w:sz w:val="20"/>
              </w:rPr>
              <w:t>12,151</w:t>
            </w:r>
          </w:p>
        </w:tc>
        <w:tc>
          <w:tcPr>
            <w:tcW w:w="200" w:type="dxa"/>
            <w:tcBorders/>
            <w:shd w:fill="CCEEFF" w:val="clear"/>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sz w:val="20"/>
              </w:rPr>
            </w:pPr>
            <w:r>
              <w:rPr>
                <w:sz w:val="20"/>
              </w:rPr>
              <w:t>Net loss for the year</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80" w:type="dxa"/>
            <w:tcBorders>
              <w:bottom w:val="single" w:sz="2" w:space="0" w:color="000000"/>
            </w:tcBorders>
            <w:tcMar>
              <w:bottom w:w="28" w:type="dxa"/>
            </w:tcMar>
            <w:vAlign w:val="center"/>
          </w:tcPr>
          <w:p>
            <w:pPr>
              <w:pStyle w:val="TableContents"/>
              <w:bidi w:val="0"/>
              <w:spacing w:before="0" w:after="283"/>
              <w:jc w:val="right"/>
              <w:rPr>
                <w:sz w:val="20"/>
              </w:rPr>
            </w:pPr>
            <w:r>
              <w:rPr>
                <w:sz w:val="20"/>
              </w:rPr>
              <w: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725" w:type="dxa"/>
            <w:tcBorders>
              <w:bottom w:val="single" w:sz="2" w:space="0" w:color="000000"/>
            </w:tcBorders>
            <w:tcMar>
              <w:bottom w:w="28" w:type="dxa"/>
            </w:tcMar>
            <w:vAlign w:val="center"/>
          </w:tcPr>
          <w:p>
            <w:pPr>
              <w:pStyle w:val="TableContents"/>
              <w:bidi w:val="0"/>
              <w:spacing w:before="0" w:after="283"/>
              <w:jc w:val="right"/>
              <w:rPr>
                <w:sz w:val="20"/>
              </w:rPr>
            </w:pPr>
            <w:r>
              <w:rPr>
                <w:sz w:val="20"/>
              </w:rPr>
              <w: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875" w:type="dxa"/>
            <w:tcBorders>
              <w:bottom w:val="single" w:sz="2" w:space="0" w:color="000000"/>
            </w:tcBorders>
            <w:tcMar>
              <w:bottom w:w="28" w:type="dxa"/>
            </w:tcMar>
            <w:vAlign w:val="center"/>
          </w:tcPr>
          <w:p>
            <w:pPr>
              <w:pStyle w:val="TableContents"/>
              <w:bidi w:val="0"/>
              <w:spacing w:before="0" w:after="283"/>
              <w:jc w:val="right"/>
              <w:rPr>
                <w:sz w:val="20"/>
              </w:rPr>
            </w:pPr>
            <w:r>
              <w:rPr>
                <w:sz w:val="20"/>
              </w:rPr>
              <w:t>-</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725" w:type="dxa"/>
            <w:tcBorders>
              <w:bottom w:val="single" w:sz="2" w:space="0" w:color="000000"/>
            </w:tcBorders>
            <w:tcMar>
              <w:bottom w:w="28" w:type="dxa"/>
            </w:tcMar>
            <w:vAlign w:val="center"/>
          </w:tcPr>
          <w:p>
            <w:pPr>
              <w:pStyle w:val="TableContents"/>
              <w:bidi w:val="0"/>
              <w:spacing w:before="0" w:after="283"/>
              <w:jc w:val="right"/>
              <w:rPr>
                <w:sz w:val="20"/>
              </w:rPr>
            </w:pPr>
            <w:r>
              <w:rPr>
                <w:sz w:val="20"/>
              </w:rPr>
              <w: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875" w:type="dxa"/>
            <w:tcBorders>
              <w:bottom w:val="single" w:sz="2" w:space="0" w:color="000000"/>
            </w:tcBorders>
            <w:tcMar>
              <w:bottom w:w="28" w:type="dxa"/>
            </w:tcMar>
            <w:vAlign w:val="center"/>
          </w:tcPr>
          <w:p>
            <w:pPr>
              <w:pStyle w:val="TableContents"/>
              <w:bidi w:val="0"/>
              <w:spacing w:before="0" w:after="283"/>
              <w:jc w:val="right"/>
              <w:rPr>
                <w:sz w:val="20"/>
              </w:rPr>
            </w:pPr>
            <w:r>
              <w:rPr>
                <w:sz w:val="20"/>
              </w:rPr>
              <w: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725" w:type="dxa"/>
            <w:tcBorders>
              <w:bottom w:val="single" w:sz="2" w:space="0" w:color="000000"/>
            </w:tcBorders>
            <w:tcMar>
              <w:bottom w:w="28" w:type="dxa"/>
            </w:tcMar>
            <w:vAlign w:val="center"/>
          </w:tcPr>
          <w:p>
            <w:pPr>
              <w:pStyle w:val="TableContents"/>
              <w:bidi w:val="0"/>
              <w:spacing w:before="0" w:after="283"/>
              <w:jc w:val="right"/>
              <w:rPr>
                <w:sz w:val="20"/>
              </w:rPr>
            </w:pPr>
            <w:r>
              <w:rPr>
                <w:sz w:val="20"/>
              </w:rPr>
              <w: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tcMar>
              <w:bottom w:w="28" w:type="dxa"/>
            </w:tcMar>
            <w:vAlign w:val="center"/>
          </w:tcPr>
          <w:p>
            <w:pPr>
              <w:pStyle w:val="TableContents"/>
              <w:bidi w:val="0"/>
              <w:spacing w:before="0" w:after="283"/>
              <w:jc w:val="right"/>
              <w:rPr>
                <w:sz w:val="20"/>
              </w:rPr>
            </w:pPr>
            <w:r>
              <w:rPr>
                <w:sz w:val="20"/>
              </w:rPr>
              <w: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1160" w:type="dxa"/>
            <w:tcBorders>
              <w:bottom w:val="single" w:sz="2" w:space="0" w:color="000000"/>
            </w:tcBorders>
            <w:tcMar>
              <w:bottom w:w="28" w:type="dxa"/>
            </w:tcMar>
            <w:vAlign w:val="center"/>
          </w:tcPr>
          <w:p>
            <w:pPr>
              <w:pStyle w:val="TableContents"/>
              <w:bidi w:val="0"/>
              <w:spacing w:before="0" w:after="283"/>
              <w:jc w:val="right"/>
              <w:rPr>
                <w:sz w:val="20"/>
              </w:rPr>
            </w:pPr>
            <w:r>
              <w:rPr>
                <w:sz w:val="20"/>
              </w:rPr>
              <w:t>(10,335</w:t>
            </w:r>
          </w:p>
        </w:tc>
        <w:tc>
          <w:tcPr>
            <w:tcW w:w="155" w:type="dxa"/>
            <w:tcBorders>
              <w:bottom w:val="single" w:sz="2" w:space="0" w:color="000000"/>
            </w:tcBorders>
            <w:tcMar>
              <w:bottom w:w="28" w:type="dxa"/>
            </w:tcMar>
            <w:vAlign w:val="center"/>
          </w:tcPr>
          <w:p>
            <w:pPr>
              <w:pStyle w:val="TableContents"/>
              <w:bidi w:val="0"/>
              <w:spacing w:before="0" w:after="283"/>
              <w:jc w:val="left"/>
              <w:rPr>
                <w:sz w:val="20"/>
              </w:rPr>
            </w:pPr>
            <w:r>
              <w:rPr>
                <w:sz w:val="20"/>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2" w:space="0" w:color="000000"/>
            </w:tcBorders>
            <w:tcMar>
              <w:bottom w:w="28" w:type="dxa"/>
            </w:tcMar>
            <w:vAlign w:val="center"/>
          </w:tcPr>
          <w:p>
            <w:pPr>
              <w:pStyle w:val="TableContents"/>
              <w:bidi w:val="0"/>
              <w:spacing w:before="0" w:after="283"/>
              <w:jc w:val="right"/>
              <w:rPr>
                <w:sz w:val="20"/>
              </w:rPr>
            </w:pPr>
            <w:r>
              <w:rPr>
                <w:sz w:val="20"/>
              </w:rPr>
              <w:t>(10,335</w:t>
            </w:r>
          </w:p>
        </w:tc>
        <w:tc>
          <w:tcPr>
            <w:tcW w:w="200" w:type="dxa"/>
            <w:tcBorders>
              <w:bottom w:val="single" w:sz="2" w:space="0" w:color="000000"/>
            </w:tcBorders>
            <w:tcMar>
              <w:bottom w:w="28" w:type="dxa"/>
            </w:tcMar>
            <w:vAlign w:val="center"/>
          </w:tcPr>
          <w:p>
            <w:pPr>
              <w:pStyle w:val="TableContents"/>
              <w:bidi w:val="0"/>
              <w:spacing w:before="0" w:after="283"/>
              <w:jc w:val="left"/>
              <w:rPr>
                <w:sz w:val="20"/>
              </w:rPr>
            </w:pPr>
            <w:r>
              <w:rPr>
                <w:sz w:val="20"/>
              </w:rPr>
              <w:t>) </w:t>
            </w:r>
          </w:p>
        </w:tc>
      </w:tr>
      <w:tr>
        <w:trPr/>
        <w:tc>
          <w:tcPr>
            <w:tcW w:w="1370" w:type="dxa"/>
            <w:tcBorders/>
            <w:shd w:fill="CCEEFF" w:val="clear"/>
            <w:vAlign w:val="center"/>
          </w:tcPr>
          <w:p>
            <w:pPr>
              <w:pStyle w:val="TableContents"/>
              <w:bidi w:val="0"/>
              <w:spacing w:before="0" w:after="283"/>
              <w:jc w:val="left"/>
              <w:rPr>
                <w:b/>
                <w:sz w:val="20"/>
              </w:rPr>
            </w:pPr>
            <w:r>
              <w:rPr>
                <w:b/>
                <w:sz w:val="20"/>
              </w:rPr>
              <w:t>Balance at December 31, 2025</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51,733,217</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8,207</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4,500</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2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127,804</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(116,319</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11,490</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center"/>
        <w:rPr/>
      </w:pPr>
      <w:r>
        <w:rPr/>
        <w:t> </w:t>
      </w:r>
    </w:p>
    <w:p>
      <w:pPr>
        <w:pStyle w:val="TextBody"/>
        <w:bidi w:val="0"/>
        <w:spacing w:before="0" w:after="0"/>
        <w:jc w:val="center"/>
        <w:rPr>
          <w:rFonts w:ascii="Times New Roman" w:hAnsi="Times New Roman"/>
          <w:sz w:val="24"/>
        </w:rPr>
      </w:pPr>
      <w:r>
        <w:rPr>
          <w:rFonts w:ascii="Times New Roman" w:hAnsi="Times New Roman"/>
          <w:sz w:val="20"/>
        </w:rPr>
        <w:t>See accompanying notes to consolidated financial statements.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F-5</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center"/>
        <w:rPr>
          <w:rFonts w:ascii="Times New Roman" w:hAnsi="Times New Roman"/>
          <w:sz w:val="24"/>
        </w:rPr>
      </w:pPr>
      <w:r>
        <w:rPr>
          <w:rFonts w:ascii="Times New Roman" w:hAnsi="Times New Roman"/>
          <w:b/>
          <w:sz w:val="20"/>
        </w:rPr>
        <w:t>Wrap Technologies, Inc.</w:t>
      </w:r>
      <w:r>
        <w:rPr>
          <w:rFonts w:ascii="Times New Roman" w:hAnsi="Times New Roman"/>
          <w:sz w:val="24"/>
        </w:rPr>
        <w:t xml:space="preserve"> </w:t>
      </w:r>
    </w:p>
    <w:p>
      <w:pPr>
        <w:pStyle w:val="TextBody"/>
        <w:bidi w:val="0"/>
        <w:spacing w:before="0" w:after="0"/>
        <w:jc w:val="center"/>
        <w:rPr>
          <w:rFonts w:ascii="Times New Roman" w:hAnsi="Times New Roman"/>
          <w:sz w:val="24"/>
        </w:rPr>
      </w:pPr>
      <w:bookmarkStart w:id="32" w:name="cash_flows"/>
      <w:bookmarkEnd w:id="32"/>
      <w:r>
        <w:rPr>
          <w:rFonts w:ascii="Times New Roman" w:hAnsi="Times New Roman"/>
          <w:b/>
          <w:sz w:val="20"/>
        </w:rPr>
        <w:t>Consolidated Statements of Cash Flows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sz w:val="20"/>
        </w:rPr>
        <w:t>(in thousands, except share and per share amounts)</w:t>
      </w:r>
      <w:r>
        <w:rPr>
          <w:rFonts w:ascii="Times New Roman" w:hAnsi="Times New Roman"/>
          <w:sz w:val="24"/>
        </w:rPr>
        <w:t xml:space="preserve"> </w:t>
      </w:r>
    </w:p>
    <w:p>
      <w:pPr>
        <w:pStyle w:val="TextBody"/>
        <w:bidi w:val="0"/>
        <w:spacing w:before="0" w:after="0"/>
        <w:jc w:val="left"/>
        <w:rPr/>
      </w:pPr>
      <w:r>
        <w:rPr/>
        <w:t xml:space="preserve">  </w:t>
      </w:r>
    </w:p>
    <w:tbl>
      <w:tblPr>
        <w:tblW w:w="8451" w:type="dxa"/>
        <w:jc w:val="left"/>
        <w:tblInd w:w="0" w:type="dxa"/>
        <w:tblLayout w:type="fixed"/>
        <w:tblCellMar>
          <w:top w:w="0" w:type="dxa"/>
          <w:left w:w="0" w:type="dxa"/>
          <w:bottom w:w="0" w:type="dxa"/>
          <w:right w:w="0" w:type="dxa"/>
        </w:tblCellMar>
      </w:tblPr>
      <w:tblGrid>
        <w:gridCol w:w="6155"/>
        <w:gridCol w:w="177"/>
        <w:gridCol w:w="778"/>
        <w:gridCol w:w="177"/>
        <w:gridCol w:w="102"/>
        <w:gridCol w:w="177"/>
        <w:gridCol w:w="657"/>
        <w:gridCol w:w="228"/>
      </w:tblGrid>
      <w:tr>
        <w:trPr/>
        <w:tc>
          <w:tcPr>
            <w:tcW w:w="6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6155" w:type="dxa"/>
            <w:tcBorders/>
            <w:vAlign w:val="center"/>
          </w:tcPr>
          <w:p>
            <w:pPr>
              <w:pStyle w:val="TableContents"/>
              <w:bidi w:val="0"/>
              <w:spacing w:before="0" w:after="283"/>
              <w:jc w:val="left"/>
              <w:rPr/>
            </w:pPr>
            <w:r>
              <w:rPr/>
              <w:t> </w:t>
            </w:r>
          </w:p>
        </w:tc>
        <w:tc>
          <w:tcPr>
            <w:tcW w:w="2296" w:type="dxa"/>
            <w:gridSpan w:val="7"/>
            <w:tcBorders>
              <w:bottom w:val="single" w:sz="2" w:space="0" w:color="000000"/>
            </w:tcBorders>
            <w:tcMar>
              <w:bottom w:w="28" w:type="dxa"/>
            </w:tcMar>
            <w:vAlign w:val="center"/>
          </w:tcPr>
          <w:p>
            <w:pPr>
              <w:pStyle w:val="TableContents"/>
              <w:bidi w:val="0"/>
              <w:spacing w:before="0" w:after="283"/>
              <w:jc w:val="center"/>
              <w:rPr>
                <w:b/>
                <w:sz w:val="20"/>
              </w:rPr>
            </w:pPr>
            <w:r>
              <w:rPr>
                <w:b/>
                <w:sz w:val="20"/>
              </w:rPr>
              <w:t>Year Ended December 31,</w:t>
            </w:r>
          </w:p>
        </w:tc>
      </w:tr>
      <w:tr>
        <w:trPr/>
        <w:tc>
          <w:tcPr>
            <w:tcW w:w="6155" w:type="dxa"/>
            <w:tcBorders/>
            <w:vAlign w:val="center"/>
          </w:tcPr>
          <w:p>
            <w:pPr>
              <w:pStyle w:val="TableContents"/>
              <w:bidi w:val="0"/>
              <w:spacing w:before="0" w:after="283"/>
              <w:jc w:val="left"/>
              <w:rPr/>
            </w:pPr>
            <w:r>
              <w:rPr/>
              <w:t> </w:t>
            </w:r>
          </w:p>
        </w:tc>
        <w:tc>
          <w:tcPr>
            <w:tcW w:w="177" w:type="dxa"/>
            <w:tcBorders>
              <w:bottom w:val="single" w:sz="2" w:space="0" w:color="000000"/>
            </w:tcBorders>
            <w:tcMar>
              <w:bottom w:w="28" w:type="dxa"/>
            </w:tcMar>
            <w:vAlign w:val="center"/>
          </w:tcPr>
          <w:p>
            <w:pPr>
              <w:pStyle w:val="TableContents"/>
              <w:bidi w:val="0"/>
              <w:spacing w:before="0" w:after="283"/>
              <w:jc w:val="center"/>
              <w:rPr/>
            </w:pPr>
            <w:r>
              <w:rPr/>
              <w:t> </w:t>
            </w:r>
          </w:p>
        </w:tc>
        <w:tc>
          <w:tcPr>
            <w:tcW w:w="778"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2025</w:t>
            </w:r>
          </w:p>
        </w:tc>
        <w:tc>
          <w:tcPr>
            <w:tcW w:w="177"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77" w:type="dxa"/>
            <w:tcBorders>
              <w:bottom w:val="single" w:sz="2" w:space="0" w:color="000000"/>
            </w:tcBorders>
            <w:tcMar>
              <w:bottom w:w="28" w:type="dxa"/>
            </w:tcMar>
            <w:vAlign w:val="center"/>
          </w:tcPr>
          <w:p>
            <w:pPr>
              <w:pStyle w:val="TableContents"/>
              <w:bidi w:val="0"/>
              <w:spacing w:before="0" w:after="283"/>
              <w:jc w:val="center"/>
              <w:rPr/>
            </w:pPr>
            <w:r>
              <w:rPr/>
              <w:t> </w:t>
            </w:r>
          </w:p>
        </w:tc>
        <w:tc>
          <w:tcPr>
            <w:tcW w:w="657"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2024</w:t>
            </w:r>
          </w:p>
        </w:tc>
        <w:tc>
          <w:tcPr>
            <w:tcW w:w="228" w:type="dxa"/>
            <w:tcBorders>
              <w:bottom w:val="single" w:sz="2" w:space="0" w:color="000000"/>
            </w:tcBorders>
            <w:tcMar>
              <w:bottom w:w="28" w:type="dxa"/>
            </w:tcMar>
            <w:vAlign w:val="center"/>
          </w:tcPr>
          <w:p>
            <w:pPr>
              <w:pStyle w:val="TableContents"/>
              <w:bidi w:val="0"/>
              <w:spacing w:before="0" w:after="283"/>
              <w:jc w:val="center"/>
              <w:rPr/>
            </w:pPr>
            <w:r>
              <w:rPr/>
              <w:t> </w:t>
            </w:r>
          </w:p>
        </w:tc>
      </w:tr>
      <w:tr>
        <w:trPr/>
        <w:tc>
          <w:tcPr>
            <w:tcW w:w="6155"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b/>
                <w:sz w:val="20"/>
              </w:rPr>
            </w:pPr>
            <w:r>
              <w:rPr>
                <w:b/>
                <w:sz w:val="20"/>
              </w:rPr>
              <w:t>Cash Flows From Operating Activities:</w:t>
            </w:r>
          </w:p>
        </w:tc>
        <w:tc>
          <w:tcPr>
            <w:tcW w:w="17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sz w:val="20"/>
              </w:rPr>
            </w:pPr>
            <w:r>
              <w:rPr>
                <w:sz w:val="20"/>
              </w:rPr>
              <w:t>Net loss</w:t>
            </w:r>
          </w:p>
        </w:tc>
        <w:tc>
          <w:tcPr>
            <w:tcW w:w="177" w:type="dxa"/>
            <w:tcBorders/>
            <w:shd w:fill="CCEEFF" w:val="clear"/>
            <w:vAlign w:val="center"/>
          </w:tcPr>
          <w:p>
            <w:pPr>
              <w:pStyle w:val="TableContents"/>
              <w:bidi w:val="0"/>
              <w:spacing w:before="0" w:after="283"/>
              <w:jc w:val="left"/>
              <w:rPr>
                <w:sz w:val="20"/>
              </w:rPr>
            </w:pPr>
            <w:r>
              <w:rPr>
                <w:sz w:val="20"/>
              </w:rPr>
              <w:t>$</w:t>
            </w:r>
          </w:p>
        </w:tc>
        <w:tc>
          <w:tcPr>
            <w:tcW w:w="778" w:type="dxa"/>
            <w:tcBorders/>
            <w:shd w:fill="CCEEFF" w:val="clear"/>
            <w:vAlign w:val="center"/>
          </w:tcPr>
          <w:p>
            <w:pPr>
              <w:pStyle w:val="TableContents"/>
              <w:bidi w:val="0"/>
              <w:spacing w:before="0" w:after="283"/>
              <w:jc w:val="right"/>
              <w:rPr>
                <w:sz w:val="20"/>
              </w:rPr>
            </w:pPr>
            <w:r>
              <w:rPr>
                <w:sz w:val="20"/>
              </w:rPr>
              <w:t>(10,335</w:t>
            </w:r>
          </w:p>
        </w:tc>
        <w:tc>
          <w:tcPr>
            <w:tcW w:w="177" w:type="dxa"/>
            <w:tcBorders/>
            <w:shd w:fill="CCEEFF" w:val="clear"/>
            <w:vAlign w:val="center"/>
          </w:tcPr>
          <w:p>
            <w:pPr>
              <w:pStyle w:val="TableContents"/>
              <w:bidi w:val="0"/>
              <w:spacing w:before="0" w:after="283"/>
              <w:jc w:val="left"/>
              <w:rPr>
                <w:sz w:val="20"/>
              </w:rPr>
            </w:pPr>
            <w:r>
              <w:rPr>
                <w:sz w:val="20"/>
              </w:rPr>
              <w:t>) </w:t>
            </w:r>
          </w:p>
        </w:tc>
        <w:tc>
          <w:tcPr>
            <w:tcW w:w="102"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20"/>
              </w:rPr>
            </w:pPr>
            <w:r>
              <w:rPr>
                <w:sz w:val="20"/>
              </w:rPr>
              <w:t>$</w:t>
            </w:r>
          </w:p>
        </w:tc>
        <w:tc>
          <w:tcPr>
            <w:tcW w:w="657" w:type="dxa"/>
            <w:tcBorders/>
            <w:shd w:fill="CCEEFF" w:val="clear"/>
            <w:vAlign w:val="center"/>
          </w:tcPr>
          <w:p>
            <w:pPr>
              <w:pStyle w:val="TableContents"/>
              <w:bidi w:val="0"/>
              <w:spacing w:before="0" w:after="283"/>
              <w:jc w:val="right"/>
              <w:rPr>
                <w:sz w:val="20"/>
              </w:rPr>
            </w:pPr>
            <w:r>
              <w:rPr>
                <w:sz w:val="20"/>
              </w:rPr>
              <w:t>(5,875</w:t>
            </w:r>
          </w:p>
        </w:tc>
        <w:tc>
          <w:tcPr>
            <w:tcW w:w="228" w:type="dxa"/>
            <w:tcBorders/>
            <w:shd w:fill="CCEEFF" w:val="clear"/>
            <w:vAlign w:val="center"/>
          </w:tcPr>
          <w:p>
            <w:pPr>
              <w:pStyle w:val="TableContents"/>
              <w:bidi w:val="0"/>
              <w:spacing w:before="0" w:after="283"/>
              <w:jc w:val="left"/>
              <w:rPr>
                <w:sz w:val="20"/>
              </w:rPr>
            </w:pPr>
            <w:r>
              <w:rPr>
                <w:sz w:val="20"/>
              </w:rPr>
              <w:t>) </w:t>
            </w:r>
          </w:p>
        </w:tc>
      </w:tr>
      <w:tr>
        <w:trPr/>
        <w:tc>
          <w:tcPr>
            <w:tcW w:w="6155" w:type="dxa"/>
            <w:tcBorders/>
            <w:vAlign w:val="center"/>
          </w:tcPr>
          <w:p>
            <w:pPr>
              <w:pStyle w:val="TableContents"/>
              <w:bidi w:val="0"/>
              <w:spacing w:before="0" w:after="283"/>
              <w:jc w:val="left"/>
              <w:rPr>
                <w:sz w:val="20"/>
              </w:rPr>
            </w:pPr>
            <w:r>
              <w:rPr>
                <w:sz w:val="20"/>
              </w:rPr>
              <w:t>Adjustments to reconcile net loss to net cash used in operating activities:</w:t>
            </w:r>
          </w:p>
        </w:tc>
        <w:tc>
          <w:tcPr>
            <w:tcW w:w="17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sz w:val="20"/>
              </w:rPr>
            </w:pPr>
            <w:r>
              <w:rPr>
                <w:sz w:val="20"/>
              </w:rPr>
              <w:t>Depreciation and amortization</w:t>
            </w:r>
          </w:p>
        </w:tc>
        <w:tc>
          <w:tcPr>
            <w:tcW w:w="17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sz w:val="20"/>
              </w:rPr>
            </w:pPr>
            <w:r>
              <w:rPr>
                <w:sz w:val="20"/>
              </w:rPr>
              <w:t>594</w:t>
            </w:r>
          </w:p>
        </w:tc>
        <w:tc>
          <w:tcPr>
            <w:tcW w:w="17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sz w:val="20"/>
              </w:rPr>
            </w:pPr>
            <w:r>
              <w:rPr>
                <w:sz w:val="20"/>
              </w:rPr>
              <w:t>827</w:t>
            </w:r>
          </w:p>
        </w:tc>
        <w:tc>
          <w:tcPr>
            <w:tcW w:w="228"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20"/>
              </w:rPr>
            </w:pPr>
            <w:r>
              <w:rPr>
                <w:sz w:val="20"/>
              </w:rPr>
              <w:t>Impairment of goodwill and intangibles</w:t>
            </w:r>
          </w:p>
        </w:tc>
        <w:tc>
          <w:tcPr>
            <w:tcW w:w="17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sz w:val="20"/>
              </w:rPr>
            </w:pPr>
            <w:r>
              <w:rPr>
                <w:sz w:val="20"/>
              </w:rPr>
              <w:t>588</w:t>
            </w:r>
          </w:p>
        </w:tc>
        <w:tc>
          <w:tcPr>
            <w:tcW w:w="177"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right"/>
              <w:rPr>
                <w:sz w:val="20"/>
              </w:rPr>
            </w:pPr>
            <w:r>
              <w:rPr>
                <w:sz w:val="20"/>
              </w:rPr>
              <w:t>1,631</w:t>
            </w:r>
          </w:p>
        </w:tc>
        <w:tc>
          <w:tcPr>
            <w:tcW w:w="228"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sz w:val="20"/>
              </w:rPr>
            </w:pPr>
            <w:r>
              <w:rPr>
                <w:sz w:val="20"/>
              </w:rPr>
              <w:t>Loss on disposition of assets</w:t>
            </w:r>
          </w:p>
        </w:tc>
        <w:tc>
          <w:tcPr>
            <w:tcW w:w="17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sz w:val="20"/>
              </w:rPr>
            </w:pPr>
            <w:r>
              <w:rPr>
                <w:sz w:val="20"/>
              </w:rPr>
              <w:t>10</w:t>
            </w:r>
          </w:p>
        </w:tc>
        <w:tc>
          <w:tcPr>
            <w:tcW w:w="17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sz w:val="20"/>
              </w:rPr>
            </w:pPr>
            <w:r>
              <w:rPr>
                <w:sz w:val="20"/>
              </w:rPr>
              <w:t>-</w:t>
            </w:r>
          </w:p>
        </w:tc>
        <w:tc>
          <w:tcPr>
            <w:tcW w:w="228"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20"/>
              </w:rPr>
            </w:pPr>
            <w:r>
              <w:rPr>
                <w:sz w:val="20"/>
              </w:rPr>
              <w:t>Share-based compensation</w:t>
            </w:r>
          </w:p>
        </w:tc>
        <w:tc>
          <w:tcPr>
            <w:tcW w:w="17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sz w:val="20"/>
              </w:rPr>
            </w:pPr>
            <w:r>
              <w:rPr>
                <w:sz w:val="20"/>
              </w:rPr>
              <w:t>4,076</w:t>
            </w:r>
          </w:p>
        </w:tc>
        <w:tc>
          <w:tcPr>
            <w:tcW w:w="177"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right"/>
              <w:rPr>
                <w:sz w:val="20"/>
              </w:rPr>
            </w:pPr>
            <w:r>
              <w:rPr>
                <w:sz w:val="20"/>
              </w:rPr>
              <w:t>2,433</w:t>
            </w:r>
          </w:p>
        </w:tc>
        <w:tc>
          <w:tcPr>
            <w:tcW w:w="228"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sz w:val="20"/>
              </w:rPr>
            </w:pPr>
            <w:r>
              <w:rPr>
                <w:sz w:val="20"/>
              </w:rPr>
              <w:t>Warranty provision</w:t>
            </w:r>
          </w:p>
        </w:tc>
        <w:tc>
          <w:tcPr>
            <w:tcW w:w="17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sz w:val="20"/>
              </w:rPr>
            </w:pPr>
            <w:r>
              <w:rPr>
                <w:sz w:val="20"/>
              </w:rPr>
              <w:t>(40</w:t>
            </w:r>
          </w:p>
        </w:tc>
        <w:tc>
          <w:tcPr>
            <w:tcW w:w="177" w:type="dxa"/>
            <w:tcBorders/>
            <w:shd w:fill="CCEEFF" w:val="clear"/>
            <w:vAlign w:val="center"/>
          </w:tcPr>
          <w:p>
            <w:pPr>
              <w:pStyle w:val="TableContents"/>
              <w:bidi w:val="0"/>
              <w:spacing w:before="0" w:after="283"/>
              <w:jc w:val="left"/>
              <w:rPr>
                <w:sz w:val="20"/>
              </w:rPr>
            </w:pPr>
            <w:r>
              <w:rPr>
                <w:sz w:val="20"/>
              </w:rPr>
              <w:t>) </w:t>
            </w:r>
          </w:p>
        </w:tc>
        <w:tc>
          <w:tcPr>
            <w:tcW w:w="102"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sz w:val="20"/>
              </w:rPr>
            </w:pPr>
            <w:r>
              <w:rPr>
                <w:sz w:val="20"/>
              </w:rPr>
              <w:t>90</w:t>
            </w:r>
          </w:p>
        </w:tc>
        <w:tc>
          <w:tcPr>
            <w:tcW w:w="228"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20"/>
              </w:rPr>
            </w:pPr>
            <w:r>
              <w:rPr>
                <w:sz w:val="20"/>
              </w:rPr>
              <w:t>Change in fair value of warrant liabilities</w:t>
            </w:r>
          </w:p>
        </w:tc>
        <w:tc>
          <w:tcPr>
            <w:tcW w:w="17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sz w:val="20"/>
              </w:rPr>
            </w:pPr>
            <w:r>
              <w:rPr>
                <w:sz w:val="20"/>
              </w:rPr>
              <w:t>(3,158</w:t>
            </w:r>
          </w:p>
        </w:tc>
        <w:tc>
          <w:tcPr>
            <w:tcW w:w="177" w:type="dxa"/>
            <w:tcBorders/>
            <w:vAlign w:val="center"/>
          </w:tcPr>
          <w:p>
            <w:pPr>
              <w:pStyle w:val="TableContents"/>
              <w:bidi w:val="0"/>
              <w:spacing w:before="0" w:after="283"/>
              <w:jc w:val="left"/>
              <w:rPr>
                <w:sz w:val="20"/>
              </w:rPr>
            </w:pPr>
            <w:r>
              <w:rPr>
                <w:sz w:val="20"/>
              </w:rPr>
              <w:t>) </w:t>
            </w:r>
          </w:p>
        </w:tc>
        <w:tc>
          <w:tcPr>
            <w:tcW w:w="10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right"/>
              <w:rPr>
                <w:sz w:val="20"/>
              </w:rPr>
            </w:pPr>
            <w:r>
              <w:rPr>
                <w:sz w:val="20"/>
              </w:rPr>
              <w:t>(9,572</w:t>
            </w:r>
          </w:p>
        </w:tc>
        <w:tc>
          <w:tcPr>
            <w:tcW w:w="228" w:type="dxa"/>
            <w:tcBorders/>
            <w:vAlign w:val="center"/>
          </w:tcPr>
          <w:p>
            <w:pPr>
              <w:pStyle w:val="TableContents"/>
              <w:bidi w:val="0"/>
              <w:spacing w:before="0" w:after="283"/>
              <w:jc w:val="left"/>
              <w:rPr>
                <w:sz w:val="20"/>
              </w:rPr>
            </w:pPr>
            <w:r>
              <w:rPr>
                <w:sz w:val="20"/>
              </w:rPr>
              <w:t>) </w:t>
            </w:r>
          </w:p>
        </w:tc>
      </w:tr>
      <w:tr>
        <w:trPr/>
        <w:tc>
          <w:tcPr>
            <w:tcW w:w="6155" w:type="dxa"/>
            <w:tcBorders/>
            <w:shd w:fill="CCEEFF" w:val="clear"/>
            <w:vAlign w:val="center"/>
          </w:tcPr>
          <w:p>
            <w:pPr>
              <w:pStyle w:val="TableContents"/>
              <w:bidi w:val="0"/>
              <w:spacing w:before="0" w:after="283"/>
              <w:jc w:val="left"/>
              <w:rPr>
                <w:sz w:val="20"/>
              </w:rPr>
            </w:pPr>
            <w:r>
              <w:rPr>
                <w:sz w:val="20"/>
              </w:rPr>
              <w:t>Non-cash lease expense</w:t>
            </w:r>
          </w:p>
        </w:tc>
        <w:tc>
          <w:tcPr>
            <w:tcW w:w="17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sz w:val="20"/>
              </w:rPr>
            </w:pPr>
            <w:r>
              <w:rPr>
                <w:sz w:val="20"/>
              </w:rPr>
              <w:t>(211</w:t>
            </w:r>
          </w:p>
        </w:tc>
        <w:tc>
          <w:tcPr>
            <w:tcW w:w="177" w:type="dxa"/>
            <w:tcBorders/>
            <w:shd w:fill="CCEEFF" w:val="clear"/>
            <w:vAlign w:val="center"/>
          </w:tcPr>
          <w:p>
            <w:pPr>
              <w:pStyle w:val="TableContents"/>
              <w:bidi w:val="0"/>
              <w:spacing w:before="0" w:after="283"/>
              <w:jc w:val="left"/>
              <w:rPr>
                <w:sz w:val="20"/>
              </w:rPr>
            </w:pPr>
            <w:r>
              <w:rPr>
                <w:sz w:val="20"/>
              </w:rPr>
              <w:t>) </w:t>
            </w:r>
          </w:p>
        </w:tc>
        <w:tc>
          <w:tcPr>
            <w:tcW w:w="102"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sz w:val="20"/>
              </w:rPr>
            </w:pPr>
            <w:r>
              <w:rPr>
                <w:sz w:val="20"/>
              </w:rPr>
              <w:t>292</w:t>
            </w:r>
          </w:p>
        </w:tc>
        <w:tc>
          <w:tcPr>
            <w:tcW w:w="228"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20"/>
              </w:rPr>
            </w:pPr>
            <w:r>
              <w:rPr>
                <w:sz w:val="20"/>
              </w:rPr>
              <w:t>Credit losses</w:t>
            </w:r>
          </w:p>
        </w:tc>
        <w:tc>
          <w:tcPr>
            <w:tcW w:w="17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sz w:val="20"/>
              </w:rPr>
            </w:pPr>
            <w:r>
              <w:rPr>
                <w:sz w:val="20"/>
              </w:rPr>
              <w:t>117</w:t>
            </w:r>
          </w:p>
        </w:tc>
        <w:tc>
          <w:tcPr>
            <w:tcW w:w="177"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right"/>
              <w:rPr>
                <w:sz w:val="20"/>
              </w:rPr>
            </w:pPr>
            <w:r>
              <w:rPr>
                <w:sz w:val="20"/>
              </w:rPr>
              <w:t>66</w:t>
            </w:r>
          </w:p>
        </w:tc>
        <w:tc>
          <w:tcPr>
            <w:tcW w:w="228"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sz w:val="20"/>
              </w:rPr>
            </w:pPr>
            <w:r>
              <w:rPr>
                <w:sz w:val="20"/>
              </w:rPr>
              <w:t>Inventory obsolescence reserve</w:t>
            </w:r>
          </w:p>
        </w:tc>
        <w:tc>
          <w:tcPr>
            <w:tcW w:w="17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sz w:val="20"/>
              </w:rPr>
            </w:pPr>
            <w:r>
              <w:rPr>
                <w:sz w:val="20"/>
              </w:rPr>
              <w:t>36</w:t>
            </w:r>
          </w:p>
        </w:tc>
        <w:tc>
          <w:tcPr>
            <w:tcW w:w="17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sz w:val="20"/>
              </w:rPr>
            </w:pPr>
            <w:r>
              <w:rPr>
                <w:sz w:val="20"/>
              </w:rPr>
              <w:t>15</w:t>
            </w:r>
          </w:p>
        </w:tc>
        <w:tc>
          <w:tcPr>
            <w:tcW w:w="228"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sz w:val="20"/>
              </w:rPr>
            </w:pPr>
            <w:r>
              <w:rPr>
                <w:sz w:val="20"/>
              </w:rPr>
              <w:t>Changes in assets and liabilities:</w:t>
            </w:r>
          </w:p>
        </w:tc>
        <w:tc>
          <w:tcPr>
            <w:tcW w:w="17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left"/>
              <w:rPr>
                <w:sz w:val="4"/>
                <w:szCs w:val="4"/>
              </w:rPr>
            </w:pPr>
            <w:r>
              <w:rPr>
                <w:sz w:val="4"/>
                <w:szCs w:val="4"/>
              </w:rPr>
            </w:r>
          </w:p>
        </w:tc>
        <w:tc>
          <w:tcPr>
            <w:tcW w:w="17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20"/>
              </w:rPr>
            </w:pPr>
            <w:r>
              <w:rPr>
                <w:sz w:val="20"/>
              </w:rPr>
              <w:t>Accounts receivable</w:t>
            </w:r>
          </w:p>
        </w:tc>
        <w:tc>
          <w:tcPr>
            <w:tcW w:w="17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sz w:val="20"/>
              </w:rPr>
            </w:pPr>
            <w:r>
              <w:rPr>
                <w:sz w:val="20"/>
              </w:rPr>
              <w:t>(2,391</w:t>
            </w:r>
          </w:p>
        </w:tc>
        <w:tc>
          <w:tcPr>
            <w:tcW w:w="177" w:type="dxa"/>
            <w:tcBorders/>
            <w:vAlign w:val="center"/>
          </w:tcPr>
          <w:p>
            <w:pPr>
              <w:pStyle w:val="TableContents"/>
              <w:bidi w:val="0"/>
              <w:spacing w:before="0" w:after="283"/>
              <w:jc w:val="left"/>
              <w:rPr>
                <w:sz w:val="20"/>
              </w:rPr>
            </w:pPr>
            <w:r>
              <w:rPr>
                <w:sz w:val="20"/>
              </w:rPr>
              <w:t>) </w:t>
            </w:r>
          </w:p>
        </w:tc>
        <w:tc>
          <w:tcPr>
            <w:tcW w:w="10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right"/>
              <w:rPr>
                <w:sz w:val="20"/>
              </w:rPr>
            </w:pPr>
            <w:r>
              <w:rPr>
                <w:sz w:val="20"/>
              </w:rPr>
              <w:t>2,446</w:t>
            </w:r>
          </w:p>
        </w:tc>
        <w:tc>
          <w:tcPr>
            <w:tcW w:w="228"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sz w:val="20"/>
              </w:rPr>
            </w:pPr>
            <w:r>
              <w:rPr>
                <w:sz w:val="20"/>
              </w:rPr>
              <w:t>Inventories</w:t>
            </w:r>
          </w:p>
        </w:tc>
        <w:tc>
          <w:tcPr>
            <w:tcW w:w="17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sz w:val="20"/>
              </w:rPr>
            </w:pPr>
            <w:r>
              <w:rPr>
                <w:sz w:val="20"/>
              </w:rPr>
              <w:t>1,163</w:t>
            </w:r>
          </w:p>
        </w:tc>
        <w:tc>
          <w:tcPr>
            <w:tcW w:w="17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sz w:val="20"/>
              </w:rPr>
            </w:pPr>
            <w:r>
              <w:rPr>
                <w:sz w:val="20"/>
              </w:rPr>
              <w:t>(391</w:t>
            </w:r>
          </w:p>
        </w:tc>
        <w:tc>
          <w:tcPr>
            <w:tcW w:w="228" w:type="dxa"/>
            <w:tcBorders/>
            <w:shd w:fill="CCEEFF" w:val="clear"/>
            <w:vAlign w:val="center"/>
          </w:tcPr>
          <w:p>
            <w:pPr>
              <w:pStyle w:val="TableContents"/>
              <w:bidi w:val="0"/>
              <w:spacing w:before="0" w:after="283"/>
              <w:jc w:val="left"/>
              <w:rPr>
                <w:sz w:val="20"/>
              </w:rPr>
            </w:pPr>
            <w:r>
              <w:rPr>
                <w:sz w:val="20"/>
              </w:rPr>
              <w:t>) </w:t>
            </w:r>
          </w:p>
        </w:tc>
      </w:tr>
      <w:tr>
        <w:trPr/>
        <w:tc>
          <w:tcPr>
            <w:tcW w:w="6155" w:type="dxa"/>
            <w:tcBorders/>
            <w:vAlign w:val="center"/>
          </w:tcPr>
          <w:p>
            <w:pPr>
              <w:pStyle w:val="TableContents"/>
              <w:bidi w:val="0"/>
              <w:spacing w:before="0" w:after="283"/>
              <w:jc w:val="left"/>
              <w:rPr>
                <w:sz w:val="20"/>
              </w:rPr>
            </w:pPr>
            <w:r>
              <w:rPr>
                <w:sz w:val="20"/>
              </w:rPr>
              <w:t>Prepaid expenses and other current assets</w:t>
            </w:r>
          </w:p>
        </w:tc>
        <w:tc>
          <w:tcPr>
            <w:tcW w:w="17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sz w:val="20"/>
              </w:rPr>
            </w:pPr>
            <w:r>
              <w:rPr>
                <w:sz w:val="20"/>
              </w:rPr>
              <w:t>(16</w:t>
            </w:r>
          </w:p>
        </w:tc>
        <w:tc>
          <w:tcPr>
            <w:tcW w:w="177" w:type="dxa"/>
            <w:tcBorders/>
            <w:vAlign w:val="center"/>
          </w:tcPr>
          <w:p>
            <w:pPr>
              <w:pStyle w:val="TableContents"/>
              <w:bidi w:val="0"/>
              <w:spacing w:before="0" w:after="283"/>
              <w:jc w:val="left"/>
              <w:rPr>
                <w:sz w:val="20"/>
              </w:rPr>
            </w:pPr>
            <w:r>
              <w:rPr>
                <w:sz w:val="20"/>
              </w:rPr>
              <w:t>) </w:t>
            </w:r>
          </w:p>
        </w:tc>
        <w:tc>
          <w:tcPr>
            <w:tcW w:w="10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right"/>
              <w:rPr>
                <w:sz w:val="20"/>
              </w:rPr>
            </w:pPr>
            <w:r>
              <w:rPr>
                <w:sz w:val="20"/>
              </w:rPr>
              <w:t>775</w:t>
            </w:r>
          </w:p>
        </w:tc>
        <w:tc>
          <w:tcPr>
            <w:tcW w:w="228"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sz w:val="20"/>
              </w:rPr>
            </w:pPr>
            <w:r>
              <w:rPr>
                <w:sz w:val="20"/>
              </w:rPr>
              <w:t>Accounts payable</w:t>
            </w:r>
          </w:p>
        </w:tc>
        <w:tc>
          <w:tcPr>
            <w:tcW w:w="17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sz w:val="20"/>
              </w:rPr>
            </w:pPr>
            <w:r>
              <w:rPr>
                <w:sz w:val="20"/>
              </w:rPr>
              <w:t>11</w:t>
            </w:r>
          </w:p>
        </w:tc>
        <w:tc>
          <w:tcPr>
            <w:tcW w:w="17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sz w:val="20"/>
              </w:rPr>
            </w:pPr>
            <w:r>
              <w:rPr>
                <w:sz w:val="20"/>
              </w:rPr>
              <w:t>(441</w:t>
            </w:r>
          </w:p>
        </w:tc>
        <w:tc>
          <w:tcPr>
            <w:tcW w:w="228" w:type="dxa"/>
            <w:tcBorders/>
            <w:shd w:fill="CCEEFF" w:val="clear"/>
            <w:vAlign w:val="center"/>
          </w:tcPr>
          <w:p>
            <w:pPr>
              <w:pStyle w:val="TableContents"/>
              <w:bidi w:val="0"/>
              <w:spacing w:before="0" w:after="283"/>
              <w:jc w:val="left"/>
              <w:rPr>
                <w:sz w:val="20"/>
              </w:rPr>
            </w:pPr>
            <w:r>
              <w:rPr>
                <w:sz w:val="20"/>
              </w:rPr>
              <w:t>) </w:t>
            </w:r>
          </w:p>
        </w:tc>
      </w:tr>
      <w:tr>
        <w:trPr/>
        <w:tc>
          <w:tcPr>
            <w:tcW w:w="6155" w:type="dxa"/>
            <w:tcBorders/>
            <w:vAlign w:val="center"/>
          </w:tcPr>
          <w:p>
            <w:pPr>
              <w:pStyle w:val="TableContents"/>
              <w:bidi w:val="0"/>
              <w:spacing w:before="0" w:after="283"/>
              <w:jc w:val="left"/>
              <w:rPr>
                <w:sz w:val="20"/>
              </w:rPr>
            </w:pPr>
            <w:r>
              <w:rPr>
                <w:sz w:val="20"/>
              </w:rPr>
              <w:t>Operating lease liabilities</w:t>
            </w:r>
          </w:p>
        </w:tc>
        <w:tc>
          <w:tcPr>
            <w:tcW w:w="17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sz w:val="20"/>
              </w:rPr>
            </w:pPr>
            <w:r>
              <w:rPr>
                <w:sz w:val="20"/>
              </w:rPr>
              <w:t>221</w:t>
            </w:r>
          </w:p>
        </w:tc>
        <w:tc>
          <w:tcPr>
            <w:tcW w:w="177"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right"/>
              <w:rPr>
                <w:sz w:val="20"/>
              </w:rPr>
            </w:pPr>
            <w:r>
              <w:rPr>
                <w:sz w:val="20"/>
              </w:rPr>
              <w:t>(91</w:t>
            </w:r>
          </w:p>
        </w:tc>
        <w:tc>
          <w:tcPr>
            <w:tcW w:w="228" w:type="dxa"/>
            <w:tcBorders/>
            <w:vAlign w:val="center"/>
          </w:tcPr>
          <w:p>
            <w:pPr>
              <w:pStyle w:val="TableContents"/>
              <w:bidi w:val="0"/>
              <w:spacing w:before="0" w:after="283"/>
              <w:jc w:val="left"/>
              <w:rPr>
                <w:sz w:val="20"/>
              </w:rPr>
            </w:pPr>
            <w:r>
              <w:rPr>
                <w:sz w:val="20"/>
              </w:rPr>
              <w:t>) </w:t>
            </w:r>
          </w:p>
        </w:tc>
      </w:tr>
      <w:tr>
        <w:trPr/>
        <w:tc>
          <w:tcPr>
            <w:tcW w:w="6155" w:type="dxa"/>
            <w:tcBorders/>
            <w:shd w:fill="CCEEFF" w:val="clear"/>
            <w:vAlign w:val="center"/>
          </w:tcPr>
          <w:p>
            <w:pPr>
              <w:pStyle w:val="TableContents"/>
              <w:bidi w:val="0"/>
              <w:spacing w:before="0" w:after="283"/>
              <w:jc w:val="left"/>
              <w:rPr>
                <w:sz w:val="20"/>
              </w:rPr>
            </w:pPr>
            <w:r>
              <w:rPr>
                <w:sz w:val="20"/>
              </w:rPr>
              <w:t>Customer deposits</w:t>
            </w:r>
          </w:p>
        </w:tc>
        <w:tc>
          <w:tcPr>
            <w:tcW w:w="17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sz w:val="20"/>
              </w:rPr>
            </w:pPr>
            <w:r>
              <w:rPr>
                <w:sz w:val="20"/>
              </w:rPr>
              <w:t>35</w:t>
            </w:r>
          </w:p>
        </w:tc>
        <w:tc>
          <w:tcPr>
            <w:tcW w:w="17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sz w:val="20"/>
              </w:rPr>
            </w:pPr>
            <w:r>
              <w:rPr>
                <w:sz w:val="20"/>
              </w:rPr>
              <w:t>(975</w:t>
            </w:r>
          </w:p>
        </w:tc>
        <w:tc>
          <w:tcPr>
            <w:tcW w:w="228" w:type="dxa"/>
            <w:tcBorders/>
            <w:shd w:fill="CCEEFF" w:val="clear"/>
            <w:vAlign w:val="center"/>
          </w:tcPr>
          <w:p>
            <w:pPr>
              <w:pStyle w:val="TableContents"/>
              <w:bidi w:val="0"/>
              <w:spacing w:before="0" w:after="283"/>
              <w:jc w:val="left"/>
              <w:rPr>
                <w:sz w:val="20"/>
              </w:rPr>
            </w:pPr>
            <w:r>
              <w:rPr>
                <w:sz w:val="20"/>
              </w:rPr>
              <w:t>) </w:t>
            </w:r>
          </w:p>
        </w:tc>
      </w:tr>
      <w:tr>
        <w:trPr/>
        <w:tc>
          <w:tcPr>
            <w:tcW w:w="6155" w:type="dxa"/>
            <w:tcBorders/>
            <w:vAlign w:val="center"/>
          </w:tcPr>
          <w:p>
            <w:pPr>
              <w:pStyle w:val="TableContents"/>
              <w:bidi w:val="0"/>
              <w:spacing w:before="0" w:after="283"/>
              <w:jc w:val="left"/>
              <w:rPr>
                <w:sz w:val="20"/>
              </w:rPr>
            </w:pPr>
            <w:r>
              <w:rPr>
                <w:sz w:val="20"/>
              </w:rPr>
              <w:t>Accrued liabilities and other</w:t>
            </w:r>
          </w:p>
        </w:tc>
        <w:tc>
          <w:tcPr>
            <w:tcW w:w="17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sz w:val="20"/>
              </w:rPr>
            </w:pPr>
            <w:r>
              <w:rPr>
                <w:sz w:val="20"/>
              </w:rPr>
              <w:t>(951</w:t>
            </w:r>
          </w:p>
        </w:tc>
        <w:tc>
          <w:tcPr>
            <w:tcW w:w="177" w:type="dxa"/>
            <w:tcBorders/>
            <w:vAlign w:val="center"/>
          </w:tcPr>
          <w:p>
            <w:pPr>
              <w:pStyle w:val="TableContents"/>
              <w:bidi w:val="0"/>
              <w:spacing w:before="0" w:after="283"/>
              <w:jc w:val="left"/>
              <w:rPr>
                <w:sz w:val="20"/>
              </w:rPr>
            </w:pPr>
            <w:r>
              <w:rPr>
                <w:sz w:val="20"/>
              </w:rPr>
              <w:t>) </w:t>
            </w:r>
          </w:p>
        </w:tc>
        <w:tc>
          <w:tcPr>
            <w:tcW w:w="10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right"/>
              <w:rPr>
                <w:sz w:val="20"/>
              </w:rPr>
            </w:pPr>
            <w:r>
              <w:rPr>
                <w:sz w:val="20"/>
              </w:rPr>
              <w:t>700</w:t>
            </w:r>
          </w:p>
        </w:tc>
        <w:tc>
          <w:tcPr>
            <w:tcW w:w="228"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sz w:val="20"/>
              </w:rPr>
            </w:pPr>
            <w:r>
              <w:rPr>
                <w:sz w:val="20"/>
              </w:rPr>
              <w:t>Warranty settlement</w:t>
            </w:r>
          </w:p>
        </w:tc>
        <w:tc>
          <w:tcPr>
            <w:tcW w:w="17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sz w:val="20"/>
              </w:rPr>
            </w:pPr>
            <w:r>
              <w:rPr>
                <w:sz w:val="20"/>
              </w:rPr>
              <w:t>(13</w:t>
            </w:r>
          </w:p>
        </w:tc>
        <w:tc>
          <w:tcPr>
            <w:tcW w:w="177" w:type="dxa"/>
            <w:tcBorders/>
            <w:shd w:fill="CCEEFF" w:val="clear"/>
            <w:vAlign w:val="center"/>
          </w:tcPr>
          <w:p>
            <w:pPr>
              <w:pStyle w:val="TableContents"/>
              <w:bidi w:val="0"/>
              <w:spacing w:before="0" w:after="283"/>
              <w:jc w:val="left"/>
              <w:rPr>
                <w:sz w:val="20"/>
              </w:rPr>
            </w:pPr>
            <w:r>
              <w:rPr>
                <w:sz w:val="20"/>
              </w:rPr>
              <w:t>) </w:t>
            </w:r>
          </w:p>
        </w:tc>
        <w:tc>
          <w:tcPr>
            <w:tcW w:w="102"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sz w:val="20"/>
              </w:rPr>
            </w:pPr>
            <w:r>
              <w:rPr>
                <w:sz w:val="20"/>
              </w:rPr>
              <w:t>(79</w:t>
            </w:r>
          </w:p>
        </w:tc>
        <w:tc>
          <w:tcPr>
            <w:tcW w:w="228" w:type="dxa"/>
            <w:tcBorders/>
            <w:shd w:fill="CCEEFF" w:val="clear"/>
            <w:vAlign w:val="center"/>
          </w:tcPr>
          <w:p>
            <w:pPr>
              <w:pStyle w:val="TableContents"/>
              <w:bidi w:val="0"/>
              <w:spacing w:before="0" w:after="283"/>
              <w:jc w:val="left"/>
              <w:rPr>
                <w:sz w:val="20"/>
              </w:rPr>
            </w:pPr>
            <w:r>
              <w:rPr>
                <w:sz w:val="20"/>
              </w:rPr>
              <w:t>) </w:t>
            </w:r>
          </w:p>
        </w:tc>
      </w:tr>
      <w:tr>
        <w:trPr/>
        <w:tc>
          <w:tcPr>
            <w:tcW w:w="6155" w:type="dxa"/>
            <w:tcBorders/>
            <w:vAlign w:val="center"/>
          </w:tcPr>
          <w:p>
            <w:pPr>
              <w:pStyle w:val="TableContents"/>
              <w:bidi w:val="0"/>
              <w:spacing w:before="0" w:after="283"/>
              <w:jc w:val="left"/>
              <w:rPr>
                <w:sz w:val="20"/>
              </w:rPr>
            </w:pPr>
            <w:r>
              <w:rPr>
                <w:sz w:val="20"/>
              </w:rPr>
              <w:t>Deferred revenue</w:t>
            </w:r>
          </w:p>
        </w:tc>
        <w:tc>
          <w:tcPr>
            <w:tcW w:w="17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sz w:val="20"/>
              </w:rPr>
            </w:pPr>
            <w:r>
              <w:rPr>
                <w:sz w:val="20"/>
              </w:rPr>
              <w:t>(83</w:t>
            </w:r>
          </w:p>
        </w:tc>
        <w:tc>
          <w:tcPr>
            <w:tcW w:w="177" w:type="dxa"/>
            <w:tcBorders/>
            <w:vAlign w:val="center"/>
          </w:tcPr>
          <w:p>
            <w:pPr>
              <w:pStyle w:val="TableContents"/>
              <w:bidi w:val="0"/>
              <w:spacing w:before="0" w:after="283"/>
              <w:jc w:val="left"/>
              <w:rPr>
                <w:sz w:val="20"/>
              </w:rPr>
            </w:pPr>
            <w:r>
              <w:rPr>
                <w:sz w:val="20"/>
              </w:rPr>
              <w:t>) </w:t>
            </w:r>
          </w:p>
        </w:tc>
        <w:tc>
          <w:tcPr>
            <w:tcW w:w="10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right"/>
              <w:rPr>
                <w:sz w:val="20"/>
              </w:rPr>
            </w:pPr>
            <w:r>
              <w:rPr>
                <w:sz w:val="20"/>
              </w:rPr>
              <w:t>(39</w:t>
            </w:r>
          </w:p>
        </w:tc>
        <w:tc>
          <w:tcPr>
            <w:tcW w:w="228" w:type="dxa"/>
            <w:tcBorders/>
            <w:vAlign w:val="center"/>
          </w:tcPr>
          <w:p>
            <w:pPr>
              <w:pStyle w:val="TableContents"/>
              <w:bidi w:val="0"/>
              <w:spacing w:before="0" w:after="283"/>
              <w:jc w:val="left"/>
              <w:rPr>
                <w:sz w:val="20"/>
              </w:rPr>
            </w:pPr>
            <w:r>
              <w:rPr>
                <w:sz w:val="20"/>
              </w:rPr>
              <w:t>) </w:t>
            </w:r>
          </w:p>
        </w:tc>
      </w:tr>
      <w:tr>
        <w:trPr/>
        <w:tc>
          <w:tcPr>
            <w:tcW w:w="6155" w:type="dxa"/>
            <w:tcBorders/>
            <w:shd w:fill="CCEEFF" w:val="clear"/>
            <w:vAlign w:val="center"/>
          </w:tcPr>
          <w:p>
            <w:pPr>
              <w:pStyle w:val="TableContents"/>
              <w:bidi w:val="0"/>
              <w:spacing w:before="0" w:after="283"/>
              <w:jc w:val="left"/>
              <w:rPr>
                <w:sz w:val="20"/>
              </w:rPr>
            </w:pPr>
            <w:r>
              <w:rPr>
                <w:sz w:val="20"/>
              </w:rPr>
              <w:t>Other non-current assets</w:t>
            </w:r>
          </w:p>
        </w:tc>
        <w:tc>
          <w:tcPr>
            <w:tcW w:w="1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58</w:t>
            </w:r>
          </w:p>
        </w:tc>
        <w:tc>
          <w:tcPr>
            <w:tcW w:w="1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7"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63</w:t>
            </w:r>
          </w:p>
        </w:tc>
        <w:tc>
          <w:tcPr>
            <w:tcW w:w="22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20"/>
              </w:rPr>
            </w:pPr>
            <w:r>
              <w:rPr>
                <w:sz w:val="20"/>
              </w:rPr>
              <w:t>Net cash used in operating activities</w:t>
            </w:r>
          </w:p>
        </w:tc>
        <w:tc>
          <w:tcPr>
            <w:tcW w:w="177" w:type="dxa"/>
            <w:tcBorders>
              <w:bottom w:val="single" w:sz="2" w:space="0" w:color="000000"/>
            </w:tcBorders>
            <w:tcMar>
              <w:bottom w:w="28" w:type="dxa"/>
            </w:tcMar>
            <w:vAlign w:val="center"/>
          </w:tcPr>
          <w:p>
            <w:pPr>
              <w:pStyle w:val="TableContents"/>
              <w:bidi w:val="0"/>
              <w:spacing w:before="0" w:after="283"/>
              <w:jc w:val="left"/>
              <w:rPr/>
            </w:pPr>
            <w:r>
              <w:rPr/>
              <w:t> </w:t>
            </w:r>
          </w:p>
        </w:tc>
        <w:tc>
          <w:tcPr>
            <w:tcW w:w="778" w:type="dxa"/>
            <w:tcBorders>
              <w:bottom w:val="single" w:sz="2" w:space="0" w:color="000000"/>
            </w:tcBorders>
            <w:tcMar>
              <w:bottom w:w="28" w:type="dxa"/>
            </w:tcMar>
            <w:vAlign w:val="center"/>
          </w:tcPr>
          <w:p>
            <w:pPr>
              <w:pStyle w:val="TableContents"/>
              <w:bidi w:val="0"/>
              <w:spacing w:before="0" w:after="283"/>
              <w:jc w:val="right"/>
              <w:rPr>
                <w:sz w:val="20"/>
              </w:rPr>
            </w:pPr>
            <w:r>
              <w:rPr>
                <w:sz w:val="20"/>
              </w:rPr>
              <w:t>(10,289</w:t>
            </w:r>
          </w:p>
        </w:tc>
        <w:tc>
          <w:tcPr>
            <w:tcW w:w="177" w:type="dxa"/>
            <w:tcBorders>
              <w:bottom w:val="single" w:sz="2" w:space="0" w:color="000000"/>
            </w:tcBorders>
            <w:tcMar>
              <w:bottom w:w="28" w:type="dxa"/>
            </w:tcMar>
            <w:vAlign w:val="center"/>
          </w:tcPr>
          <w:p>
            <w:pPr>
              <w:pStyle w:val="TableContents"/>
              <w:bidi w:val="0"/>
              <w:spacing w:before="0" w:after="283"/>
              <w:jc w:val="left"/>
              <w:rPr>
                <w:sz w:val="20"/>
              </w:rPr>
            </w:pPr>
            <w:r>
              <w:rPr>
                <w:sz w:val="20"/>
              </w:rPr>
              <w:t>) </w:t>
            </w:r>
          </w:p>
        </w:tc>
        <w:tc>
          <w:tcPr>
            <w:tcW w:w="102" w:type="dxa"/>
            <w:tcBorders/>
            <w:vAlign w:val="center"/>
          </w:tcPr>
          <w:p>
            <w:pPr>
              <w:pStyle w:val="TableContents"/>
              <w:bidi w:val="0"/>
              <w:spacing w:before="0" w:after="283"/>
              <w:jc w:val="left"/>
              <w:rPr/>
            </w:pPr>
            <w:r>
              <w:rPr/>
              <w:t> </w:t>
            </w:r>
          </w:p>
        </w:tc>
        <w:tc>
          <w:tcPr>
            <w:tcW w:w="177" w:type="dxa"/>
            <w:tcBorders>
              <w:bottom w:val="single" w:sz="2" w:space="0" w:color="000000"/>
            </w:tcBorders>
            <w:tcMar>
              <w:bottom w:w="28" w:type="dxa"/>
            </w:tcMar>
            <w:vAlign w:val="center"/>
          </w:tcPr>
          <w:p>
            <w:pPr>
              <w:pStyle w:val="TableContents"/>
              <w:bidi w:val="0"/>
              <w:spacing w:before="0" w:after="283"/>
              <w:jc w:val="left"/>
              <w:rPr/>
            </w:pPr>
            <w:r>
              <w:rPr/>
              <w:t> </w:t>
            </w:r>
          </w:p>
        </w:tc>
        <w:tc>
          <w:tcPr>
            <w:tcW w:w="657" w:type="dxa"/>
            <w:tcBorders>
              <w:bottom w:val="single" w:sz="2" w:space="0" w:color="000000"/>
            </w:tcBorders>
            <w:tcMar>
              <w:bottom w:w="28" w:type="dxa"/>
            </w:tcMar>
            <w:vAlign w:val="center"/>
          </w:tcPr>
          <w:p>
            <w:pPr>
              <w:pStyle w:val="TableContents"/>
              <w:bidi w:val="0"/>
              <w:spacing w:before="0" w:after="283"/>
              <w:jc w:val="right"/>
              <w:rPr>
                <w:sz w:val="20"/>
              </w:rPr>
            </w:pPr>
            <w:r>
              <w:rPr>
                <w:sz w:val="20"/>
              </w:rPr>
              <w:t>(8,125</w:t>
            </w:r>
          </w:p>
        </w:tc>
        <w:tc>
          <w:tcPr>
            <w:tcW w:w="228" w:type="dxa"/>
            <w:tcBorders>
              <w:bottom w:val="single" w:sz="2" w:space="0" w:color="000000"/>
            </w:tcBorders>
            <w:tcMar>
              <w:bottom w:w="28" w:type="dxa"/>
            </w:tcMar>
            <w:vAlign w:val="center"/>
          </w:tcPr>
          <w:p>
            <w:pPr>
              <w:pStyle w:val="TableContents"/>
              <w:bidi w:val="0"/>
              <w:spacing w:before="0" w:after="283"/>
              <w:jc w:val="left"/>
              <w:rPr>
                <w:sz w:val="20"/>
              </w:rPr>
            </w:pPr>
            <w:r>
              <w:rPr>
                <w:sz w:val="20"/>
              </w:rPr>
              <w:t>) </w:t>
            </w:r>
          </w:p>
        </w:tc>
      </w:tr>
      <w:tr>
        <w:trPr/>
        <w:tc>
          <w:tcPr>
            <w:tcW w:w="6155" w:type="dxa"/>
            <w:tcBorders/>
            <w:shd w:fill="CCEEFF" w:val="clear"/>
            <w:vAlign w:val="center"/>
          </w:tcPr>
          <w:p>
            <w:pPr>
              <w:pStyle w:val="TableContents"/>
              <w:bidi w:val="0"/>
              <w:spacing w:before="0" w:after="283"/>
              <w:jc w:val="left"/>
              <w:rPr>
                <w:sz w:val="4"/>
                <w:szCs w:val="4"/>
              </w:rPr>
            </w:pPr>
            <w:r>
              <w:rPr>
                <w:sz w:val="4"/>
                <w:szCs w:val="4"/>
              </w:rPr>
            </w:r>
          </w:p>
        </w:tc>
        <w:tc>
          <w:tcPr>
            <w:tcW w:w="17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left"/>
              <w:rPr>
                <w:sz w:val="4"/>
                <w:szCs w:val="4"/>
              </w:rPr>
            </w:pPr>
            <w:r>
              <w:rPr>
                <w:sz w:val="4"/>
                <w:szCs w:val="4"/>
              </w:rPr>
            </w:r>
          </w:p>
        </w:tc>
        <w:tc>
          <w:tcPr>
            <w:tcW w:w="17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b/>
                <w:sz w:val="20"/>
              </w:rPr>
            </w:pPr>
            <w:r>
              <w:rPr>
                <w:b/>
                <w:sz w:val="20"/>
              </w:rPr>
              <w:t>Cash Flows From Investing Activities:</w:t>
            </w:r>
          </w:p>
        </w:tc>
        <w:tc>
          <w:tcPr>
            <w:tcW w:w="17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sz w:val="20"/>
              </w:rPr>
            </w:pPr>
            <w:r>
              <w:rPr>
                <w:sz w:val="20"/>
              </w:rPr>
              <w:t>Proceeds from maturities of short-term investments</w:t>
            </w:r>
          </w:p>
        </w:tc>
        <w:tc>
          <w:tcPr>
            <w:tcW w:w="17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sz w:val="20"/>
              </w:rPr>
            </w:pPr>
            <w:r>
              <w:rPr>
                <w:sz w:val="20"/>
              </w:rPr>
              <w:t>-</w:t>
            </w:r>
          </w:p>
        </w:tc>
        <w:tc>
          <w:tcPr>
            <w:tcW w:w="17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sz w:val="20"/>
              </w:rPr>
            </w:pPr>
            <w:r>
              <w:rPr>
                <w:sz w:val="20"/>
              </w:rPr>
              <w:t>7,500</w:t>
            </w:r>
          </w:p>
        </w:tc>
        <w:tc>
          <w:tcPr>
            <w:tcW w:w="228"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20"/>
              </w:rPr>
            </w:pPr>
            <w:r>
              <w:rPr>
                <w:sz w:val="20"/>
              </w:rPr>
              <w:t>Capital expenditures for property and equipment</w:t>
            </w:r>
          </w:p>
        </w:tc>
        <w:tc>
          <w:tcPr>
            <w:tcW w:w="17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sz w:val="20"/>
              </w:rPr>
            </w:pPr>
            <w:r>
              <w:rPr>
                <w:sz w:val="20"/>
              </w:rPr>
              <w:t>(100</w:t>
            </w:r>
          </w:p>
        </w:tc>
        <w:tc>
          <w:tcPr>
            <w:tcW w:w="177" w:type="dxa"/>
            <w:tcBorders/>
            <w:vAlign w:val="center"/>
          </w:tcPr>
          <w:p>
            <w:pPr>
              <w:pStyle w:val="TableContents"/>
              <w:bidi w:val="0"/>
              <w:spacing w:before="0" w:after="283"/>
              <w:jc w:val="left"/>
              <w:rPr>
                <w:sz w:val="20"/>
              </w:rPr>
            </w:pPr>
            <w:r>
              <w:rPr>
                <w:sz w:val="20"/>
              </w:rPr>
              <w:t>) </w:t>
            </w:r>
          </w:p>
        </w:tc>
        <w:tc>
          <w:tcPr>
            <w:tcW w:w="10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right"/>
              <w:rPr>
                <w:sz w:val="20"/>
              </w:rPr>
            </w:pPr>
            <w:r>
              <w:rPr>
                <w:sz w:val="20"/>
              </w:rPr>
              <w:t>(12</w:t>
            </w:r>
          </w:p>
        </w:tc>
        <w:tc>
          <w:tcPr>
            <w:tcW w:w="228" w:type="dxa"/>
            <w:tcBorders/>
            <w:vAlign w:val="center"/>
          </w:tcPr>
          <w:p>
            <w:pPr>
              <w:pStyle w:val="TableContents"/>
              <w:bidi w:val="0"/>
              <w:spacing w:before="0" w:after="283"/>
              <w:jc w:val="left"/>
              <w:rPr>
                <w:sz w:val="20"/>
              </w:rPr>
            </w:pPr>
            <w:r>
              <w:rPr>
                <w:sz w:val="20"/>
              </w:rPr>
              <w:t>) </w:t>
            </w:r>
          </w:p>
        </w:tc>
      </w:tr>
      <w:tr>
        <w:trPr/>
        <w:tc>
          <w:tcPr>
            <w:tcW w:w="6155" w:type="dxa"/>
            <w:tcBorders/>
            <w:shd w:fill="CCEEFF" w:val="clear"/>
            <w:vAlign w:val="center"/>
          </w:tcPr>
          <w:p>
            <w:pPr>
              <w:pStyle w:val="TableContents"/>
              <w:bidi w:val="0"/>
              <w:spacing w:before="0" w:after="283"/>
              <w:jc w:val="left"/>
              <w:rPr>
                <w:sz w:val="20"/>
              </w:rPr>
            </w:pPr>
            <w:r>
              <w:rPr>
                <w:sz w:val="20"/>
              </w:rPr>
              <w:t>Investment in patents, trademarks, and other intangibles</w:t>
            </w:r>
          </w:p>
        </w:tc>
        <w:tc>
          <w:tcPr>
            <w:tcW w:w="17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sz w:val="20"/>
              </w:rPr>
            </w:pPr>
            <w:r>
              <w:rPr>
                <w:sz w:val="20"/>
              </w:rPr>
              <w:t>(287</w:t>
            </w:r>
          </w:p>
        </w:tc>
        <w:tc>
          <w:tcPr>
            <w:tcW w:w="177" w:type="dxa"/>
            <w:tcBorders/>
            <w:shd w:fill="CCEEFF" w:val="clear"/>
            <w:vAlign w:val="center"/>
          </w:tcPr>
          <w:p>
            <w:pPr>
              <w:pStyle w:val="TableContents"/>
              <w:bidi w:val="0"/>
              <w:spacing w:before="0" w:after="283"/>
              <w:jc w:val="left"/>
              <w:rPr>
                <w:sz w:val="20"/>
              </w:rPr>
            </w:pPr>
            <w:r>
              <w:rPr>
                <w:sz w:val="20"/>
              </w:rPr>
              <w:t>) </w:t>
            </w:r>
          </w:p>
        </w:tc>
        <w:tc>
          <w:tcPr>
            <w:tcW w:w="102"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sz w:val="20"/>
              </w:rPr>
            </w:pPr>
            <w:r>
              <w:rPr>
                <w:sz w:val="20"/>
              </w:rPr>
              <w:t>(156</w:t>
            </w:r>
          </w:p>
        </w:tc>
        <w:tc>
          <w:tcPr>
            <w:tcW w:w="228" w:type="dxa"/>
            <w:tcBorders/>
            <w:shd w:fill="CCEEFF" w:val="clear"/>
            <w:vAlign w:val="center"/>
          </w:tcPr>
          <w:p>
            <w:pPr>
              <w:pStyle w:val="TableContents"/>
              <w:bidi w:val="0"/>
              <w:spacing w:before="0" w:after="283"/>
              <w:jc w:val="left"/>
              <w:rPr>
                <w:sz w:val="20"/>
              </w:rPr>
            </w:pPr>
            <w:r>
              <w:rPr>
                <w:sz w:val="20"/>
              </w:rPr>
              <w:t>) </w:t>
            </w:r>
          </w:p>
        </w:tc>
      </w:tr>
      <w:tr>
        <w:trPr/>
        <w:tc>
          <w:tcPr>
            <w:tcW w:w="6155" w:type="dxa"/>
            <w:tcBorders/>
            <w:vAlign w:val="center"/>
          </w:tcPr>
          <w:p>
            <w:pPr>
              <w:pStyle w:val="TableContents"/>
              <w:bidi w:val="0"/>
              <w:spacing w:before="0" w:after="283"/>
              <w:jc w:val="left"/>
              <w:rPr>
                <w:sz w:val="20"/>
              </w:rPr>
            </w:pPr>
            <w:r>
              <w:rPr>
                <w:sz w:val="20"/>
              </w:rPr>
              <w:t>Net cash paid for acquisition of Intrensic</w:t>
            </w:r>
          </w:p>
        </w:tc>
        <w:tc>
          <w:tcPr>
            <w:tcW w:w="177" w:type="dxa"/>
            <w:tcBorders>
              <w:bottom w:val="single" w:sz="2" w:space="0" w:color="000000"/>
            </w:tcBorders>
            <w:tcMar>
              <w:bottom w:w="28" w:type="dxa"/>
            </w:tcMar>
            <w:vAlign w:val="center"/>
          </w:tcPr>
          <w:p>
            <w:pPr>
              <w:pStyle w:val="TableContents"/>
              <w:bidi w:val="0"/>
              <w:spacing w:before="0" w:after="283"/>
              <w:jc w:val="left"/>
              <w:rPr/>
            </w:pPr>
            <w:r>
              <w:rPr/>
              <w:t> </w:t>
            </w:r>
          </w:p>
        </w:tc>
        <w:tc>
          <w:tcPr>
            <w:tcW w:w="778" w:type="dxa"/>
            <w:tcBorders>
              <w:bottom w:val="single" w:sz="2" w:space="0" w:color="000000"/>
            </w:tcBorders>
            <w:tcMar>
              <w:bottom w:w="28" w:type="dxa"/>
            </w:tcMar>
            <w:vAlign w:val="center"/>
          </w:tcPr>
          <w:p>
            <w:pPr>
              <w:pStyle w:val="TableContents"/>
              <w:bidi w:val="0"/>
              <w:spacing w:before="0" w:after="283"/>
              <w:jc w:val="right"/>
              <w:rPr>
                <w:sz w:val="20"/>
              </w:rPr>
            </w:pPr>
            <w:r>
              <w:rPr>
                <w:sz w:val="20"/>
              </w:rPr>
              <w:t>-</w:t>
            </w:r>
          </w:p>
        </w:tc>
        <w:tc>
          <w:tcPr>
            <w:tcW w:w="177" w:type="dxa"/>
            <w:tcBorders>
              <w:bottom w:val="single" w:sz="2" w:space="0" w:color="000000"/>
            </w:tcBorders>
            <w:tcMar>
              <w:bottom w:w="28" w:type="dxa"/>
            </w:tcM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77" w:type="dxa"/>
            <w:tcBorders>
              <w:bottom w:val="single" w:sz="2" w:space="0" w:color="000000"/>
            </w:tcBorders>
            <w:tcMar>
              <w:bottom w:w="28" w:type="dxa"/>
            </w:tcMar>
            <w:vAlign w:val="center"/>
          </w:tcPr>
          <w:p>
            <w:pPr>
              <w:pStyle w:val="TableContents"/>
              <w:bidi w:val="0"/>
              <w:spacing w:before="0" w:after="283"/>
              <w:jc w:val="left"/>
              <w:rPr/>
            </w:pPr>
            <w:r>
              <w:rPr/>
              <w:t> </w:t>
            </w:r>
          </w:p>
        </w:tc>
        <w:tc>
          <w:tcPr>
            <w:tcW w:w="657" w:type="dxa"/>
            <w:tcBorders>
              <w:bottom w:val="single" w:sz="2" w:space="0" w:color="000000"/>
            </w:tcBorders>
            <w:tcMar>
              <w:bottom w:w="28" w:type="dxa"/>
            </w:tcMar>
            <w:vAlign w:val="center"/>
          </w:tcPr>
          <w:p>
            <w:pPr>
              <w:pStyle w:val="TableContents"/>
              <w:bidi w:val="0"/>
              <w:spacing w:before="0" w:after="283"/>
              <w:jc w:val="right"/>
              <w:rPr>
                <w:sz w:val="20"/>
              </w:rPr>
            </w:pPr>
            <w:r>
              <w:rPr>
                <w:sz w:val="20"/>
              </w:rPr>
              <w:t>(20</w:t>
            </w:r>
          </w:p>
        </w:tc>
        <w:tc>
          <w:tcPr>
            <w:tcW w:w="228" w:type="dxa"/>
            <w:tcBorders>
              <w:bottom w:val="single" w:sz="2" w:space="0" w:color="000000"/>
            </w:tcBorders>
            <w:tcMar>
              <w:bottom w:w="28" w:type="dxa"/>
            </w:tcMar>
            <w:vAlign w:val="center"/>
          </w:tcPr>
          <w:p>
            <w:pPr>
              <w:pStyle w:val="TableContents"/>
              <w:bidi w:val="0"/>
              <w:spacing w:before="0" w:after="283"/>
              <w:jc w:val="left"/>
              <w:rPr>
                <w:sz w:val="20"/>
              </w:rPr>
            </w:pPr>
            <w:r>
              <w:rPr>
                <w:sz w:val="20"/>
              </w:rPr>
              <w:t>) </w:t>
            </w:r>
          </w:p>
        </w:tc>
      </w:tr>
      <w:tr>
        <w:trPr/>
        <w:tc>
          <w:tcPr>
            <w:tcW w:w="6155" w:type="dxa"/>
            <w:tcBorders/>
            <w:shd w:fill="CCEEFF" w:val="clear"/>
            <w:vAlign w:val="center"/>
          </w:tcPr>
          <w:p>
            <w:pPr>
              <w:pStyle w:val="TableContents"/>
              <w:bidi w:val="0"/>
              <w:spacing w:before="0" w:after="283"/>
              <w:jc w:val="left"/>
              <w:rPr>
                <w:sz w:val="20"/>
              </w:rPr>
            </w:pPr>
            <w:r>
              <w:rPr>
                <w:sz w:val="20"/>
              </w:rPr>
              <w:t>Net cash (used in) provided by investing activities</w:t>
            </w:r>
          </w:p>
        </w:tc>
        <w:tc>
          <w:tcPr>
            <w:tcW w:w="1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(387</w:t>
            </w:r>
          </w:p>
        </w:tc>
        <w:tc>
          <w:tcPr>
            <w:tcW w:w="177"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 </w:t>
            </w:r>
          </w:p>
        </w:tc>
        <w:tc>
          <w:tcPr>
            <w:tcW w:w="102"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7"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7,312</w:t>
            </w:r>
          </w:p>
        </w:tc>
        <w:tc>
          <w:tcPr>
            <w:tcW w:w="22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b/>
                <w:sz w:val="20"/>
              </w:rPr>
            </w:pPr>
            <w:r>
              <w:rPr>
                <w:b/>
                <w:sz w:val="20"/>
              </w:rPr>
              <w:t>Cash Flows From Financing Activities:</w:t>
            </w:r>
          </w:p>
        </w:tc>
        <w:tc>
          <w:tcPr>
            <w:tcW w:w="17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20"/>
              </w:rPr>
            </w:pPr>
            <w:r>
              <w:rPr>
                <w:sz w:val="20"/>
              </w:rPr>
              <w:t>Proceeds from exercise of stock options</w:t>
            </w:r>
          </w:p>
        </w:tc>
        <w:tc>
          <w:tcPr>
            <w:tcW w:w="17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sz w:val="20"/>
              </w:rPr>
            </w:pPr>
            <w:r>
              <w:rPr>
                <w:sz w:val="20"/>
              </w:rPr>
              <w:t>245</w:t>
            </w:r>
          </w:p>
        </w:tc>
        <w:tc>
          <w:tcPr>
            <w:tcW w:w="177"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right"/>
              <w:rPr>
                <w:sz w:val="20"/>
              </w:rPr>
            </w:pPr>
            <w:r>
              <w:rPr>
                <w:sz w:val="20"/>
              </w:rPr>
              <w:t>588</w:t>
            </w:r>
          </w:p>
        </w:tc>
        <w:tc>
          <w:tcPr>
            <w:tcW w:w="228"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sz w:val="20"/>
              </w:rPr>
            </w:pPr>
            <w:r>
              <w:rPr>
                <w:sz w:val="20"/>
              </w:rPr>
              <w:t>Proceeds from issuance of Series B convertible preferred stock</w:t>
            </w:r>
          </w:p>
        </w:tc>
        <w:tc>
          <w:tcPr>
            <w:tcW w:w="17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sz w:val="20"/>
              </w:rPr>
            </w:pPr>
            <w:r>
              <w:rPr>
                <w:sz w:val="20"/>
              </w:rPr>
              <w:t>4,500</w:t>
            </w:r>
          </w:p>
        </w:tc>
        <w:tc>
          <w:tcPr>
            <w:tcW w:w="17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sz w:val="20"/>
              </w:rPr>
            </w:pPr>
            <w:r>
              <w:rPr>
                <w:sz w:val="20"/>
              </w:rPr>
              <w:t>-</w:t>
            </w:r>
          </w:p>
        </w:tc>
        <w:tc>
          <w:tcPr>
            <w:tcW w:w="228"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20"/>
              </w:rPr>
            </w:pPr>
            <w:r>
              <w:rPr>
                <w:sz w:val="20"/>
              </w:rPr>
              <w:t>Proceeds from issuance of warrants and common stock, net of offering costs</w:t>
            </w:r>
          </w:p>
        </w:tc>
        <w:tc>
          <w:tcPr>
            <w:tcW w:w="17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sz w:val="20"/>
              </w:rPr>
            </w:pPr>
            <w:r>
              <w:rPr>
                <w:sz w:val="20"/>
              </w:rPr>
              <w:t>5,789</w:t>
            </w:r>
          </w:p>
        </w:tc>
        <w:tc>
          <w:tcPr>
            <w:tcW w:w="177"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right"/>
              <w:rPr>
                <w:sz w:val="20"/>
              </w:rPr>
            </w:pPr>
            <w:r>
              <w:rPr>
                <w:sz w:val="20"/>
              </w:rPr>
              <w:t xml:space="preserve">- </w:t>
            </w:r>
          </w:p>
        </w:tc>
        <w:tc>
          <w:tcPr>
            <w:tcW w:w="228"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sz w:val="20"/>
              </w:rPr>
            </w:pPr>
            <w:r>
              <w:rPr>
                <w:sz w:val="20"/>
              </w:rPr>
              <w:t>Dividends settled in cash</w:t>
            </w:r>
          </w:p>
        </w:tc>
        <w:tc>
          <w:tcPr>
            <w:tcW w:w="1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1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7"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(120</w:t>
            </w:r>
          </w:p>
        </w:tc>
        <w:tc>
          <w:tcPr>
            <w:tcW w:w="228"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 </w:t>
            </w:r>
          </w:p>
        </w:tc>
      </w:tr>
      <w:tr>
        <w:trPr/>
        <w:tc>
          <w:tcPr>
            <w:tcW w:w="6155" w:type="dxa"/>
            <w:tcBorders/>
            <w:vAlign w:val="center"/>
          </w:tcPr>
          <w:p>
            <w:pPr>
              <w:pStyle w:val="TableContents"/>
              <w:bidi w:val="0"/>
              <w:spacing w:before="0" w:after="283"/>
              <w:jc w:val="left"/>
              <w:rPr>
                <w:sz w:val="20"/>
              </w:rPr>
            </w:pPr>
            <w:r>
              <w:rPr>
                <w:sz w:val="20"/>
              </w:rPr>
              <w:t>Net cash provided by financing activities</w:t>
            </w:r>
          </w:p>
        </w:tc>
        <w:tc>
          <w:tcPr>
            <w:tcW w:w="177" w:type="dxa"/>
            <w:tcBorders>
              <w:bottom w:val="single" w:sz="2" w:space="0" w:color="000000"/>
            </w:tcBorders>
            <w:tcMar>
              <w:bottom w:w="28" w:type="dxa"/>
            </w:tcMar>
            <w:vAlign w:val="center"/>
          </w:tcPr>
          <w:p>
            <w:pPr>
              <w:pStyle w:val="TableContents"/>
              <w:bidi w:val="0"/>
              <w:spacing w:before="0" w:after="283"/>
              <w:jc w:val="left"/>
              <w:rPr/>
            </w:pPr>
            <w:r>
              <w:rPr/>
              <w:t> </w:t>
            </w:r>
          </w:p>
        </w:tc>
        <w:tc>
          <w:tcPr>
            <w:tcW w:w="778" w:type="dxa"/>
            <w:tcBorders>
              <w:bottom w:val="single" w:sz="2" w:space="0" w:color="000000"/>
            </w:tcBorders>
            <w:tcMar>
              <w:bottom w:w="28" w:type="dxa"/>
            </w:tcMar>
            <w:vAlign w:val="center"/>
          </w:tcPr>
          <w:p>
            <w:pPr>
              <w:pStyle w:val="TableContents"/>
              <w:bidi w:val="0"/>
              <w:spacing w:before="0" w:after="283"/>
              <w:jc w:val="right"/>
              <w:rPr>
                <w:sz w:val="20"/>
              </w:rPr>
            </w:pPr>
            <w:r>
              <w:rPr>
                <w:sz w:val="20"/>
              </w:rPr>
              <w:t>10,534</w:t>
            </w:r>
          </w:p>
        </w:tc>
        <w:tc>
          <w:tcPr>
            <w:tcW w:w="177" w:type="dxa"/>
            <w:tcBorders>
              <w:bottom w:val="single" w:sz="2" w:space="0" w:color="000000"/>
            </w:tcBorders>
            <w:tcMar>
              <w:bottom w:w="28" w:type="dxa"/>
            </w:tcM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77" w:type="dxa"/>
            <w:tcBorders>
              <w:bottom w:val="single" w:sz="2" w:space="0" w:color="000000"/>
            </w:tcBorders>
            <w:tcMar>
              <w:bottom w:w="28" w:type="dxa"/>
            </w:tcMar>
            <w:vAlign w:val="center"/>
          </w:tcPr>
          <w:p>
            <w:pPr>
              <w:pStyle w:val="TableContents"/>
              <w:bidi w:val="0"/>
              <w:spacing w:before="0" w:after="283"/>
              <w:jc w:val="left"/>
              <w:rPr/>
            </w:pPr>
            <w:r>
              <w:rPr/>
              <w:t> </w:t>
            </w:r>
          </w:p>
        </w:tc>
        <w:tc>
          <w:tcPr>
            <w:tcW w:w="657" w:type="dxa"/>
            <w:tcBorders>
              <w:bottom w:val="single" w:sz="2" w:space="0" w:color="000000"/>
            </w:tcBorders>
            <w:tcMar>
              <w:bottom w:w="28" w:type="dxa"/>
            </w:tcMar>
            <w:vAlign w:val="center"/>
          </w:tcPr>
          <w:p>
            <w:pPr>
              <w:pStyle w:val="TableContents"/>
              <w:bidi w:val="0"/>
              <w:spacing w:before="0" w:after="283"/>
              <w:jc w:val="right"/>
              <w:rPr>
                <w:sz w:val="20"/>
              </w:rPr>
            </w:pPr>
            <w:r>
              <w:rPr>
                <w:sz w:val="20"/>
              </w:rPr>
              <w:t>468</w:t>
            </w:r>
          </w:p>
        </w:tc>
        <w:tc>
          <w:tcPr>
            <w:tcW w:w="228"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sz w:val="4"/>
                <w:szCs w:val="4"/>
              </w:rPr>
            </w:pPr>
            <w:r>
              <w:rPr>
                <w:sz w:val="4"/>
                <w:szCs w:val="4"/>
              </w:rPr>
            </w:r>
          </w:p>
        </w:tc>
        <w:tc>
          <w:tcPr>
            <w:tcW w:w="17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left"/>
              <w:rPr>
                <w:sz w:val="4"/>
                <w:szCs w:val="4"/>
              </w:rPr>
            </w:pPr>
            <w:r>
              <w:rPr>
                <w:sz w:val="4"/>
                <w:szCs w:val="4"/>
              </w:rPr>
            </w:r>
          </w:p>
        </w:tc>
        <w:tc>
          <w:tcPr>
            <w:tcW w:w="17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b/>
                <w:sz w:val="20"/>
              </w:rPr>
            </w:pPr>
            <w:r>
              <w:rPr>
                <w:b/>
                <w:sz w:val="20"/>
              </w:rPr>
              <w:t>Net decrease in cash and cash equivalents</w:t>
            </w:r>
          </w:p>
        </w:tc>
        <w:tc>
          <w:tcPr>
            <w:tcW w:w="17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sz w:val="20"/>
              </w:rPr>
            </w:pPr>
            <w:r>
              <w:rPr>
                <w:sz w:val="20"/>
              </w:rPr>
              <w:t>(142</w:t>
            </w:r>
          </w:p>
        </w:tc>
        <w:tc>
          <w:tcPr>
            <w:tcW w:w="177" w:type="dxa"/>
            <w:tcBorders/>
            <w:vAlign w:val="center"/>
          </w:tcPr>
          <w:p>
            <w:pPr>
              <w:pStyle w:val="TableContents"/>
              <w:bidi w:val="0"/>
              <w:spacing w:before="0" w:after="283"/>
              <w:jc w:val="left"/>
              <w:rPr>
                <w:sz w:val="20"/>
              </w:rPr>
            </w:pPr>
            <w:r>
              <w:rPr>
                <w:sz w:val="20"/>
              </w:rPr>
              <w:t>) </w:t>
            </w:r>
          </w:p>
        </w:tc>
        <w:tc>
          <w:tcPr>
            <w:tcW w:w="10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right"/>
              <w:rPr>
                <w:sz w:val="20"/>
              </w:rPr>
            </w:pPr>
            <w:r>
              <w:rPr>
                <w:sz w:val="20"/>
              </w:rPr>
              <w:t>(345</w:t>
            </w:r>
          </w:p>
        </w:tc>
        <w:tc>
          <w:tcPr>
            <w:tcW w:w="228" w:type="dxa"/>
            <w:tcBorders/>
            <w:vAlign w:val="center"/>
          </w:tcPr>
          <w:p>
            <w:pPr>
              <w:pStyle w:val="TableContents"/>
              <w:bidi w:val="0"/>
              <w:spacing w:before="0" w:after="283"/>
              <w:jc w:val="left"/>
              <w:rPr>
                <w:sz w:val="20"/>
              </w:rPr>
            </w:pPr>
            <w:r>
              <w:rPr>
                <w:sz w:val="20"/>
              </w:rPr>
              <w:t>) </w:t>
            </w:r>
          </w:p>
        </w:tc>
      </w:tr>
      <w:tr>
        <w:trPr/>
        <w:tc>
          <w:tcPr>
            <w:tcW w:w="6155" w:type="dxa"/>
            <w:tcBorders/>
            <w:shd w:fill="CCEEFF" w:val="clear"/>
            <w:vAlign w:val="center"/>
          </w:tcPr>
          <w:p>
            <w:pPr>
              <w:pStyle w:val="TableContents"/>
              <w:bidi w:val="0"/>
              <w:spacing w:before="0" w:after="283"/>
              <w:jc w:val="left"/>
              <w:rPr>
                <w:b/>
                <w:sz w:val="20"/>
              </w:rPr>
            </w:pPr>
            <w:r>
              <w:rPr>
                <w:b/>
                <w:sz w:val="20"/>
              </w:rPr>
              <w:t>Cash and cash equivalents, beginning of period</w:t>
            </w:r>
          </w:p>
        </w:tc>
        <w:tc>
          <w:tcPr>
            <w:tcW w:w="1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3,610</w:t>
            </w:r>
          </w:p>
        </w:tc>
        <w:tc>
          <w:tcPr>
            <w:tcW w:w="1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7"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3,955</w:t>
            </w:r>
          </w:p>
        </w:tc>
        <w:tc>
          <w:tcPr>
            <w:tcW w:w="22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b/>
                <w:sz w:val="20"/>
              </w:rPr>
            </w:pPr>
            <w:r>
              <w:rPr>
                <w:b/>
                <w:sz w:val="20"/>
              </w:rPr>
              <w:t>Cash and cash equivalents, end of period</w:t>
            </w:r>
          </w:p>
        </w:tc>
        <w:tc>
          <w:tcPr>
            <w:tcW w:w="177" w:type="dxa"/>
            <w:tcBorders>
              <w:bottom w:val="single" w:sz="2" w:space="0" w:color="000000"/>
            </w:tcBorders>
            <w:tcMar>
              <w:bottom w:w="28" w:type="dxa"/>
            </w:tcMar>
            <w:vAlign w:val="center"/>
          </w:tcPr>
          <w:p>
            <w:pPr>
              <w:pStyle w:val="TableContents"/>
              <w:bidi w:val="0"/>
              <w:spacing w:before="0" w:after="283"/>
              <w:jc w:val="left"/>
              <w:rPr/>
            </w:pPr>
            <w:r>
              <w:rPr/>
              <w:t> </w:t>
            </w:r>
          </w:p>
        </w:tc>
        <w:tc>
          <w:tcPr>
            <w:tcW w:w="778" w:type="dxa"/>
            <w:tcBorders>
              <w:bottom w:val="single" w:sz="2" w:space="0" w:color="000000"/>
            </w:tcBorders>
            <w:tcMar>
              <w:bottom w:w="28" w:type="dxa"/>
            </w:tcMar>
            <w:vAlign w:val="center"/>
          </w:tcPr>
          <w:p>
            <w:pPr>
              <w:pStyle w:val="TableContents"/>
              <w:bidi w:val="0"/>
              <w:spacing w:before="0" w:after="283"/>
              <w:jc w:val="right"/>
              <w:rPr>
                <w:sz w:val="20"/>
              </w:rPr>
            </w:pPr>
            <w:r>
              <w:rPr>
                <w:sz w:val="20"/>
              </w:rPr>
              <w:t>3,468</w:t>
            </w:r>
          </w:p>
        </w:tc>
        <w:tc>
          <w:tcPr>
            <w:tcW w:w="177" w:type="dxa"/>
            <w:tcBorders>
              <w:bottom w:val="single" w:sz="2" w:space="0" w:color="000000"/>
            </w:tcBorders>
            <w:tcMar>
              <w:bottom w:w="28" w:type="dxa"/>
            </w:tcM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77" w:type="dxa"/>
            <w:tcBorders>
              <w:bottom w:val="single" w:sz="2" w:space="0" w:color="000000"/>
            </w:tcBorders>
            <w:tcMar>
              <w:bottom w:w="28" w:type="dxa"/>
            </w:tcMar>
            <w:vAlign w:val="center"/>
          </w:tcPr>
          <w:p>
            <w:pPr>
              <w:pStyle w:val="TableContents"/>
              <w:bidi w:val="0"/>
              <w:spacing w:before="0" w:after="283"/>
              <w:jc w:val="left"/>
              <w:rPr/>
            </w:pPr>
            <w:r>
              <w:rPr/>
              <w:t> </w:t>
            </w:r>
          </w:p>
        </w:tc>
        <w:tc>
          <w:tcPr>
            <w:tcW w:w="657" w:type="dxa"/>
            <w:tcBorders>
              <w:bottom w:val="single" w:sz="2" w:space="0" w:color="000000"/>
            </w:tcBorders>
            <w:tcMar>
              <w:bottom w:w="28" w:type="dxa"/>
            </w:tcMar>
            <w:vAlign w:val="center"/>
          </w:tcPr>
          <w:p>
            <w:pPr>
              <w:pStyle w:val="TableContents"/>
              <w:bidi w:val="0"/>
              <w:spacing w:before="0" w:after="283"/>
              <w:jc w:val="right"/>
              <w:rPr>
                <w:sz w:val="20"/>
              </w:rPr>
            </w:pPr>
            <w:r>
              <w:rPr>
                <w:sz w:val="20"/>
              </w:rPr>
              <w:t>3,610</w:t>
            </w:r>
          </w:p>
        </w:tc>
        <w:tc>
          <w:tcPr>
            <w:tcW w:w="228"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sz w:val="4"/>
                <w:szCs w:val="4"/>
              </w:rPr>
            </w:pPr>
            <w:r>
              <w:rPr>
                <w:sz w:val="4"/>
                <w:szCs w:val="4"/>
              </w:rPr>
            </w:r>
          </w:p>
        </w:tc>
        <w:tc>
          <w:tcPr>
            <w:tcW w:w="17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left"/>
              <w:rPr>
                <w:sz w:val="4"/>
                <w:szCs w:val="4"/>
              </w:rPr>
            </w:pPr>
            <w:r>
              <w:rPr>
                <w:sz w:val="4"/>
                <w:szCs w:val="4"/>
              </w:rPr>
            </w:r>
          </w:p>
        </w:tc>
        <w:tc>
          <w:tcPr>
            <w:tcW w:w="17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left"/>
              <w:rPr>
                <w:sz w:val="4"/>
                <w:szCs w:val="4"/>
              </w:rPr>
            </w:pPr>
            <w:r>
              <w:rPr>
                <w:sz w:val="4"/>
                <w:szCs w:val="4"/>
              </w:rPr>
            </w:r>
          </w:p>
        </w:tc>
        <w:tc>
          <w:tcPr>
            <w:tcW w:w="228"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b/>
                <w:sz w:val="20"/>
              </w:rPr>
            </w:pPr>
            <w:r>
              <w:rPr>
                <w:b/>
                <w:sz w:val="20"/>
              </w:rPr>
              <w:t>Supplemental Disclosure of Non-Cash Investing and Financing Activities</w:t>
            </w:r>
          </w:p>
        </w:tc>
        <w:tc>
          <w:tcPr>
            <w:tcW w:w="17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 </w:t>
            </w:r>
          </w:p>
        </w:tc>
      </w:tr>
      <w:tr>
        <w:trPr/>
        <w:tc>
          <w:tcPr>
            <w:tcW w:w="6155" w:type="dxa"/>
            <w:tcBorders/>
            <w:shd w:fill="CCEEFF" w:val="clear"/>
            <w:vAlign w:val="center"/>
          </w:tcPr>
          <w:p>
            <w:pPr>
              <w:pStyle w:val="TableContents"/>
              <w:bidi w:val="0"/>
              <w:spacing w:before="0" w:after="283"/>
              <w:jc w:val="left"/>
              <w:rPr>
                <w:sz w:val="20"/>
              </w:rPr>
            </w:pPr>
            <w:r>
              <w:rPr>
                <w:sz w:val="20"/>
              </w:rPr>
              <w:t>Reclassification of warrant liabilities to additional paid in capital</w:t>
            </w:r>
          </w:p>
        </w:tc>
        <w:tc>
          <w:tcPr>
            <w:tcW w:w="177" w:type="dxa"/>
            <w:tcBorders/>
            <w:shd w:fill="CCEEFF" w:val="clear"/>
            <w:vAlign w:val="center"/>
          </w:tcPr>
          <w:p>
            <w:pPr>
              <w:pStyle w:val="TableContents"/>
              <w:bidi w:val="0"/>
              <w:spacing w:before="0" w:after="283"/>
              <w:jc w:val="left"/>
              <w:rPr/>
            </w:pPr>
            <w:r>
              <w:rPr/>
              <w:t> </w:t>
            </w:r>
          </w:p>
        </w:tc>
        <w:tc>
          <w:tcPr>
            <w:tcW w:w="778" w:type="dxa"/>
            <w:tcBorders/>
            <w:shd w:fill="CCEEFF" w:val="clear"/>
            <w:vAlign w:val="center"/>
          </w:tcPr>
          <w:p>
            <w:pPr>
              <w:pStyle w:val="TableContents"/>
              <w:bidi w:val="0"/>
              <w:spacing w:before="0" w:after="283"/>
              <w:jc w:val="right"/>
              <w:rPr>
                <w:sz w:val="20"/>
              </w:rPr>
            </w:pPr>
            <w:r>
              <w:rPr>
                <w:sz w:val="20"/>
              </w:rPr>
              <w:t>12,151</w:t>
            </w:r>
          </w:p>
        </w:tc>
        <w:tc>
          <w:tcPr>
            <w:tcW w:w="177"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sz w:val="20"/>
              </w:rPr>
            </w:pPr>
            <w:r>
              <w:rPr>
                <w:sz w:val="20"/>
              </w:rPr>
              <w:t>-</w:t>
            </w:r>
          </w:p>
        </w:tc>
        <w:tc>
          <w:tcPr>
            <w:tcW w:w="228" w:type="dxa"/>
            <w:tcBorders/>
            <w:shd w:fill="CCEEFF" w:val="clear"/>
            <w:vAlign w:val="center"/>
          </w:tcPr>
          <w:p>
            <w:pPr>
              <w:pStyle w:val="TableContents"/>
              <w:bidi w:val="0"/>
              <w:spacing w:before="0" w:after="283"/>
              <w:jc w:val="left"/>
              <w:rPr/>
            </w:pPr>
            <w:r>
              <w:rPr/>
              <w:t> </w:t>
            </w:r>
          </w:p>
        </w:tc>
      </w:tr>
      <w:tr>
        <w:trPr/>
        <w:tc>
          <w:tcPr>
            <w:tcW w:w="6155" w:type="dxa"/>
            <w:tcBorders/>
            <w:vAlign w:val="center"/>
          </w:tcPr>
          <w:p>
            <w:pPr>
              <w:pStyle w:val="TableContents"/>
              <w:bidi w:val="0"/>
              <w:spacing w:before="0" w:after="283"/>
              <w:jc w:val="left"/>
              <w:rPr>
                <w:sz w:val="20"/>
              </w:rPr>
            </w:pPr>
            <w:r>
              <w:rPr>
                <w:sz w:val="20"/>
              </w:rPr>
              <w:t>Dividends declared on convertible preferred stock</w:t>
            </w:r>
          </w:p>
        </w:tc>
        <w:tc>
          <w:tcPr>
            <w:tcW w:w="177"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right"/>
              <w:rPr>
                <w:sz w:val="20"/>
              </w:rPr>
            </w:pPr>
            <w:r>
              <w:rPr>
                <w:sz w:val="20"/>
              </w:rPr>
              <w:t>(1,067</w:t>
            </w:r>
          </w:p>
        </w:tc>
        <w:tc>
          <w:tcPr>
            <w:tcW w:w="177" w:type="dxa"/>
            <w:tcBorders/>
            <w:vAlign w:val="center"/>
          </w:tcPr>
          <w:p>
            <w:pPr>
              <w:pStyle w:val="TableContents"/>
              <w:bidi w:val="0"/>
              <w:spacing w:before="0" w:after="283"/>
              <w:jc w:val="left"/>
              <w:rPr>
                <w:sz w:val="20"/>
              </w:rPr>
            </w:pPr>
            <w:r>
              <w:rPr>
                <w:sz w:val="20"/>
              </w:rPr>
              <w:t>) </w:t>
            </w:r>
          </w:p>
        </w:tc>
        <w:tc>
          <w:tcPr>
            <w:tcW w:w="102" w:type="dxa"/>
            <w:tcBorders/>
            <w:vAlign w:val="center"/>
          </w:tcPr>
          <w:p>
            <w:pPr>
              <w:pStyle w:val="TableContents"/>
              <w:bidi w:val="0"/>
              <w:spacing w:before="0" w:after="283"/>
              <w:jc w:val="left"/>
              <w:rPr/>
            </w:pPr>
            <w:r>
              <w:rPr/>
              <w:t> </w:t>
            </w:r>
          </w:p>
        </w:tc>
        <w:tc>
          <w:tcPr>
            <w:tcW w:w="177"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right"/>
              <w:rPr>
                <w:sz w:val="20"/>
              </w:rPr>
            </w:pPr>
            <w:r>
              <w:rPr>
                <w:sz w:val="20"/>
              </w:rPr>
              <w:t>(1,098</w:t>
            </w:r>
          </w:p>
        </w:tc>
        <w:tc>
          <w:tcPr>
            <w:tcW w:w="228" w:type="dxa"/>
            <w:tcBorders/>
            <w:vAlign w:val="center"/>
          </w:tcPr>
          <w:p>
            <w:pPr>
              <w:pStyle w:val="TableContents"/>
              <w:bidi w:val="0"/>
              <w:spacing w:before="0" w:after="283"/>
              <w:jc w:val="left"/>
              <w:rPr>
                <w:sz w:val="20"/>
              </w:rPr>
            </w:pPr>
            <w:r>
              <w:rPr>
                <w:sz w:val="20"/>
              </w:rPr>
              <w:t>) </w:t>
            </w:r>
          </w:p>
        </w:tc>
      </w:tr>
      <w:tr>
        <w:trPr/>
        <w:tc>
          <w:tcPr>
            <w:tcW w:w="6155" w:type="dxa"/>
            <w:tcBorders/>
            <w:shd w:fill="CCEEFF" w:val="clear"/>
            <w:vAlign w:val="center"/>
          </w:tcPr>
          <w:p>
            <w:pPr>
              <w:pStyle w:val="TableContents"/>
              <w:bidi w:val="0"/>
              <w:spacing w:before="0" w:after="283"/>
              <w:jc w:val="left"/>
              <w:rPr>
                <w:sz w:val="20"/>
              </w:rPr>
            </w:pPr>
            <w:r>
              <w:rPr>
                <w:sz w:val="20"/>
              </w:rPr>
              <w:t>Dividends settled with common stock</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778" w:type="dxa"/>
            <w:tcBorders/>
            <w:shd w:fill="CCEEFF" w:val="clear"/>
            <w:vAlign w:val="center"/>
          </w:tcPr>
          <w:p>
            <w:pPr>
              <w:pStyle w:val="TableContents"/>
              <w:bidi w:val="0"/>
              <w:spacing w:before="0" w:after="283"/>
              <w:jc w:val="right"/>
              <w:rPr>
                <w:sz w:val="20"/>
              </w:rPr>
            </w:pPr>
            <w:r>
              <w:rPr>
                <w:sz w:val="20"/>
              </w:rPr>
              <w:t>492</w:t>
            </w:r>
          </w:p>
        </w:tc>
        <w:tc>
          <w:tcPr>
            <w:tcW w:w="177" w:type="dxa"/>
            <w:tcBorders/>
            <w:shd w:fill="CCEEFF" w:val="clear"/>
            <w:vAlign w:val="center"/>
          </w:tcPr>
          <w:p>
            <w:pPr>
              <w:pStyle w:val="TableContents"/>
              <w:bidi w:val="0"/>
              <w:spacing w:before="0" w:after="283"/>
              <w:jc w:val="left"/>
              <w:rPr>
                <w:sz w:val="4"/>
                <w:szCs w:val="4"/>
              </w:rPr>
            </w:pPr>
            <w:r>
              <w:rPr>
                <w:sz w:val="4"/>
                <w:szCs w:val="4"/>
              </w:rPr>
            </w:r>
          </w:p>
        </w:tc>
        <w:tc>
          <w:tcPr>
            <w:tcW w:w="102"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sz w:val="20"/>
              </w:rPr>
            </w:pPr>
            <w:r>
              <w:rPr>
                <w:sz w:val="20"/>
              </w:rPr>
              <w:t>1,158</w:t>
            </w:r>
          </w:p>
        </w:tc>
        <w:tc>
          <w:tcPr>
            <w:tcW w:w="228"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rFonts w:ascii="Times New Roman" w:hAnsi="Times New Roman"/>
          <w:sz w:val="20"/>
        </w:rPr>
      </w:pPr>
      <w:r>
        <w:rPr>
          <w:rFonts w:ascii="Times New Roman" w:hAnsi="Times New Roman"/>
          <w:sz w:val="20"/>
        </w:rPr>
        <w:t>See accompanying notes to consolidated financial statements.</w:t>
      </w:r>
    </w:p>
    <w:p>
      <w:pPr>
        <w:pStyle w:val="TextBody"/>
        <w:bidi w:val="0"/>
        <w:spacing w:before="0" w:after="0"/>
        <w:jc w:val="center"/>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F-6</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center"/>
        <w:rPr>
          <w:rFonts w:ascii="Times New Roman" w:hAnsi="Times New Roman"/>
          <w:sz w:val="24"/>
        </w:rPr>
      </w:pPr>
      <w:r>
        <w:rPr>
          <w:rFonts w:ascii="Times New Roman" w:hAnsi="Times New Roman"/>
          <w:b/>
          <w:sz w:val="20"/>
        </w:rPr>
        <w:t>Wrap Technologies, Inc.</w:t>
      </w:r>
      <w:r>
        <w:rPr>
          <w:rFonts w:ascii="Times New Roman" w:hAnsi="Times New Roman"/>
          <w:sz w:val="24"/>
        </w:rPr>
        <w:t xml:space="preserve"> </w:t>
      </w:r>
    </w:p>
    <w:p>
      <w:pPr>
        <w:pStyle w:val="TextBody"/>
        <w:bidi w:val="0"/>
        <w:spacing w:before="0" w:after="0"/>
        <w:jc w:val="center"/>
        <w:rPr>
          <w:rFonts w:ascii="Times New Roman" w:hAnsi="Times New Roman"/>
          <w:sz w:val="24"/>
        </w:rPr>
      </w:pPr>
      <w:bookmarkStart w:id="33" w:name="notes"/>
      <w:bookmarkEnd w:id="33"/>
      <w:r>
        <w:rPr>
          <w:rFonts w:ascii="Times New Roman" w:hAnsi="Times New Roman"/>
          <w:b/>
          <w:sz w:val="20"/>
        </w:rPr>
        <w:t>Notes to Consolidated Financial Statements</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sz w:val="20"/>
        </w:rPr>
        <w:t>(in thousands, except per share and share amounts)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ind w:left="10" w:right="0" w:hanging="0"/>
        <w:jc w:val="left"/>
        <w:rPr>
          <w:rFonts w:ascii="Times New Roman" w:hAnsi="Times New Roman"/>
          <w:sz w:val="24"/>
        </w:rPr>
      </w:pPr>
      <w:r>
        <w:rPr>
          <w:rFonts w:ascii="Times New Roman" w:hAnsi="Times New Roman"/>
          <w:b/>
          <w:color w:val="000000"/>
          <w:sz w:val="20"/>
        </w:rPr>
        <w:t>1. ORGANIZATION AND SUMMARY OF SIGNIFICANT ACCOUNTING POLICIES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Organization and Business Description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Wrap Technologies, Inc., a Delaware corporation (the “</w:t>
      </w:r>
      <w:r>
        <w:rPr>
          <w:rFonts w:ascii="Times New Roman" w:hAnsi="Times New Roman"/>
          <w:i/>
          <w:sz w:val="20"/>
        </w:rPr>
        <w:t>Company</w:t>
      </w:r>
      <w:r>
        <w:rPr>
          <w:rFonts w:ascii="Times New Roman" w:hAnsi="Times New Roman"/>
          <w:sz w:val="24"/>
        </w:rPr>
        <w:t>”</w:t>
      </w:r>
      <w:r>
        <w:rPr>
          <w:rFonts w:ascii="Times New Roman" w:hAnsi="Times New Roman"/>
          <w:sz w:val="20"/>
        </w:rPr>
        <w:t>), is a publicly traded company with its common stock, par value $0.0001 per share (“Common Stock</w:t>
      </w:r>
      <w:r>
        <w:rPr>
          <w:rFonts w:ascii="Times New Roman" w:hAnsi="Times New Roman"/>
          <w:sz w:val="24"/>
        </w:rPr>
        <w:t>”</w:t>
      </w:r>
      <w:r>
        <w:rPr>
          <w:rFonts w:ascii="Times New Roman" w:hAnsi="Times New Roman"/>
          <w:sz w:val="20"/>
        </w:rPr>
        <w:t>), listed on the Nasdaq Capital Market (“</w:t>
      </w:r>
      <w:r>
        <w:rPr>
          <w:rFonts w:ascii="Times New Roman" w:hAnsi="Times New Roman"/>
          <w:i/>
          <w:sz w:val="20"/>
        </w:rPr>
        <w:t>Nasdaq</w:t>
      </w:r>
      <w:r>
        <w:rPr>
          <w:rFonts w:ascii="Times New Roman" w:hAnsi="Times New Roman"/>
          <w:sz w:val="24"/>
        </w:rPr>
        <w:t>”</w:t>
      </w:r>
      <w:r>
        <w:rPr>
          <w:rFonts w:ascii="Times New Roman" w:hAnsi="Times New Roman"/>
          <w:sz w:val="20"/>
        </w:rPr>
        <w:t>) under the trading symbol “WRAP”. The Company is a developer and supplier of public safety products and training services for law enforcement and security personnel. The Company’s primary product is the BolaWrap® device. The principal markets for the Company’s proprietary products and services are in North and South America, Europe, the Middle East and Asia.</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Principles of Consolidation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consolidated financial statements include the accounts of the Company and its wholly owned subsidiaries after elimination of intercompany transactions and balances.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Basis of Presentation and Use of Estimates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accompanying financial statements have been prepared on the accrual basis of accounting in conformity with accounting principles generally accepted in the United States of America (“</w:t>
      </w:r>
      <w:r>
        <w:rPr>
          <w:rFonts w:ascii="Times New Roman" w:hAnsi="Times New Roman"/>
          <w:i/>
          <w:sz w:val="20"/>
        </w:rPr>
        <w:t>US GAAP</w:t>
      </w:r>
      <w:r>
        <w:rPr>
          <w:rFonts w:ascii="Times New Roman" w:hAnsi="Times New Roman"/>
          <w:sz w:val="24"/>
        </w:rPr>
        <w:t>”</w:t>
      </w:r>
      <w:r>
        <w:rPr>
          <w:rFonts w:ascii="Times New Roman" w:hAnsi="Times New Roman"/>
          <w:sz w:val="20"/>
        </w:rPr>
        <w:t>). The preparation of financial statements in conformity with accounting principles generally accepted in the United States of America requires management to make estimates and assumptions (e.g., share-based compensation valuation, allowance for doubtful accounts, valuation of inventory and intangible assets, warranty reserve, accrued costs, valuation allowance related to deferred tax assets and recognition and measurement of contingencies) that affect the reported amounts of assets and liabilities, and disclosure of contingent assets and liabilities at the date of the financial statements and affect the reported amounts of revenues and expenses during the reporting period. Actual results could materially differ from those estimates.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Concentrations of Risk</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i/>
          <w:sz w:val="20"/>
        </w:rPr>
        <w:t>Credit Risk</w:t>
      </w:r>
      <w:r>
        <w:rPr>
          <w:rFonts w:ascii="Times New Roman" w:hAnsi="Times New Roman"/>
          <w:sz w:val="24"/>
        </w:rPr>
        <w:t xml:space="preserve"> – </w:t>
      </w:r>
      <w:r>
        <w:rPr>
          <w:rFonts w:ascii="Times New Roman" w:hAnsi="Times New Roman"/>
          <w:sz w:val="20"/>
        </w:rPr>
        <w:t>Financial instruments that potentially subject the Company to concentration of credit risk consisted primarily of cash, cash equivalents, US treasury bills and accounts receivable from customers. The Company maintains its cash and cash equivalent deposits at two domestic financial institutions. The Company is exposed to credit risk in the event of default by a financial institution to the extent that cash and cash equivalents are in excess of the amount insured by the Federal Deposit Insurance Corporation. The Company places its cash and cash equivalents with high-credit quality financial institutions and are managed within established guidelines to mitigate risks. To date, the Company has not experienced any losses on its cash and cash equivalents.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i/>
          <w:sz w:val="20"/>
        </w:rPr>
        <w:t>Concentrations of Accounts Receivable and Revenue</w:t>
      </w:r>
      <w:r>
        <w:rPr>
          <w:rFonts w:ascii="Times New Roman" w:hAnsi="Times New Roman"/>
          <w:sz w:val="24"/>
        </w:rPr>
        <w:t xml:space="preserve"> – </w:t>
      </w:r>
      <w:r>
        <w:rPr>
          <w:rFonts w:ascii="Times New Roman" w:hAnsi="Times New Roman"/>
          <w:sz w:val="20"/>
        </w:rPr>
        <w:t>The Company has a limited number of domestic and international customers. The Company may experience concentrations in both accounts receivable and revenue due to the timing of sales and collections of related payments (see Note 18).</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i/>
          <w:sz w:val="20"/>
        </w:rPr>
        <w:t>Concentration of Suppliers</w:t>
      </w:r>
      <w:r>
        <w:rPr>
          <w:rFonts w:ascii="Times New Roman" w:hAnsi="Times New Roman"/>
          <w:sz w:val="24"/>
        </w:rPr>
        <w:t xml:space="preserve"> – </w:t>
      </w:r>
      <w:r>
        <w:rPr>
          <w:rFonts w:ascii="Times New Roman" w:hAnsi="Times New Roman"/>
          <w:sz w:val="20"/>
        </w:rPr>
        <w:t>The Company assembles its BolaWrap products in-house using components and subassemblies from a limited number of suppliers and contract suppliers. In particular, a single supplier is currently the sole manufacturer of the BolaWrap battery assembly, and another single supplier is the sole manufacturer of the propulsion component for BolaWrap cassettes. Other parts are solely sourced from other suppliers. If supplier shortages or logistic delays occur, or quality problems arise, production schedules could be significantly delayed or costs significantly increased, which could in turn have a material adverse effect on the Company’s financial condition, results of operation and cash flows.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Cash and Cash Equivalents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Company considers all highly liquid investments purchased with original maturities of three months or less from the purchase date to be cash equivalents. Cash equivalents consist primarily of amounts invested in Money Market Funds and US (“</w:t>
      </w:r>
      <w:r>
        <w:rPr>
          <w:rFonts w:ascii="Times New Roman" w:hAnsi="Times New Roman"/>
          <w:i/>
          <w:sz w:val="20"/>
        </w:rPr>
        <w:t>US</w:t>
      </w:r>
      <w:r>
        <w:rPr>
          <w:rFonts w:ascii="Times New Roman" w:hAnsi="Times New Roman"/>
          <w:sz w:val="24"/>
        </w:rPr>
        <w:t>”</w:t>
      </w:r>
      <w:r>
        <w:rPr>
          <w:rFonts w:ascii="Times New Roman" w:hAnsi="Times New Roman"/>
          <w:sz w:val="20"/>
        </w:rPr>
        <w:t>) Treasury bills and are stated at fair value.</w:t>
      </w:r>
      <w:r>
        <w:rPr>
          <w:rFonts w:ascii="Times New Roman" w:hAnsi="Times New Roman"/>
          <w:sz w:val="24"/>
        </w:rPr>
        <w:t xml:space="preserve">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F-7</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sz w:val="20"/>
          <w:u w:val="single"/>
        </w:rPr>
        <w:t>Share-Based Compensation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Company follows the fair value recognition provisions issued by the Financial Accounting Standards Board ("FASB") in Accounting Standards Codification ("ASC") Topic 718, Stock Compensation (“</w:t>
      </w:r>
      <w:r>
        <w:rPr>
          <w:rFonts w:ascii="Times New Roman" w:hAnsi="Times New Roman"/>
          <w:i/>
          <w:sz w:val="20"/>
        </w:rPr>
        <w:t>ASC 718</w:t>
      </w:r>
      <w:r>
        <w:rPr>
          <w:rFonts w:ascii="Times New Roman" w:hAnsi="Times New Roman"/>
          <w:sz w:val="24"/>
        </w:rPr>
        <w:t>”</w:t>
      </w:r>
      <w:r>
        <w:rPr>
          <w:rFonts w:ascii="Times New Roman" w:hAnsi="Times New Roman"/>
          <w:sz w:val="20"/>
        </w:rPr>
        <w:t>) and has adopted Accounting Standards Update (“</w:t>
      </w:r>
      <w:r>
        <w:rPr>
          <w:rFonts w:ascii="Times New Roman" w:hAnsi="Times New Roman"/>
          <w:i/>
          <w:sz w:val="20"/>
        </w:rPr>
        <w:t>ASU</w:t>
      </w:r>
      <w:r>
        <w:rPr>
          <w:rFonts w:ascii="Times New Roman" w:hAnsi="Times New Roman"/>
          <w:sz w:val="24"/>
        </w:rPr>
        <w:t>”</w:t>
      </w:r>
      <w:r>
        <w:rPr>
          <w:rFonts w:ascii="Times New Roman" w:hAnsi="Times New Roman"/>
          <w:sz w:val="20"/>
        </w:rPr>
        <w:t>) 2018-07 for share-based transactions with non-employees. Share-based compensation expense recognized during 2025 and 2024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share-based payment award and approved by the Company’s Board of Directors. The Black-Scholes option-pricing model requires inputs including the market price of the Company’s Common Stock on the date of grant, the term that the stock options are expected to be outstanding, the implied stock volatilities of several publicly 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The Company determines the amount of share-based compensation expense based on awards that the Company ultimately expect to vest and account for forfeitures as they occur. The fair value of share-based compensation is amortized to compensation expense over the vesting term.</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Loss per Share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Basic loss per share (EPS) is computed by dividing net loss, less any dividends, accretion or decretion, redemption or induced conversion, if any, on the Company's Series A and Series B Convertible Preferred Stock, by the weighted average number of shares outstanding during the reported period.</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In computing diluted EPS, the Company adjusts the numerator used in the basic EPS computation, subject to anti-dilution requirements, to add back the dividends (declared or cumulative undeclared) applicable to the Series A and Series B Convertible Preferred Stock. Such add-back would also include any adjustments to equity in the period to accrete the Series A and Series B Convertible Preferred Stock to their respective redemption prices, or recorded upon a redemption or induced conversion, if any. The Company adjusts the denominator used in the basic EPS computation, subject to anti-dilution requirements, to include the dilution from potential shares resulting from the issuance of the Series A and Series B Convertible Preferred Stock, restricted stock units, and stock options. Stock options and restricted stock units exercisable or issuable fo</w:t>
      </w:r>
      <w:r>
        <w:rPr>
          <w:rFonts w:ascii="Times New Roman" w:hAnsi="Times New Roman"/>
          <w:sz w:val="20"/>
          <w:shd w:fill="FFFFFF" w:val="clear"/>
        </w:rPr>
        <w:t>r a total of 7,464,097 </w:t>
      </w:r>
      <w:r>
        <w:rPr>
          <w:rFonts w:ascii="Times New Roman" w:hAnsi="Times New Roman"/>
          <w:sz w:val="20"/>
        </w:rPr>
        <w:t>and 4,932,386 shares of Common Stock were outstanding at December 31, 2025 and 2024, respectively. These securities are not included in the computation of diluted net loss per share of common stock for the years presented as their inclusion would be antidilutive due to losses incurred by the Company.</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Accounts Receivable and Allowance for Credit Losses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 xml:space="preserve">ASU No. 2016-13, </w:t>
      </w:r>
      <w:r>
        <w:rPr>
          <w:rFonts w:ascii="Times New Roman" w:hAnsi="Times New Roman"/>
          <w:i/>
          <w:sz w:val="20"/>
        </w:rPr>
        <w:t>Financial Instruments - Credit Losses (Topic 326)</w:t>
      </w:r>
      <w:r>
        <w:rPr>
          <w:rFonts w:ascii="Times New Roman" w:hAnsi="Times New Roman"/>
          <w:sz w:val="24"/>
        </w:rPr>
        <w:t xml:space="preserve"> </w:t>
      </w:r>
      <w:r>
        <w:rPr>
          <w:rFonts w:ascii="Times New Roman" w:hAnsi="Times New Roman"/>
          <w:sz w:val="20"/>
        </w:rPr>
        <w:t>requires that financial assets measured at amortized cost be presented at the net amount expected to be collected. The expected credit losses are developed using an estimated loss rate method that considers historical collection experience, current conditions, and reasonable and supportable forecasts that affect the collectability of the reported amount. The estimated loss rates are applied to accounts receivables with similar risk characteristics such as the length of time the balance has been outstanding and the location of the customer. In certain instances, the Company may identify individual accounts receivable assets that do not share risk characteristics with other accounts receivables, in which case the Company records its expected credit losses on an individual asset basis. If an accounts receivable asset is evaluated on an individual basis, the Company excludes those assets from the portfolios of accounts receivables evaluated on a collective basis.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At December 31, 2025 and 2024, the Company had an allowance for credit losses related to accounts receivable</w:t>
      </w:r>
      <w:r>
        <w:rPr>
          <w:rFonts w:ascii="Times New Roman" w:hAnsi="Times New Roman"/>
          <w:sz w:val="20"/>
          <w:shd w:fill="FFFFFF" w:val="clear"/>
        </w:rPr>
        <w:t xml:space="preserve"> of $119</w:t>
      </w:r>
      <w:r>
        <w:rPr>
          <w:rFonts w:ascii="Times New Roman" w:hAnsi="Times New Roman"/>
          <w:sz w:val="24"/>
          <w:shd w:fill="FFFFFF" w:val="clear"/>
        </w:rPr>
        <w:t xml:space="preserve"> </w:t>
      </w:r>
      <w:r>
        <w:rPr>
          <w:rFonts w:ascii="Times New Roman" w:hAnsi="Times New Roman"/>
          <w:sz w:val="20"/>
          <w:shd w:fill="FFFFFF" w:val="clear"/>
        </w:rPr>
        <w:t>an</w:t>
      </w:r>
      <w:r>
        <w:rPr>
          <w:rFonts w:ascii="Times New Roman" w:hAnsi="Times New Roman"/>
          <w:sz w:val="20"/>
        </w:rPr>
        <w:t>d $230, respectively. If a major customer’s creditworthiness deteriorates, or actual defaults exceed our historical experience, such estimates could change and impact our future reported financial results.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Inventories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Inventories are valued at the lower of cost or net realizable value. The cost of substantially all the Company’s inventory is determined by the FIFO cost method. Inventory is comprised of raw materials, assemblies and finished products intended for sale to customers</w:t>
      </w:r>
      <w:r>
        <w:rPr>
          <w:rFonts w:ascii="Times New Roman" w:hAnsi="Times New Roman"/>
          <w:i/>
          <w:sz w:val="20"/>
        </w:rPr>
        <w:t>.</w:t>
      </w:r>
      <w:r>
        <w:rPr>
          <w:rFonts w:ascii="Times New Roman" w:hAnsi="Times New Roman"/>
          <w:sz w:val="24"/>
        </w:rPr>
        <w:t xml:space="preserve"> </w:t>
      </w:r>
      <w:r>
        <w:rPr>
          <w:rFonts w:ascii="Times New Roman" w:hAnsi="Times New Roman"/>
          <w:sz w:val="20"/>
        </w:rPr>
        <w:t>The Company evaluates the need for reserves for excess and obsolete inventories determined primarily based upon estimates of future demand for the Company’s products.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As of December 31, 2025 and 2024 the Company h</w:t>
      </w:r>
      <w:r>
        <w:rPr>
          <w:rFonts w:ascii="Times New Roman" w:hAnsi="Times New Roman"/>
          <w:sz w:val="20"/>
          <w:shd w:fill="FFFFFF" w:val="clear"/>
        </w:rPr>
        <w:t>ad $516</w:t>
      </w:r>
      <w:r>
        <w:rPr>
          <w:rFonts w:ascii="Times New Roman" w:hAnsi="Times New Roman"/>
          <w:sz w:val="24"/>
          <w:shd w:fill="FFFFFF" w:val="clear"/>
        </w:rPr>
        <w:t xml:space="preserve"> </w:t>
      </w:r>
      <w:r>
        <w:rPr>
          <w:rFonts w:ascii="Times New Roman" w:hAnsi="Times New Roman"/>
          <w:sz w:val="20"/>
          <w:shd w:fill="FFFFFF" w:val="clear"/>
        </w:rPr>
        <w:t>an</w:t>
      </w:r>
      <w:r>
        <w:rPr>
          <w:rFonts w:ascii="Times New Roman" w:hAnsi="Times New Roman"/>
          <w:sz w:val="20"/>
        </w:rPr>
        <w:t>d $480 in reserves, respectively for obsolescence.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F-8</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sz w:val="20"/>
          <w:u w:val="single"/>
        </w:rPr>
        <w:t>Property, Equipment and Depreciation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Property and equipment are stated at cost. Depreciation on property and equipment is computed over the estimated useful lives of three years using the straight-line method. On any retirement or disposition of property and equipment, the related cost and accumulated depreciation or amortization is removed, and a gain or loss recorded.</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Business Combinations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Company accounts for its business combinations under the provisions of ASC Topic 805-10, Business Combinations ("ASC 805-10"), which requires that the purchase method of accounting be used for all business combinations. Assets acquired and liabilities assumed, including non-controlling interests, are recorded at the date of acquisition at their respective fair values. The estimated fair value of net assets acquired, including the allocation of the fair value to identifiable assets and liabilities, was determined using established valuation techniques. ASC 805-10 also specifies criteria that intangible assets acquired in a business combination must meet to be recognized and reported apart from goodwill. Goodwill represents the excess purchase price over the fair value of the tangible net assets and intangible assets acquired in a business combination. Acquisition-related expenses are recognized separately from the business combinations and are expensed as incurred.</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estimated fair value of the acquired intangible assets was determined using a method which reflects the present value of the operating cash flows generated by this asset after taking into account the cost to realize the revenue, and an appropriate discount rate to reflect the time value and risk associated with the invested capital.</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Certain adjustments to the assessed fair values of the assets and liabilities made subsequent to the acquisition date, but within the measurement period, which is up to one year, are recorded as adjustments to goodwill. Any adjustments subsequent to the measurement period are recorded in income.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Goodwill</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Goodwill represents the difference, if any, between the aggregate consideration paid for an acquisition and the fair values of the underlying net assets and liabilities assumed from an acquired business. Goodwill is not amortized but instead is tested for impairment. The Company tests goodwill for impairment on an annual basis during the fourth quarter, or more frequently if conditions indicate that such impairment could exist. The Company evaluates qualitative factors to determine if it is more likely than not that the fair value of a reporting unit is less than its carrying value and whether it is necessary to perform goodwill impairment process.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Definite-lived Intangible Assets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Definite-lived intangible assets represent certain trade names, patents, licenses, software, acquired technology and customer relationships. Definite-lived intangible assets are recorded at cost less any accumulated amortization and accumulated impairment losses, if any. Definite-lived intangible assets acquired through the business combination are measured at fair value at the acquisition date. The Company amortizes these acquired definite-lived intangibles assets with a finite life on a straight-line basis, over 6 years for technology; 7 years for customer relationships; and 8 years for trademarks and trade names.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Intangible Assets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Intangible assets consist of (a) capitalized legal fees and filing costs related to obtaining patents and trademarks, (b) tradenames and software, (c) purchased software, and (d) the purchase cost of indefinite-lived website domains. The estimated useful lives of identifiable intangible assets with definite useful lives have been estimated to be between one and twenty years. Purchased website domain costs with an indefinite useful life are not subject to amortization, but are subject to an annual impairment test, by comparing their carrying amount with their corresponding fair value. For any given intangible asset with an indefinite useful life, if its fair value exceeds its carrying amount no impairment loss shall be recognized.</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carrying value of intangibles is periodically reviewed and impairments, if any, are recognized when the future undiscounted cash flows realized from the assets is less than its carrying value.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F-9</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sz w:val="20"/>
          <w:u w:val="single"/>
        </w:rPr>
        <w:t>Impairment of Long-Lived Assets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Long-lived assets and identifiable intangibles held for use are reviewed for impairment whenever events or changes in circumstances indicate that the carrying amount may not be recoverable. If the sum of undiscounted expected future cash flows is less than the carrying amount of the asset or if changes in facts and circumstances indicate, an impairment loss is recognized and measured using the asset’s fair value. </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sz w:val="20"/>
        </w:rPr>
        <w:t>In December 2024, the Company determined that the assessment of the Intrensic unit’s fair value indicated that its carrying value exceeded its fair value by $1,631 and therefore the Company recorded a $1,631 impairment charge related to the goodwill initially recorded from the acquisition.</w:t>
      </w:r>
      <w:r>
        <w:rPr>
          <w:rFonts w:ascii="Times New Roman" w:hAnsi="Times New Roman"/>
          <w:sz w:val="24"/>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During the year ended December 31, 2025, the Company recorded impairment charges of $588 related to certain purchased software and technology and customer relationship intangible assets. These impairment charges were primarily the result of revisions to projected future operating results and cash flows associated with these assets, which indicated that their carrying amounts were not recoverable.</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sz w:val="20"/>
          <w:u w:val="single"/>
        </w:rPr>
        <w:t>Warrants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Company accounts for warrants as liability-classified instruments based on an assessment of the warrant’s specific terms and applicable authoritative guidance in FASB ASC</w:t>
      </w:r>
      <w:r>
        <w:rPr>
          <w:rFonts w:ascii="Times New Roman" w:hAnsi="Times New Roman"/>
          <w:sz w:val="24"/>
        </w:rPr>
        <w:t> </w:t>
      </w:r>
      <w:r>
        <w:rPr>
          <w:rFonts w:ascii="Times New Roman" w:hAnsi="Times New Roman"/>
          <w:sz w:val="20"/>
        </w:rPr>
        <w:t>480, Distinguishing Liabilities from Equity (“</w:t>
      </w:r>
      <w:r>
        <w:rPr>
          <w:rFonts w:ascii="Times New Roman" w:hAnsi="Times New Roman"/>
          <w:i/>
          <w:sz w:val="20"/>
        </w:rPr>
        <w:t>ASC</w:t>
      </w:r>
      <w:r>
        <w:rPr>
          <w:rFonts w:ascii="Times New Roman" w:hAnsi="Times New Roman"/>
          <w:sz w:val="24"/>
        </w:rPr>
        <w:t xml:space="preserve"> </w:t>
      </w:r>
      <w:r>
        <w:rPr>
          <w:rFonts w:ascii="Times New Roman" w:hAnsi="Times New Roman"/>
          <w:sz w:val="20"/>
        </w:rPr>
        <w:t>480”) and ASC 815, Derivatives and Hedging (“</w:t>
      </w:r>
      <w:r>
        <w:rPr>
          <w:rFonts w:ascii="Times New Roman" w:hAnsi="Times New Roman"/>
          <w:i/>
          <w:sz w:val="20"/>
        </w:rPr>
        <w:t>ASC</w:t>
      </w:r>
      <w:r>
        <w:rPr>
          <w:rFonts w:ascii="Times New Roman" w:hAnsi="Times New Roman"/>
          <w:sz w:val="24"/>
        </w:rPr>
        <w:t xml:space="preserve"> </w:t>
      </w:r>
      <w:r>
        <w:rPr>
          <w:rFonts w:ascii="Times New Roman" w:hAnsi="Times New Roman"/>
          <w:sz w:val="20"/>
        </w:rPr>
        <w:t>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For issued warrants that do not meet all the criteria for equity classification, the warrants are required to be recorded at their initial fair value on the date of issuance, and each balance sheet date thereafter. The Company accounts for the warrants issued in accordance with the guidance contained in ASC 815-40-15-7C, under which the warrants do not meet the criteria for equity treatment and must be recorded as liabilities. Accordingly, the Company classifies the warrants as liabilities at their fair value and adjusts the warrants to fair value at each reporting period. This liability is subject to re-measurement at each balance sheet date until exercised, and any change in fair value is recognized in the Company’s consolidated statement of operations.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On June 30, 2025, the Company entered into the Series A Warrant Amendment (as defined herein) and the 2025 Warrant Amendment (as defined herein). As a result, the Series A Warrants (as defined herein) and the PIPE Warrants (as defined herein), each satisfy the requirements outlined in ASC 815-10-15-74(a)(1) and in ASC 815-10-15-74(a)(2). Under ASC 815-40-35-10, the amended instruments qualify for equity-classification on a prospective basis. The effective date of the relating reclassification from warrant liabilities to additional paid-in capital was June 30, 2025. See Footnote 10: Warrants for additional detail.</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u w:val="single"/>
        </w:rPr>
      </w:pPr>
      <w:r>
        <w:rPr>
          <w:rFonts w:ascii="Times New Roman" w:hAnsi="Times New Roman"/>
          <w:sz w:val="20"/>
          <w:u w:val="single"/>
        </w:rPr>
        <w:t>Series A Preferred Stock</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Company evaluates and accounts for conversion options embedded in its convertible instruments in accordance with ASC 480 and ASC 815 to determine if those instruments or embedded components of those instruments qualify as derivatives and are subject to bifurcation accounting. The Company determines that the economic characteristics and risks of the embedded derivative instrument are clearly and closely related to the economic characteristics and risks of the host contract. The convertible instruments are accounted for as a single hybrid instrument. Additionally, the convertible instruments do not have any redemption features that would preclude permanent equity classification in accordance with the guidance contained in ASC 480-10-S99.</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Company issued the Series A Warrants (as defined herein), which are classified as liabilities and measured at fair value on a recurring basis, and the Company's Series A Convertible Preferred Stock, par value $0.0001 per share (the “Series A Preferred Stock”) in one transaction. The proceeds from the issuances were allocated by using the with and-without method. Under this method, the Company first allocated the proceeds to the Series A Warrants based on their initial fair value measurement and then allocated the remaining proceeds to the Series A Preferred Stock. On June 30, 2025, the Company and holders of the Series A Warrants amended the Series A Warrants, which allowed the Company to account for the Series A Warrants as equity under ASC 480 and a reclassification was recorded from warrant liability to additional paid-in-capital.</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F-10</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sz w:val="20"/>
          <w:u w:val="single"/>
        </w:rPr>
        <w:t>Advertising and Promotion Costs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Advertising costs are charged to expense as incurred and we</w:t>
      </w:r>
      <w:r>
        <w:rPr>
          <w:rFonts w:ascii="Times New Roman" w:hAnsi="Times New Roman"/>
          <w:sz w:val="20"/>
          <w:shd w:fill="FFFFFF" w:val="clear"/>
        </w:rPr>
        <w:t>re $384</w:t>
      </w:r>
      <w:r>
        <w:rPr>
          <w:rFonts w:ascii="Times New Roman" w:hAnsi="Times New Roman"/>
          <w:sz w:val="24"/>
        </w:rPr>
        <w:t xml:space="preserve"> </w:t>
      </w:r>
      <w:r>
        <w:rPr>
          <w:rFonts w:ascii="Times New Roman" w:hAnsi="Times New Roman"/>
          <w:sz w:val="20"/>
        </w:rPr>
        <w:t xml:space="preserve">and $575 for the years ended December 31, 2025 and 2024, respectively. The Company also incurred product promotion costs for demonstration products delivered to prospective customers </w:t>
      </w:r>
      <w:r>
        <w:rPr>
          <w:rFonts w:ascii="Times New Roman" w:hAnsi="Times New Roman"/>
          <w:sz w:val="20"/>
          <w:shd w:fill="FFFFFF" w:val="clear"/>
        </w:rPr>
        <w:t>of $45</w:t>
      </w:r>
      <w:r>
        <w:rPr>
          <w:rFonts w:ascii="Times New Roman" w:hAnsi="Times New Roman"/>
          <w:sz w:val="24"/>
          <w:shd w:fill="FFFFFF" w:val="clear"/>
        </w:rPr>
        <w:t> </w:t>
      </w:r>
      <w:r>
        <w:rPr>
          <w:rFonts w:ascii="Times New Roman" w:hAnsi="Times New Roman"/>
          <w:sz w:val="20"/>
        </w:rPr>
        <w:t>and $129 for the years ended December 31, 2025 and 2024, respectively. Advertising and promotion costs are included in selling, general and administrative expenses in the accompanying statements of operations.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Demonstration and Training Costs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Company maintains a demonstration and training department as a part of its sales and marketing activities and does not charge for product demonstrations or training. Training is not a condition or requirement of sale as most sales are made through distributors to their end customers. The Company conducts local and regional in-person, webinar and on-line demonstrations and use of force and escalation training to support law enforcement agencies with no purchase requirement. Such training, when provided, may occur before or after initial or subsequent purchase or field deployment of the Company’s products. The Company believes that law enforcement trainers and officers that have seen demonstrations or have been trained about its products are more supportive of their departments purchase and deployment of product.</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Research and Development Costs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Research and development costs are expensed as incurred.</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Contract Manufacturers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Company employs contract manufacturers for production of certain components and sub-assemblies. The Company may provide parts and components to such parties from time to time but recognizes no revenue or markup on such transactions.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Leases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Company adopted ASC Topic 842, Leases (“</w:t>
      </w:r>
      <w:r>
        <w:rPr>
          <w:rFonts w:ascii="Times New Roman" w:hAnsi="Times New Roman"/>
          <w:i/>
          <w:sz w:val="20"/>
        </w:rPr>
        <w:t>Topic 842</w:t>
      </w:r>
      <w:r>
        <w:rPr>
          <w:rFonts w:ascii="Times New Roman" w:hAnsi="Times New Roman"/>
          <w:sz w:val="24"/>
        </w:rPr>
        <w:t>”</w:t>
      </w:r>
      <w:r>
        <w:rPr>
          <w:rFonts w:ascii="Times New Roman" w:hAnsi="Times New Roman"/>
          <w:sz w:val="20"/>
        </w:rPr>
        <w:t>) on January 1, 2019. In accordance with the guidance in Topic 842, the Company recognizes lease liabilities and corresponding right-of-use assets for all leases with terms of greater than 12 months. Leases with a term of 12 months or less will be accounted for in a manner similar to the guidance for operating leases prior to the adoption of Topic 842. Refer to Note 9, Leases for more information.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Revenue Recognition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Company adopted ASC Topic 606, Revenue from Contracts with Customers on January 1, 2018. The Company enters into contracts that include various combinations of products, accessories, software and services, each of which are generally distinct and are accounted for as separate performance obligations. Product sales include BolaWrap products and accessories. Other revenue includes VR revenues, professional service, training and shipping revenues.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timing of revenue recognition may differ from the timing of invoicing to customers. The Company generally has an unconditional right to consideration when customers are invoiced, and a receivable is recorded. A contract asset is recognized when revenue is recognized prior to invoicing, or a contract liability (deferred revenue) when revenue will be recognized subsequent to invoicing. The Company recognizes an asset if there are incremental costs of obtaining a contract with a customer such as commissions. These costs are ascribed to or allocated to the underlying performance obligations in the contract. The Company may receive consideration, per terms of a contract, from customers prior to transferring goods to the customer. The Company records customer deposits as a contract liability. Additionally, the Company may receive payments, most typically for service and warranty contracts, at the onset of the contract and before the services have been performed. In such instances, a deferred revenue liability is recorded. The Company recognizes these contract liabilities as revenue after all revenue recognition criteria are met.</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Estimated costs for the Company’s standard warranty, generally one-year, are charged to cost of products sold when revenue is recorded for the related product. Royalties are also charged to cost of products sold.</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Shipping and Handling Costs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Shipping and handling costs are included in cost of revenues. Shipping and handling costs invoiced to customers are included in revenue. Actual shipping and handling costs wer</w:t>
      </w:r>
      <w:r>
        <w:rPr>
          <w:rFonts w:ascii="Times New Roman" w:hAnsi="Times New Roman"/>
          <w:sz w:val="20"/>
          <w:shd w:fill="FFFFFF" w:val="clear"/>
        </w:rPr>
        <w:t>e $33</w:t>
      </w:r>
      <w:r>
        <w:rPr>
          <w:rFonts w:ascii="Times New Roman" w:hAnsi="Times New Roman"/>
          <w:sz w:val="24"/>
          <w:shd w:fill="FFFFFF" w:val="clear"/>
        </w:rPr>
        <w:t xml:space="preserve"> </w:t>
      </w:r>
      <w:r>
        <w:rPr>
          <w:rFonts w:ascii="Times New Roman" w:hAnsi="Times New Roman"/>
          <w:sz w:val="20"/>
          <w:shd w:fill="FFFFFF" w:val="clear"/>
        </w:rPr>
        <w:t>and</w:t>
      </w:r>
      <w:r>
        <w:rPr>
          <w:rFonts w:ascii="Times New Roman" w:hAnsi="Times New Roman"/>
          <w:sz w:val="20"/>
        </w:rPr>
        <w:t xml:space="preserve"> $125 for the years ended December 31, 2025 and 2024, respectively. Actual revenues from shipping and handling we</w:t>
      </w:r>
      <w:r>
        <w:rPr>
          <w:rFonts w:ascii="Times New Roman" w:hAnsi="Times New Roman"/>
          <w:sz w:val="20"/>
          <w:shd w:fill="FFFFFF" w:val="clear"/>
        </w:rPr>
        <w:t>re $24</w:t>
      </w:r>
      <w:r>
        <w:rPr>
          <w:rFonts w:ascii="Times New Roman" w:hAnsi="Times New Roman"/>
          <w:sz w:val="24"/>
          <w:shd w:fill="FFFFFF" w:val="clear"/>
        </w:rPr>
        <w:t xml:space="preserve"> </w:t>
      </w:r>
      <w:r>
        <w:rPr>
          <w:rFonts w:ascii="Times New Roman" w:hAnsi="Times New Roman"/>
          <w:sz w:val="20"/>
          <w:shd w:fill="FFFFFF" w:val="clear"/>
        </w:rPr>
        <w:t>and $</w:t>
      </w:r>
      <w:r>
        <w:rPr>
          <w:rFonts w:ascii="Times New Roman" w:hAnsi="Times New Roman"/>
          <w:sz w:val="20"/>
        </w:rPr>
        <w:t>73 for the years ended December 31, 2025 and 2024, respectively.</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F-11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sz w:val="20"/>
          <w:u w:val="single"/>
        </w:rPr>
        <w:t>Warranty Reserves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Company warrants its products and accessories to be free from defects in materials and workmanship for a period of one year from the date of purchase. The warranty is generally limited. The Company currently provides direct warranty service. International market warranties are generally similar to the US market.</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Company establishes a warranty reserve based on anticipated warranty claims at the time product revenues are recognized. Factors affecting warranty reserve levels include the number of units sold, anticipated cost of warranty repairs and anticipated rates of warranty claims. The Company evaluates the adequacy of the provision for warranty costs each reporting period. The warranty reserve was</w:t>
      </w:r>
      <w:r>
        <w:rPr>
          <w:rFonts w:ascii="Times New Roman" w:hAnsi="Times New Roman"/>
          <w:sz w:val="20"/>
          <w:shd w:fill="FFFFFF" w:val="clear"/>
        </w:rPr>
        <w:t xml:space="preserve"> $30</w:t>
      </w:r>
      <w:r>
        <w:rPr>
          <w:rFonts w:ascii="Times New Roman" w:hAnsi="Times New Roman"/>
          <w:sz w:val="24"/>
          <w:shd w:fill="FFFFFF" w:val="clear"/>
        </w:rPr>
        <w:t xml:space="preserve"> </w:t>
      </w:r>
      <w:r>
        <w:rPr>
          <w:rFonts w:ascii="Times New Roman" w:hAnsi="Times New Roman"/>
          <w:sz w:val="20"/>
          <w:shd w:fill="FFFFFF" w:val="clear"/>
        </w:rPr>
        <w:t>and $</w:t>
      </w:r>
      <w:r>
        <w:rPr>
          <w:rFonts w:ascii="Times New Roman" w:hAnsi="Times New Roman"/>
          <w:sz w:val="20"/>
        </w:rPr>
        <w:t>83 at December 31, 2025 and 2024, respectively. Actual warranty costs could differ from estimates.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Segment Information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The Company operates as a single operating and reportable segment in accordance with ASC 280, Segment Reporting</w:t>
      </w:r>
      <w:r>
        <w:rPr>
          <w:rFonts w:ascii="Times New Roman" w:hAnsi="Times New Roman"/>
          <w:i/>
          <w:sz w:val="20"/>
        </w:rPr>
        <w:t>.</w:t>
      </w:r>
      <w:r>
        <w:rPr>
          <w:rFonts w:ascii="Times New Roman" w:hAnsi="Times New Roman"/>
          <w:sz w:val="20"/>
        </w:rPr>
        <w:t xml:space="preserve"> The Company’s Chief Operating Decision Maker (“CODM”) is its Chief Executive Officer. The CODM reviews financial information on a consolidated basis for purposes of evaluating financial performance and allocating resources. Resource allocation decisions are primarily based on consolidated operating results, cash flows, liquidity, and overall strategic priorities rather than discrete financial information at a product line, geography, or functional level.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 xml:space="preserve">While the Company monitors certain operating metrics, including revenue by product line and other operational data, such information is used for operational oversight, forecasting, and strategic planning and is not used by the CODM to assess segment performance or to allocate resources among components of the business. The Company’s operations are managed on an integrated basis, with shared sales channels, manufacturing, research and development, and administrative functions. As a result, discrete financial information at a level below the consolidated financial statements is not regularly reviewed by the CODM for purposes of allocating resources or assessing performance. </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sz w:val="20"/>
        </w:rPr>
        <w:t>The Company does not present disaggregated segment profit or loss, assets, or other segment-level information, as such information is not used by the CODM in managing the business. Accordingly, the Company has determined that it operates as one operating segment and one reportable segment. The Company has provided the required entity-wide disclosures in accordance with ASC 280. Major Customers and Related Information for further discussion.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Income Taxes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Company accounts for income taxes under the asset and liability method, which requires the recognition of deferred tax assets and liabilities for the future tax consequences attributable to temporary differences between the financial statement carrying amounts of existing assets and liabilities and their respective tax bases. The Company measures deferred tax assets and liabilities using the enacted tax rates for the years and jurisdictions in which the temporary differences are expected to be recovered. A change to the tax rates used to measure the Company’s deferred taxes is recognized in income during the period in which the new rate(s) were enacted.</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Company recognizes deferred tax assets to the extent the Company’s assets are more likely than not to be realized. In making such a determination, the Company considers all available positive and negative evidence, including the future reversals of existing taxable temporary differences, projected future taxable income exclusive of reversing temporary differences and carryforwards, tax-planning strategies, taxable income in prior carryback years if permitted under tax law, and the results from prior years. If the Company determines it is more likely than not that all or a portion of a deferred tax asset will not be realized a valuation allowance is recorded with a charge to income tax expense. Alternatively, if the Company determines that all or a portion of a deferred tax asset previously not meeting the more likely than not threshold will be realized, the Company reduces its valuation allowance and recognizes a benefit in income tax expense.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The Company recognizes and measure uncertain tax benefits in accordance with ASC 740 based on a two-step process in which (1) the Company determines whether it is more likely than not that the tax position will be sustained based on the technical merits of the position, and (2) for those tax positions that meet the more-likely-than-not recognition threshold, the Company recognizes the largest amount of tax benefit that is more than fifty percent likely to be realized upon ultimate settlement with the related tax authority. The Company's policy is to recognize interest and penalties related to uncertain tax positions, if any, in income tax expense.</w:t>
      </w:r>
    </w:p>
    <w:p>
      <w:pPr>
        <w:pStyle w:val="TextBody"/>
        <w:bidi w:val="0"/>
        <w:spacing w:before="0" w:after="0"/>
        <w:jc w:val="both"/>
        <w:rPr/>
      </w:pPr>
      <w:r>
        <w:rPr/>
        <w:t> </w:t>
      </w:r>
    </w:p>
    <w:p>
      <w:pPr>
        <w:pStyle w:val="TextBody"/>
        <w:bidi w:val="0"/>
        <w:spacing w:before="0" w:after="0"/>
        <w:jc w:val="both"/>
        <w:rPr>
          <w:u w:val="single"/>
        </w:rPr>
      </w:pPr>
      <w:r>
        <w:rPr>
          <w:u w:val="single"/>
        </w:rPr>
        <w:t> </w:t>
      </w:r>
      <w:r>
        <w:rPr>
          <w:rFonts w:ascii="Times New Roman" w:hAnsi="Times New Roman"/>
          <w:sz w:val="20"/>
          <w:u w:val="single"/>
        </w:rPr>
        <w:t>Reclassifications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Certain prior year amounts have been reclassified to conform to the current year presentation. These reclassifications had no effect on previously reported net loss, total assets, total liabilities, stockholders’ equity, or cash flows.</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sz w:val="20"/>
          <w:u w:val="single"/>
        </w:rPr>
        <w:t>Recently Issued Accounting Guidance</w:t>
      </w:r>
      <w:r>
        <w:rPr>
          <w:rFonts w:ascii="Times New Roman" w:hAnsi="Times New Roman"/>
          <w:sz w:val="24"/>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In November 2023, the FASB issued ASU 2023-07, Segment Reporting (Topic 280): Improvements to Reportable Segment Disclosures. This guidance enhances disclosures about significant segment expenses and applies to entities with single reportable segments. The amendments were effective for annual periods beginning after December 15, 2023 and interim periods beginning after December 15, 2024. The Company adopted ASU 2023-07 during the year ended December 31, 2025. Adoption did not impact the Company’s determination that it operates as a single reportable segment but resulted in expanded segment-related disclosures.</w:t>
      </w:r>
    </w:p>
    <w:p>
      <w:pPr>
        <w:pStyle w:val="TextBody"/>
        <w:bidi w:val="0"/>
        <w:spacing w:before="0" w:after="0"/>
        <w:jc w:val="both"/>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December 2023, the FASB issued ASU 2023-09, "Income Taxes (Topic 740): Improvements to Income Tax Disclosures" ("ASU 2023-09"), which enhances the transparency and decision usefulness of income tax disclosures. Adjustments to the annual disclosure of income taxes include: (1) A tabular rate reconciliation comprised of eight specific categories, (2) Incomes taxes paid, disaggregated between significant national, state, and foreign jurisdictions, (3) Eliminates requirements to disclose the nature and estimate of reasonably possible changes to unrecognized tax benefits in the next 12 months or that an estimated range cannot be made, and (4) Adds a requirement to disclose income (or loss) from continuing operations before income tax expense (or benefit) by national and foreign, and income tax expense (or benefit) from continuing operations disaggregated between national, state and foreign. The ASU is effective for public business entities for fiscal years beginning on or after December 15, 2024 with early adoption permitted. The amendments in ASU 2023-09 were adopted by the Company on a prospective basis. There was no material impact to the Company's financial statements as a result of adopting ASU 2023-09.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F-12</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November 2024, the FASB issued ASU No. 2024-03, Income Statement—Reporting Comprehensive Income—Expense Disaggregation Disclosures (Subtopic 220-40): Disaggregation of Income Statement Expenses (“ASU 2024-03”), which requires disaggregation of certain costs and expenses, including employee compensation, and requires other improvements to disclosures. The amendments in this update are effective for annual periods beginning after December 15, 2026 and interim reporting periods beginning after December 15, 2027. The update may be applied on a prospective or retrospective basis. The Company is evaluating the impact of ASU 2024-03 on the Company’s notes to the consolidated financial statements. </w:t>
      </w:r>
    </w:p>
    <w:p>
      <w:pPr>
        <w:pStyle w:val="TextBody"/>
        <w:bidi w:val="0"/>
        <w:spacing w:before="0" w:after="0"/>
        <w:jc w:val="both"/>
        <w:rPr/>
      </w:pPr>
      <w:r>
        <w:rPr/>
        <w:t> </w:t>
      </w:r>
    </w:p>
    <w:p>
      <w:pPr>
        <w:pStyle w:val="TextBody"/>
        <w:bidi w:val="0"/>
        <w:spacing w:before="0" w:after="0"/>
        <w:jc w:val="both"/>
        <w:rPr/>
      </w:pPr>
      <w:r>
        <w:rPr/>
        <w:t> </w:t>
      </w:r>
    </w:p>
    <w:p>
      <w:pPr>
        <w:pStyle w:val="TextBody"/>
        <w:bidi w:val="0"/>
        <w:spacing w:before="0" w:after="0"/>
        <w:jc w:val="left"/>
        <w:rPr/>
      </w:pPr>
      <w:r>
        <w:rPr/>
        <w:t xml:space="preserve">  </w:t>
      </w:r>
    </w:p>
    <w:p>
      <w:pPr>
        <w:pStyle w:val="TextBody"/>
        <w:bidi w:val="0"/>
        <w:spacing w:before="0" w:after="0"/>
        <w:ind w:left="10" w:right="0" w:hanging="0"/>
        <w:jc w:val="left"/>
        <w:rPr>
          <w:rFonts w:ascii="Times New Roman" w:hAnsi="Times New Roman"/>
          <w:sz w:val="24"/>
        </w:rPr>
      </w:pPr>
      <w:r>
        <w:rPr>
          <w:rFonts w:ascii="Times New Roman" w:hAnsi="Times New Roman"/>
          <w:b/>
          <w:color w:val="000000"/>
          <w:sz w:val="20"/>
        </w:rPr>
        <w:t>2. REVENUES AND PRODUCT COSTS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Revenues consist of product revenue and other revenue. Product sales include BolaWrap products and accessories. Other revenue includes VR revenues, professional service, training and shipping revenues.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table below details the activity in our contract liabilities during the year ended December 31, 2025.</w:t>
      </w:r>
      <w:r>
        <w:rPr>
          <w:rFonts w:ascii="Times New Roman" w:hAnsi="Times New Roman"/>
          <w:sz w:val="24"/>
        </w:rPr>
        <w:t xml:space="preserve"> </w:t>
      </w:r>
    </w:p>
    <w:p>
      <w:pPr>
        <w:pStyle w:val="TextBody"/>
        <w:bidi w:val="0"/>
        <w:spacing w:before="0" w:after="0"/>
        <w:jc w:val="left"/>
        <w:rPr/>
      </w:pPr>
      <w:r>
        <w:rPr/>
        <w:t xml:space="preserve">  </w:t>
      </w:r>
    </w:p>
    <w:tbl>
      <w:tblPr>
        <w:tblW w:w="4905" w:type="dxa"/>
        <w:jc w:val="left"/>
        <w:tblInd w:w="0" w:type="dxa"/>
        <w:tblLayout w:type="fixed"/>
        <w:tblCellMar>
          <w:top w:w="0" w:type="dxa"/>
          <w:left w:w="0" w:type="dxa"/>
          <w:bottom w:w="0" w:type="dxa"/>
          <w:right w:w="0" w:type="dxa"/>
        </w:tblCellMar>
      </w:tblPr>
      <w:tblGrid>
        <w:gridCol w:w="2540"/>
        <w:gridCol w:w="155"/>
        <w:gridCol w:w="875"/>
        <w:gridCol w:w="90"/>
        <w:gridCol w:w="90"/>
        <w:gridCol w:w="155"/>
        <w:gridCol w:w="800"/>
        <w:gridCol w:w="200"/>
      </w:tblGrid>
      <w:tr>
        <w:trPr/>
        <w:tc>
          <w:tcPr>
            <w:tcW w:w="254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54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center"/>
              <w:rPr>
                <w:b/>
                <w:sz w:val="20"/>
              </w:rPr>
            </w:pPr>
            <w:r>
              <w:rPr>
                <w:b/>
                <w:sz w:val="20"/>
              </w:rPr>
              <w:t>Customer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sz w:val="20"/>
              </w:rPr>
            </w:pPr>
            <w:r>
              <w:rPr>
                <w:b/>
                <w:sz w:val="20"/>
              </w:rPr>
              <w:t>Deferred</w:t>
            </w:r>
          </w:p>
        </w:tc>
        <w:tc>
          <w:tcPr>
            <w:tcW w:w="20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875"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Deposits</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800"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Revenue</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left"/>
              <w:rPr>
                <w:sz w:val="20"/>
              </w:rPr>
            </w:pPr>
            <w:r>
              <w:rPr>
                <w:sz w:val="20"/>
              </w:rPr>
              <w:t>Balance at January 1, 2025</w:t>
            </w:r>
          </w:p>
        </w:tc>
        <w:tc>
          <w:tcPr>
            <w:tcW w:w="155" w:type="dxa"/>
            <w:tcBorders/>
            <w:shd w:fill="CCEEFF" w:val="clear"/>
            <w:vAlign w:val="center"/>
          </w:tcPr>
          <w:p>
            <w:pPr>
              <w:pStyle w:val="TableContents"/>
              <w:bidi w:val="0"/>
              <w:spacing w:before="0" w:after="283"/>
              <w:jc w:val="left"/>
              <w:rPr>
                <w:sz w:val="20"/>
              </w:rPr>
            </w:pPr>
            <w:r>
              <w:rPr>
                <w:sz w:val="20"/>
              </w:rPr>
              <w:t>$</w:t>
            </w:r>
          </w:p>
        </w:tc>
        <w:tc>
          <w:tcPr>
            <w:tcW w:w="875" w:type="dxa"/>
            <w:tcBorders/>
            <w:shd w:fill="CCEEFF" w:val="clear"/>
            <w:vAlign w:val="center"/>
          </w:tcPr>
          <w:p>
            <w:pPr>
              <w:pStyle w:val="TableContents"/>
              <w:bidi w:val="0"/>
              <w:spacing w:before="0" w:after="283"/>
              <w:jc w:val="right"/>
              <w:rPr>
                <w:sz w:val="20"/>
              </w:rPr>
            </w:pPr>
            <w:r>
              <w:rPr>
                <w:sz w:val="20"/>
              </w:rPr>
              <w:t>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800" w:type="dxa"/>
            <w:tcBorders/>
            <w:shd w:fill="CCEEFF" w:val="clear"/>
            <w:vAlign w:val="center"/>
          </w:tcPr>
          <w:p>
            <w:pPr>
              <w:pStyle w:val="TableContents"/>
              <w:bidi w:val="0"/>
              <w:spacing w:before="0" w:after="283"/>
              <w:jc w:val="right"/>
              <w:rPr>
                <w:sz w:val="20"/>
              </w:rPr>
            </w:pPr>
            <w:r>
              <w:rPr>
                <w:sz w:val="20"/>
              </w:rPr>
              <w:t>505</w:t>
            </w:r>
          </w:p>
        </w:tc>
        <w:tc>
          <w:tcPr>
            <w:tcW w:w="200" w:type="dxa"/>
            <w:tcBorders/>
            <w:shd w:fill="CCEEFF" w:val="clear"/>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sz w:val="20"/>
              </w:rPr>
            </w:pPr>
            <w:r>
              <w:rPr>
                <w:sz w:val="20"/>
              </w:rPr>
              <w:t>Additions, net</w:t>
            </w:r>
          </w:p>
        </w:tc>
        <w:tc>
          <w:tcPr>
            <w:tcW w:w="155"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sz w:val="20"/>
              </w:rPr>
            </w:pPr>
            <w:r>
              <w:rPr>
                <w:sz w:val="20"/>
              </w:rPr>
              <w:t>34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sz w:val="20"/>
              </w:rPr>
            </w:pPr>
            <w:r>
              <w:rPr>
                <w:sz w:val="20"/>
              </w:rPr>
              <w:t>717</w:t>
            </w:r>
          </w:p>
        </w:tc>
        <w:tc>
          <w:tcPr>
            <w:tcW w:w="200"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left"/>
              <w:rPr>
                <w:sz w:val="20"/>
              </w:rPr>
            </w:pPr>
            <w:r>
              <w:rPr>
                <w:sz w:val="20"/>
              </w:rPr>
              <w:t>Transfer to revenue</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(800</w:t>
            </w:r>
          </w:p>
        </w:tc>
        <w:tc>
          <w:tcPr>
            <w:tcW w:w="200"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 </w:t>
            </w:r>
          </w:p>
        </w:tc>
      </w:tr>
      <w:tr>
        <w:trPr/>
        <w:tc>
          <w:tcPr>
            <w:tcW w:w="2540" w:type="dxa"/>
            <w:tcBorders/>
            <w:vAlign w:val="center"/>
          </w:tcPr>
          <w:p>
            <w:pPr>
              <w:pStyle w:val="TableContents"/>
              <w:bidi w:val="0"/>
              <w:spacing w:before="0" w:after="283"/>
              <w:jc w:val="left"/>
              <w:rPr>
                <w:sz w:val="20"/>
              </w:rPr>
            </w:pPr>
            <w:r>
              <w:rPr>
                <w:sz w:val="20"/>
              </w:rPr>
              <w:t>Balance at December 31, 2025</w:t>
            </w:r>
          </w:p>
        </w:tc>
        <w:tc>
          <w:tcPr>
            <w:tcW w:w="155" w:type="dxa"/>
            <w:tcBorders>
              <w:bottom w:val="double" w:sz="6" w:space="0" w:color="000000"/>
            </w:tcBorders>
            <w:tcMar>
              <w:bottom w:w="28" w:type="dxa"/>
            </w:tcMar>
            <w:vAlign w:val="center"/>
          </w:tcPr>
          <w:p>
            <w:pPr>
              <w:pStyle w:val="TableContents"/>
              <w:bidi w:val="0"/>
              <w:spacing w:before="0" w:after="283"/>
              <w:jc w:val="left"/>
              <w:rPr>
                <w:sz w:val="20"/>
              </w:rPr>
            </w:pPr>
            <w:r>
              <w:rPr>
                <w:sz w:val="20"/>
              </w:rPr>
              <w:t>$</w:t>
            </w:r>
          </w:p>
        </w:tc>
        <w:tc>
          <w:tcPr>
            <w:tcW w:w="875" w:type="dxa"/>
            <w:tcBorders>
              <w:bottom w:val="double" w:sz="6" w:space="0" w:color="000000"/>
            </w:tcBorders>
            <w:tcMar>
              <w:bottom w:w="28" w:type="dxa"/>
            </w:tcMar>
            <w:vAlign w:val="center"/>
          </w:tcPr>
          <w:p>
            <w:pPr>
              <w:pStyle w:val="TableContents"/>
              <w:bidi w:val="0"/>
              <w:spacing w:before="0" w:after="283"/>
              <w:jc w:val="right"/>
              <w:rPr>
                <w:sz w:val="20"/>
              </w:rPr>
            </w:pPr>
            <w:r>
              <w:rPr>
                <w:sz w:val="20"/>
              </w:rPr>
              <w:t>62</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6" w:space="0" w:color="000000"/>
            </w:tcBorders>
            <w:tcMar>
              <w:bottom w:w="28" w:type="dxa"/>
            </w:tcMar>
            <w:vAlign w:val="center"/>
          </w:tcPr>
          <w:p>
            <w:pPr>
              <w:pStyle w:val="TableContents"/>
              <w:bidi w:val="0"/>
              <w:spacing w:before="0" w:after="283"/>
              <w:jc w:val="left"/>
              <w:rPr>
                <w:sz w:val="20"/>
              </w:rPr>
            </w:pPr>
            <w:r>
              <w:rPr>
                <w:sz w:val="20"/>
              </w:rPr>
              <w:t>$</w:t>
            </w:r>
          </w:p>
        </w:tc>
        <w:tc>
          <w:tcPr>
            <w:tcW w:w="800" w:type="dxa"/>
            <w:tcBorders>
              <w:bottom w:val="double" w:sz="6" w:space="0" w:color="000000"/>
            </w:tcBorders>
            <w:tcMar>
              <w:bottom w:w="28" w:type="dxa"/>
            </w:tcMar>
            <w:vAlign w:val="center"/>
          </w:tcPr>
          <w:p>
            <w:pPr>
              <w:pStyle w:val="TableContents"/>
              <w:bidi w:val="0"/>
              <w:spacing w:before="0" w:after="283"/>
              <w:jc w:val="right"/>
              <w:rPr>
                <w:sz w:val="20"/>
              </w:rPr>
            </w:pPr>
            <w:r>
              <w:rPr>
                <w:sz w:val="20"/>
              </w:rPr>
              <w:t>422</w:t>
            </w:r>
          </w:p>
        </w:tc>
        <w:tc>
          <w:tcPr>
            <w:tcW w:w="200" w:type="dxa"/>
            <w:tcBorders>
              <w:bottom w:val="double" w:sz="6" w:space="0" w:color="000000"/>
            </w:tcBorders>
            <w:tcMar>
              <w:bottom w:w="28" w:type="dxa"/>
            </w:tcM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283"/>
              <w:jc w:val="left"/>
              <w:rPr>
                <w:sz w:val="20"/>
              </w:rPr>
            </w:pPr>
            <w:r>
              <w:rPr>
                <w:sz w:val="20"/>
              </w:rPr>
              <w:t>Current portion</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62</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408</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sz w:val="20"/>
              </w:rPr>
            </w:pPr>
            <w:r>
              <w:rPr>
                <w:sz w:val="20"/>
              </w:rPr>
              <w:t>Long-term portion</w:t>
            </w:r>
          </w:p>
        </w:tc>
        <w:tc>
          <w:tcPr>
            <w:tcW w:w="155" w:type="dxa"/>
            <w:tcBorders>
              <w:bottom w:val="double" w:sz="6" w:space="0" w:color="000000"/>
            </w:tcBorders>
            <w:tcMar>
              <w:bottom w:w="28" w:type="dxa"/>
            </w:tcMar>
            <w:vAlign w:val="center"/>
          </w:tcPr>
          <w:p>
            <w:pPr>
              <w:pStyle w:val="TableContents"/>
              <w:bidi w:val="0"/>
              <w:spacing w:before="0" w:after="283"/>
              <w:jc w:val="left"/>
              <w:rPr>
                <w:sz w:val="20"/>
              </w:rPr>
            </w:pPr>
            <w:r>
              <w:rPr>
                <w:sz w:val="20"/>
              </w:rPr>
              <w:t>$</w:t>
            </w:r>
          </w:p>
        </w:tc>
        <w:tc>
          <w:tcPr>
            <w:tcW w:w="875" w:type="dxa"/>
            <w:tcBorders>
              <w:bottom w:val="double" w:sz="6" w:space="0" w:color="000000"/>
            </w:tcBorders>
            <w:tcMar>
              <w:bottom w:w="28" w:type="dxa"/>
            </w:tcMar>
            <w:vAlign w:val="center"/>
          </w:tcPr>
          <w:p>
            <w:pPr>
              <w:pStyle w:val="TableContents"/>
              <w:bidi w:val="0"/>
              <w:spacing w:before="0" w:after="283"/>
              <w:jc w:val="right"/>
              <w:rPr>
                <w:sz w:val="20"/>
              </w:rPr>
            </w:pPr>
            <w:r>
              <w:rPr>
                <w:sz w:val="20"/>
              </w:rPr>
              <w:t>-</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6" w:space="0" w:color="000000"/>
            </w:tcBorders>
            <w:tcMar>
              <w:bottom w:w="28" w:type="dxa"/>
            </w:tcMar>
            <w:vAlign w:val="center"/>
          </w:tcPr>
          <w:p>
            <w:pPr>
              <w:pStyle w:val="TableContents"/>
              <w:bidi w:val="0"/>
              <w:spacing w:before="0" w:after="283"/>
              <w:jc w:val="left"/>
              <w:rPr>
                <w:sz w:val="20"/>
              </w:rPr>
            </w:pPr>
            <w:r>
              <w:rPr>
                <w:sz w:val="20"/>
              </w:rPr>
              <w:t>$</w:t>
            </w:r>
          </w:p>
        </w:tc>
        <w:tc>
          <w:tcPr>
            <w:tcW w:w="800" w:type="dxa"/>
            <w:tcBorders>
              <w:bottom w:val="double" w:sz="6" w:space="0" w:color="000000"/>
            </w:tcBorders>
            <w:tcMar>
              <w:bottom w:w="28" w:type="dxa"/>
            </w:tcMar>
            <w:vAlign w:val="center"/>
          </w:tcPr>
          <w:p>
            <w:pPr>
              <w:pStyle w:val="TableContents"/>
              <w:bidi w:val="0"/>
              <w:spacing w:before="0" w:after="283"/>
              <w:jc w:val="right"/>
              <w:rPr>
                <w:sz w:val="20"/>
              </w:rPr>
            </w:pPr>
            <w:r>
              <w:rPr>
                <w:sz w:val="20"/>
              </w:rPr>
              <w:t>14</w:t>
            </w:r>
          </w:p>
        </w:tc>
        <w:tc>
          <w:tcPr>
            <w:tcW w:w="20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0"/>
        </w:rPr>
        <w:t>As of December 31, 2025, the Company’s deferred rev</w:t>
      </w:r>
      <w:r>
        <w:rPr>
          <w:rFonts w:ascii="Times New Roman" w:hAnsi="Times New Roman"/>
          <w:sz w:val="20"/>
          <w:shd w:fill="FFFFFF" w:val="clear"/>
        </w:rPr>
        <w:t>enue of $422</w:t>
      </w:r>
      <w:r>
        <w:rPr>
          <w:rFonts w:ascii="Times New Roman" w:hAnsi="Times New Roman"/>
          <w:sz w:val="24"/>
          <w:shd w:fill="FFFFFF" w:val="clear"/>
        </w:rPr>
        <w:t xml:space="preserve"> </w:t>
      </w:r>
      <w:r>
        <w:rPr>
          <w:rFonts w:ascii="Times New Roman" w:hAnsi="Times New Roman"/>
          <w:sz w:val="20"/>
          <w:shd w:fill="FFFFFF" w:val="clear"/>
        </w:rPr>
        <w:t>consisted of $12</w:t>
      </w:r>
      <w:r>
        <w:rPr>
          <w:rFonts w:ascii="Times New Roman" w:hAnsi="Times New Roman"/>
          <w:sz w:val="24"/>
          <w:shd w:fill="FFFFFF" w:val="clear"/>
        </w:rPr>
        <w:t xml:space="preserve"> </w:t>
      </w:r>
      <w:r>
        <w:rPr>
          <w:rFonts w:ascii="Times New Roman" w:hAnsi="Times New Roman"/>
          <w:sz w:val="20"/>
          <w:shd w:fill="FFFFFF" w:val="clear"/>
        </w:rPr>
        <w:t>related to BolaWrap extended warranties and software, $25</w:t>
      </w:r>
      <w:r>
        <w:rPr>
          <w:rFonts w:ascii="Times New Roman" w:hAnsi="Times New Roman"/>
          <w:sz w:val="24"/>
          <w:shd w:fill="FFFFFF" w:val="clear"/>
        </w:rPr>
        <w:t xml:space="preserve"> </w:t>
      </w:r>
      <w:r>
        <w:rPr>
          <w:rFonts w:ascii="Times New Roman" w:hAnsi="Times New Roman"/>
          <w:sz w:val="20"/>
          <w:shd w:fill="FFFFFF" w:val="clear"/>
        </w:rPr>
        <w:t>related to Wrap Ready, $339</w:t>
      </w:r>
      <w:r>
        <w:rPr>
          <w:rFonts w:ascii="Times New Roman" w:hAnsi="Times New Roman"/>
          <w:sz w:val="24"/>
          <w:shd w:fill="FFFFFF" w:val="clear"/>
        </w:rPr>
        <w:t xml:space="preserve"> </w:t>
      </w:r>
      <w:r>
        <w:rPr>
          <w:rFonts w:ascii="Times New Roman" w:hAnsi="Times New Roman"/>
          <w:sz w:val="20"/>
          <w:shd w:fill="FFFFFF" w:val="clear"/>
        </w:rPr>
        <w:t>related to Intrensic extended warranties and services, $30</w:t>
      </w:r>
      <w:r>
        <w:rPr>
          <w:rFonts w:ascii="Times New Roman" w:hAnsi="Times New Roman"/>
          <w:sz w:val="24"/>
          <w:shd w:fill="FFFFFF" w:val="clear"/>
        </w:rPr>
        <w:t xml:space="preserve"> </w:t>
      </w:r>
      <w:r>
        <w:rPr>
          <w:rFonts w:ascii="Times New Roman" w:hAnsi="Times New Roman"/>
          <w:sz w:val="20"/>
          <w:shd w:fill="FFFFFF" w:val="clear"/>
        </w:rPr>
        <w:t>related to VR, and $16</w:t>
      </w:r>
      <w:r>
        <w:rPr>
          <w:rFonts w:ascii="Times New Roman" w:hAnsi="Times New Roman"/>
          <w:sz w:val="24"/>
          <w:shd w:fill="FFFFFF" w:val="clear"/>
        </w:rPr>
        <w:t xml:space="preserve"> </w:t>
      </w:r>
      <w:r>
        <w:rPr>
          <w:rFonts w:ascii="Times New Roman" w:hAnsi="Times New Roman"/>
          <w:sz w:val="20"/>
          <w:shd w:fill="FFFFFF" w:val="clear"/>
        </w:rPr>
        <w:t>rela</w:t>
      </w:r>
      <w:r>
        <w:rPr>
          <w:rFonts w:ascii="Times New Roman" w:hAnsi="Times New Roman"/>
          <w:sz w:val="20"/>
        </w:rPr>
        <w:t>ted to training.</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As of December 31, 2024, the Company’s deferred revenue of $505 consisted of $76 related to BolaWrap extended warranties and software, $352 related to Intrensic extended warranties and services, $73 related to VR, and $4 related to training.</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10" w:right="0" w:hanging="0"/>
        <w:jc w:val="left"/>
        <w:rPr>
          <w:rFonts w:ascii="Times New Roman" w:hAnsi="Times New Roman"/>
          <w:sz w:val="24"/>
        </w:rPr>
      </w:pPr>
      <w:r>
        <w:rPr>
          <w:rFonts w:ascii="Times New Roman" w:hAnsi="Times New Roman"/>
          <w:b/>
          <w:color w:val="000000"/>
          <w:sz w:val="20"/>
        </w:rPr>
        <w:t>3. ASSET ACQUISITIONS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On February 18, 2025, the Company entered into an Asset Purchase Agreement with W1 Global, LLC (“W1”), pursuant to which the Company acquired substantially all of the assets used in, held for use in, or relating to W1’s advisory and investigative professional services business associated with specific identified customer contracts. The transaction was accounted for as an asset acquisition in accordance with ASC 805. As a result of the transaction, the Company recorded approximately $58 of customer relationship intangible assets, which were included within Customer Relationships (see Note 7, Intangible Assets). The customer relationships were initially assigned an estimated useful life of three years. During the third quarter of 2025, management performed an evaluation of the acquired assets in connection with a strategic realignment of the Company’s managed services offerings. Based on this evaluation, the Company determined that certain investigative services acquired from W1 were no longer aligned with the Company’s strategic objectives. Accordingly, the Company recorded an impairment charge of $48 related to customer relationship intangible assets during the year ended December 31, 2025. Following this evaluation, the Company continues to focus its managed services efforts on policy governance and training services in support of its broader go-to-market strategy.</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F-13</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ind w:left="10" w:right="0" w:hanging="0"/>
        <w:jc w:val="left"/>
        <w:rPr>
          <w:rFonts w:ascii="Times New Roman" w:hAnsi="Times New Roman"/>
          <w:sz w:val="24"/>
        </w:rPr>
      </w:pPr>
      <w:r>
        <w:rPr>
          <w:rFonts w:ascii="Times New Roman" w:hAnsi="Times New Roman"/>
          <w:b/>
          <w:color w:val="000000"/>
          <w:sz w:val="20"/>
        </w:rPr>
        <w:t>4. FINANCIAL INSTRUMENTS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Assets and liabilities recorded at fair value on a recurring basis in the Consolidated Balance Sheets and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upon the sale of an asset or paid to transfer a liability (an exit price) in an orderly transaction between market participants at the measurement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i/>
          <w:sz w:val="20"/>
        </w:rPr>
        <w:t>Level 1</w:t>
      </w:r>
      <w:r>
        <w:rPr>
          <w:rFonts w:ascii="Times New Roman" w:hAnsi="Times New Roman"/>
          <w:sz w:val="24"/>
        </w:rPr>
        <w:t>—</w:t>
      </w:r>
      <w:r>
        <w:rPr>
          <w:rFonts w:ascii="Times New Roman" w:hAnsi="Times New Roman"/>
          <w:sz w:val="20"/>
        </w:rPr>
        <w:t>Inputs are unadjusted, quoted prices in active markets for identical assets or liabilities at the measurement date;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i/>
          <w:sz w:val="20"/>
        </w:rPr>
        <w:t>Level 2</w:t>
      </w:r>
      <w:r>
        <w:rPr>
          <w:rFonts w:ascii="Times New Roman" w:hAnsi="Times New Roman"/>
          <w:sz w:val="24"/>
        </w:rPr>
        <w:t>—</w:t>
      </w:r>
      <w:r>
        <w:rPr>
          <w:rFonts w:ascii="Times New Roman" w:hAnsi="Times New Roman"/>
          <w:sz w:val="20"/>
        </w:rPr>
        <w:t>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i/>
          <w:sz w:val="20"/>
        </w:rPr>
        <w:t>Level 3</w:t>
      </w:r>
      <w:r>
        <w:rPr>
          <w:rFonts w:ascii="Times New Roman" w:hAnsi="Times New Roman"/>
          <w:sz w:val="24"/>
        </w:rPr>
        <w:t>—</w:t>
      </w:r>
      <w:r>
        <w:rPr>
          <w:rFonts w:ascii="Times New Roman" w:hAnsi="Times New Roman"/>
          <w:sz w:val="20"/>
        </w:rPr>
        <w:t>Unobservable inputs that are significant to the measurement of the fair value of the assets or liabilities that are supported by little or no market data.</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Company’s short-term investments consisting of US Treasury bill securities and Certificate of Deposits are classified as Level 1 because they are valued using quoted market prices.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following table shows the Company’s short-term investments by significant investment category as of December 31, 2025 and 2024.</w:t>
      </w:r>
      <w:r>
        <w:rPr>
          <w:rFonts w:ascii="Times New Roman" w:hAnsi="Times New Roman"/>
          <w:sz w:val="24"/>
        </w:rPr>
        <w:t xml:space="preserve"> </w:t>
      </w:r>
    </w:p>
    <w:p>
      <w:pPr>
        <w:pStyle w:val="TextBody"/>
        <w:bidi w:val="0"/>
        <w:spacing w:before="0" w:after="0"/>
        <w:jc w:val="left"/>
        <w:rPr/>
      </w:pPr>
      <w:r>
        <w:rPr/>
        <w:t> </w:t>
      </w:r>
    </w:p>
    <w:tbl>
      <w:tblPr>
        <w:tblW w:w="6630" w:type="dxa"/>
        <w:jc w:val="left"/>
        <w:tblInd w:w="0" w:type="dxa"/>
        <w:tblLayout w:type="fixed"/>
        <w:tblCellMar>
          <w:top w:w="0" w:type="dxa"/>
          <w:left w:w="0" w:type="dxa"/>
          <w:bottom w:w="0" w:type="dxa"/>
          <w:right w:w="0" w:type="dxa"/>
        </w:tblCellMar>
      </w:tblPr>
      <w:tblGrid>
        <w:gridCol w:w="1865"/>
        <w:gridCol w:w="155"/>
        <w:gridCol w:w="785"/>
        <w:gridCol w:w="90"/>
        <w:gridCol w:w="90"/>
        <w:gridCol w:w="155"/>
        <w:gridCol w:w="980"/>
        <w:gridCol w:w="90"/>
        <w:gridCol w:w="90"/>
        <w:gridCol w:w="155"/>
        <w:gridCol w:w="1025"/>
        <w:gridCol w:w="90"/>
        <w:gridCol w:w="90"/>
        <w:gridCol w:w="155"/>
        <w:gridCol w:w="680"/>
        <w:gridCol w:w="135"/>
      </w:tblGrid>
      <w:tr>
        <w:trPr/>
        <w:tc>
          <w:tcPr>
            <w:tcW w:w="18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left"/>
              <w:rPr/>
            </w:pPr>
            <w:r>
              <w:rPr/>
              <w:t> </w:t>
            </w:r>
          </w:p>
        </w:tc>
        <w:tc>
          <w:tcPr>
            <w:tcW w:w="4765" w:type="dxa"/>
            <w:gridSpan w:val="15"/>
            <w:tcBorders>
              <w:bottom w:val="single" w:sz="6" w:space="0" w:color="000000"/>
            </w:tcBorders>
            <w:tcMar>
              <w:bottom w:w="28" w:type="dxa"/>
            </w:tcMar>
            <w:vAlign w:val="center"/>
          </w:tcPr>
          <w:p>
            <w:pPr>
              <w:pStyle w:val="TableContents"/>
              <w:bidi w:val="0"/>
              <w:spacing w:before="0" w:after="283"/>
              <w:jc w:val="center"/>
              <w:rPr>
                <w:b/>
                <w:sz w:val="20"/>
              </w:rPr>
            </w:pPr>
            <w:r>
              <w:rPr>
                <w:b/>
                <w:sz w:val="20"/>
              </w:rPr>
              <w:t>As of December 31, 2025</w:t>
            </w:r>
          </w:p>
        </w:tc>
      </w:tr>
      <w:tr>
        <w:trPr/>
        <w:tc>
          <w:tcPr>
            <w:tcW w:w="186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b/>
                <w:sz w:val="20"/>
              </w:rPr>
            </w:pPr>
            <w:r>
              <w:rPr>
                <w:b/>
                <w:sz w:val="20"/>
              </w:rPr>
              <w:t>Adjusted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sz w:val="20"/>
              </w:rPr>
            </w:pPr>
            <w:r>
              <w:rPr>
                <w:b/>
                <w:sz w:val="20"/>
              </w:rPr>
              <w:t>Unrealized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b/>
                <w:sz w:val="20"/>
              </w:rPr>
            </w:pPr>
            <w:r>
              <w:rPr>
                <w:b/>
                <w:sz w:val="20"/>
              </w:rPr>
              <w:t xml:space="preserve">Unrealized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b/>
                <w:sz w:val="20"/>
              </w:rPr>
            </w:pPr>
            <w:r>
              <w:rPr>
                <w:b/>
                <w:sz w:val="20"/>
              </w:rPr>
              <w:t>Market</w:t>
            </w:r>
          </w:p>
        </w:tc>
        <w:tc>
          <w:tcPr>
            <w:tcW w:w="13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Cost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980"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Gains</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1025"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Losses</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80"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Value</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Level 1:</w:t>
            </w:r>
          </w:p>
        </w:tc>
        <w:tc>
          <w:tcPr>
            <w:tcW w:w="15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sz w:val="20"/>
              </w:rPr>
            </w:pPr>
            <w:r>
              <w:rPr>
                <w:sz w:val="20"/>
              </w:rPr>
              <w:t xml:space="preserve">Money Market Funds </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85"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639</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80"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25"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80"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639</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Total Financial Assets</w:t>
            </w:r>
          </w:p>
        </w:tc>
        <w:tc>
          <w:tcPr>
            <w:tcW w:w="155" w:type="dxa"/>
            <w:tcBorders>
              <w:bottom w:val="double" w:sz="6" w:space="0" w:color="000000"/>
            </w:tcBorders>
            <w:tcMar>
              <w:bottom w:w="28" w:type="dxa"/>
            </w:tcMar>
            <w:vAlign w:val="center"/>
          </w:tcPr>
          <w:p>
            <w:pPr>
              <w:pStyle w:val="TableContents"/>
              <w:bidi w:val="0"/>
              <w:spacing w:before="0" w:after="283"/>
              <w:jc w:val="left"/>
              <w:rPr>
                <w:sz w:val="20"/>
              </w:rPr>
            </w:pPr>
            <w:r>
              <w:rPr>
                <w:sz w:val="20"/>
              </w:rPr>
              <w:t>$</w:t>
            </w:r>
          </w:p>
        </w:tc>
        <w:tc>
          <w:tcPr>
            <w:tcW w:w="785" w:type="dxa"/>
            <w:tcBorders>
              <w:bottom w:val="double" w:sz="6" w:space="0" w:color="000000"/>
            </w:tcBorders>
            <w:tcMar>
              <w:bottom w:w="28" w:type="dxa"/>
            </w:tcMar>
            <w:vAlign w:val="center"/>
          </w:tcPr>
          <w:p>
            <w:pPr>
              <w:pStyle w:val="TableContents"/>
              <w:bidi w:val="0"/>
              <w:spacing w:before="0" w:after="283"/>
              <w:jc w:val="right"/>
              <w:rPr>
                <w:sz w:val="20"/>
              </w:rPr>
            </w:pPr>
            <w:r>
              <w:rPr>
                <w:sz w:val="20"/>
              </w:rPr>
              <w:t>639</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6" w:space="0" w:color="000000"/>
            </w:tcBorders>
            <w:tcMar>
              <w:bottom w:w="28" w:type="dxa"/>
            </w:tcMar>
            <w:vAlign w:val="center"/>
          </w:tcPr>
          <w:p>
            <w:pPr>
              <w:pStyle w:val="TableContents"/>
              <w:bidi w:val="0"/>
              <w:spacing w:before="0" w:after="283"/>
              <w:jc w:val="left"/>
              <w:rPr>
                <w:sz w:val="20"/>
              </w:rPr>
            </w:pPr>
            <w:r>
              <w:rPr>
                <w:sz w:val="20"/>
              </w:rPr>
              <w:t>$</w:t>
            </w:r>
          </w:p>
        </w:tc>
        <w:tc>
          <w:tcPr>
            <w:tcW w:w="980" w:type="dxa"/>
            <w:tcBorders>
              <w:bottom w:val="double" w:sz="6" w:space="0" w:color="000000"/>
            </w:tcBorders>
            <w:tcMar>
              <w:bottom w:w="28" w:type="dxa"/>
            </w:tcMar>
            <w:vAlign w:val="center"/>
          </w:tcPr>
          <w:p>
            <w:pPr>
              <w:pStyle w:val="TableContents"/>
              <w:bidi w:val="0"/>
              <w:spacing w:before="0" w:after="283"/>
              <w:jc w:val="right"/>
              <w:rPr>
                <w:sz w:val="20"/>
              </w:rPr>
            </w:pPr>
            <w:r>
              <w:rPr>
                <w:sz w:val="20"/>
              </w:rPr>
              <w:t>-</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6" w:space="0" w:color="000000"/>
            </w:tcBorders>
            <w:tcMar>
              <w:bottom w:w="28" w:type="dxa"/>
            </w:tcMar>
            <w:vAlign w:val="center"/>
          </w:tcPr>
          <w:p>
            <w:pPr>
              <w:pStyle w:val="TableContents"/>
              <w:bidi w:val="0"/>
              <w:spacing w:before="0" w:after="283"/>
              <w:jc w:val="left"/>
              <w:rPr>
                <w:sz w:val="20"/>
              </w:rPr>
            </w:pPr>
            <w:r>
              <w:rPr>
                <w:sz w:val="20"/>
              </w:rPr>
              <w:t>$</w:t>
            </w:r>
          </w:p>
        </w:tc>
        <w:tc>
          <w:tcPr>
            <w:tcW w:w="1025" w:type="dxa"/>
            <w:tcBorders>
              <w:bottom w:val="double" w:sz="6" w:space="0" w:color="000000"/>
            </w:tcBorders>
            <w:tcMar>
              <w:bottom w:w="28" w:type="dxa"/>
            </w:tcMar>
            <w:vAlign w:val="center"/>
          </w:tcPr>
          <w:p>
            <w:pPr>
              <w:pStyle w:val="TableContents"/>
              <w:bidi w:val="0"/>
              <w:spacing w:before="0" w:after="283"/>
              <w:jc w:val="right"/>
              <w:rPr>
                <w:sz w:val="20"/>
              </w:rPr>
            </w:pPr>
            <w:r>
              <w:rPr>
                <w:sz w:val="20"/>
              </w:rPr>
              <w:t>-</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6" w:space="0" w:color="000000"/>
            </w:tcBorders>
            <w:tcMar>
              <w:bottom w:w="28" w:type="dxa"/>
            </w:tcMar>
            <w:vAlign w:val="center"/>
          </w:tcPr>
          <w:p>
            <w:pPr>
              <w:pStyle w:val="TableContents"/>
              <w:bidi w:val="0"/>
              <w:spacing w:before="0" w:after="283"/>
              <w:jc w:val="left"/>
              <w:rPr>
                <w:sz w:val="20"/>
              </w:rPr>
            </w:pPr>
            <w:r>
              <w:rPr>
                <w:sz w:val="20"/>
              </w:rPr>
              <w:t>$</w:t>
            </w:r>
          </w:p>
        </w:tc>
        <w:tc>
          <w:tcPr>
            <w:tcW w:w="680" w:type="dxa"/>
            <w:tcBorders>
              <w:bottom w:val="double" w:sz="6" w:space="0" w:color="000000"/>
            </w:tcBorders>
            <w:tcMar>
              <w:bottom w:w="28" w:type="dxa"/>
            </w:tcMar>
            <w:vAlign w:val="center"/>
          </w:tcPr>
          <w:p>
            <w:pPr>
              <w:pStyle w:val="TableContents"/>
              <w:bidi w:val="0"/>
              <w:spacing w:before="0" w:after="283"/>
              <w:jc w:val="right"/>
              <w:rPr>
                <w:sz w:val="20"/>
              </w:rPr>
            </w:pPr>
            <w:r>
              <w:rPr>
                <w:sz w:val="20"/>
              </w:rPr>
              <w:t>639</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tbl>
      <w:tblPr>
        <w:tblW w:w="6630" w:type="dxa"/>
        <w:jc w:val="left"/>
        <w:tblInd w:w="0" w:type="dxa"/>
        <w:tblLayout w:type="fixed"/>
        <w:tblCellMar>
          <w:top w:w="0" w:type="dxa"/>
          <w:left w:w="0" w:type="dxa"/>
          <w:bottom w:w="0" w:type="dxa"/>
          <w:right w:w="0" w:type="dxa"/>
        </w:tblCellMar>
      </w:tblPr>
      <w:tblGrid>
        <w:gridCol w:w="1865"/>
        <w:gridCol w:w="155"/>
        <w:gridCol w:w="785"/>
        <w:gridCol w:w="90"/>
        <w:gridCol w:w="90"/>
        <w:gridCol w:w="155"/>
        <w:gridCol w:w="980"/>
        <w:gridCol w:w="90"/>
        <w:gridCol w:w="90"/>
        <w:gridCol w:w="155"/>
        <w:gridCol w:w="1025"/>
        <w:gridCol w:w="90"/>
        <w:gridCol w:w="90"/>
        <w:gridCol w:w="155"/>
        <w:gridCol w:w="680"/>
        <w:gridCol w:w="135"/>
      </w:tblGrid>
      <w:tr>
        <w:trPr/>
        <w:tc>
          <w:tcPr>
            <w:tcW w:w="18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865" w:type="dxa"/>
            <w:tcBorders/>
            <w:vAlign w:val="center"/>
          </w:tcPr>
          <w:p>
            <w:pPr>
              <w:pStyle w:val="TableContents"/>
              <w:bidi w:val="0"/>
              <w:spacing w:before="0" w:after="283"/>
              <w:jc w:val="left"/>
              <w:rPr/>
            </w:pPr>
            <w:r>
              <w:rPr/>
              <w:t> </w:t>
            </w:r>
          </w:p>
        </w:tc>
        <w:tc>
          <w:tcPr>
            <w:tcW w:w="4765" w:type="dxa"/>
            <w:gridSpan w:val="15"/>
            <w:tcBorders>
              <w:bottom w:val="single" w:sz="2" w:space="0" w:color="000000"/>
            </w:tcBorders>
            <w:tcMar>
              <w:bottom w:w="28" w:type="dxa"/>
            </w:tcMar>
            <w:vAlign w:val="center"/>
          </w:tcPr>
          <w:p>
            <w:pPr>
              <w:pStyle w:val="TableContents"/>
              <w:bidi w:val="0"/>
              <w:spacing w:before="0" w:after="283"/>
              <w:jc w:val="center"/>
              <w:rPr>
                <w:b/>
                <w:sz w:val="20"/>
              </w:rPr>
            </w:pPr>
            <w:r>
              <w:rPr>
                <w:b/>
                <w:sz w:val="20"/>
              </w:rPr>
              <w:t>As of December 31, 2024</w:t>
            </w:r>
          </w:p>
        </w:tc>
      </w:tr>
      <w:tr>
        <w:trPr/>
        <w:tc>
          <w:tcPr>
            <w:tcW w:w="186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b/>
                <w:sz w:val="20"/>
              </w:rPr>
            </w:pPr>
            <w:r>
              <w:rPr>
                <w:b/>
                <w:sz w:val="20"/>
              </w:rPr>
              <w:t>Adjusted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sz w:val="20"/>
              </w:rPr>
            </w:pPr>
            <w:r>
              <w:rPr>
                <w:b/>
                <w:sz w:val="20"/>
              </w:rPr>
              <w:t>Unrealized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center"/>
              <w:rPr>
                <w:b/>
                <w:sz w:val="20"/>
              </w:rPr>
            </w:pPr>
            <w:r>
              <w:rPr>
                <w:b/>
                <w:sz w:val="20"/>
              </w:rPr>
              <w:t xml:space="preserve">Unrealized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b/>
                <w:sz w:val="20"/>
              </w:rPr>
            </w:pPr>
            <w:r>
              <w:rPr>
                <w:b/>
                <w:sz w:val="20"/>
              </w:rPr>
              <w:t>Market</w:t>
            </w:r>
          </w:p>
        </w:tc>
        <w:tc>
          <w:tcPr>
            <w:tcW w:w="13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785"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Cost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980"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Gains</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1025"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Losses</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680"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Value</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Level 1:</w:t>
            </w:r>
          </w:p>
        </w:tc>
        <w:tc>
          <w:tcPr>
            <w:tcW w:w="15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sz w:val="20"/>
              </w:rPr>
            </w:pPr>
            <w:r>
              <w:rPr>
                <w:sz w:val="20"/>
              </w:rPr>
              <w:t xml:space="preserve">Money Market Funds </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85"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631</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80"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25"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9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680"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631</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sz w:val="20"/>
              </w:rPr>
            </w:pPr>
            <w:r>
              <w:rPr>
                <w:sz w:val="20"/>
              </w:rPr>
              <w:t>Total Financial Assets</w:t>
            </w:r>
          </w:p>
        </w:tc>
        <w:tc>
          <w:tcPr>
            <w:tcW w:w="155" w:type="dxa"/>
            <w:tcBorders>
              <w:bottom w:val="double" w:sz="6" w:space="0" w:color="000000"/>
            </w:tcBorders>
            <w:tcMar>
              <w:bottom w:w="28" w:type="dxa"/>
            </w:tcMar>
            <w:vAlign w:val="center"/>
          </w:tcPr>
          <w:p>
            <w:pPr>
              <w:pStyle w:val="TableContents"/>
              <w:bidi w:val="0"/>
              <w:spacing w:before="0" w:after="283"/>
              <w:jc w:val="left"/>
              <w:rPr>
                <w:sz w:val="20"/>
              </w:rPr>
            </w:pPr>
            <w:r>
              <w:rPr>
                <w:sz w:val="20"/>
              </w:rPr>
              <w:t>$</w:t>
            </w:r>
          </w:p>
        </w:tc>
        <w:tc>
          <w:tcPr>
            <w:tcW w:w="785" w:type="dxa"/>
            <w:tcBorders>
              <w:bottom w:val="double" w:sz="6" w:space="0" w:color="000000"/>
            </w:tcBorders>
            <w:tcMar>
              <w:bottom w:w="28" w:type="dxa"/>
            </w:tcMar>
            <w:vAlign w:val="center"/>
          </w:tcPr>
          <w:p>
            <w:pPr>
              <w:pStyle w:val="TableContents"/>
              <w:bidi w:val="0"/>
              <w:spacing w:before="0" w:after="283"/>
              <w:jc w:val="right"/>
              <w:rPr>
                <w:sz w:val="20"/>
              </w:rPr>
            </w:pPr>
            <w:r>
              <w:rPr>
                <w:sz w:val="20"/>
              </w:rPr>
              <w:t>631</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6" w:space="0" w:color="000000"/>
            </w:tcBorders>
            <w:tcMar>
              <w:bottom w:w="28" w:type="dxa"/>
            </w:tcMar>
            <w:vAlign w:val="center"/>
          </w:tcPr>
          <w:p>
            <w:pPr>
              <w:pStyle w:val="TableContents"/>
              <w:bidi w:val="0"/>
              <w:spacing w:before="0" w:after="283"/>
              <w:jc w:val="left"/>
              <w:rPr>
                <w:sz w:val="20"/>
              </w:rPr>
            </w:pPr>
            <w:r>
              <w:rPr>
                <w:sz w:val="20"/>
              </w:rPr>
              <w:t>$</w:t>
            </w:r>
          </w:p>
        </w:tc>
        <w:tc>
          <w:tcPr>
            <w:tcW w:w="980" w:type="dxa"/>
            <w:tcBorders>
              <w:bottom w:val="double" w:sz="6" w:space="0" w:color="000000"/>
            </w:tcBorders>
            <w:tcMar>
              <w:bottom w:w="28" w:type="dxa"/>
            </w:tcMar>
            <w:vAlign w:val="center"/>
          </w:tcPr>
          <w:p>
            <w:pPr>
              <w:pStyle w:val="TableContents"/>
              <w:bidi w:val="0"/>
              <w:spacing w:before="0" w:after="283"/>
              <w:jc w:val="right"/>
              <w:rPr>
                <w:sz w:val="20"/>
              </w:rPr>
            </w:pPr>
            <w:r>
              <w:rPr>
                <w:sz w:val="20"/>
              </w:rPr>
              <w:t>-</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6" w:space="0" w:color="000000"/>
            </w:tcBorders>
            <w:tcMar>
              <w:bottom w:w="28" w:type="dxa"/>
            </w:tcMar>
            <w:vAlign w:val="center"/>
          </w:tcPr>
          <w:p>
            <w:pPr>
              <w:pStyle w:val="TableContents"/>
              <w:bidi w:val="0"/>
              <w:spacing w:before="0" w:after="283"/>
              <w:jc w:val="left"/>
              <w:rPr>
                <w:sz w:val="20"/>
              </w:rPr>
            </w:pPr>
            <w:r>
              <w:rPr>
                <w:sz w:val="20"/>
              </w:rPr>
              <w:t>$</w:t>
            </w:r>
          </w:p>
        </w:tc>
        <w:tc>
          <w:tcPr>
            <w:tcW w:w="1025" w:type="dxa"/>
            <w:tcBorders>
              <w:bottom w:val="double" w:sz="6" w:space="0" w:color="000000"/>
            </w:tcBorders>
            <w:tcMar>
              <w:bottom w:w="28" w:type="dxa"/>
            </w:tcMar>
            <w:vAlign w:val="center"/>
          </w:tcPr>
          <w:p>
            <w:pPr>
              <w:pStyle w:val="TableContents"/>
              <w:bidi w:val="0"/>
              <w:spacing w:before="0" w:after="283"/>
              <w:jc w:val="right"/>
              <w:rPr>
                <w:sz w:val="20"/>
              </w:rPr>
            </w:pPr>
            <w:r>
              <w:rPr>
                <w:sz w:val="20"/>
              </w:rPr>
              <w:t>-</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6" w:space="0" w:color="000000"/>
            </w:tcBorders>
            <w:tcMar>
              <w:bottom w:w="28" w:type="dxa"/>
            </w:tcMar>
            <w:vAlign w:val="center"/>
          </w:tcPr>
          <w:p>
            <w:pPr>
              <w:pStyle w:val="TableContents"/>
              <w:bidi w:val="0"/>
              <w:spacing w:before="0" w:after="283"/>
              <w:jc w:val="left"/>
              <w:rPr>
                <w:sz w:val="20"/>
              </w:rPr>
            </w:pPr>
            <w:r>
              <w:rPr>
                <w:sz w:val="20"/>
              </w:rPr>
              <w:t>$</w:t>
            </w:r>
          </w:p>
        </w:tc>
        <w:tc>
          <w:tcPr>
            <w:tcW w:w="680" w:type="dxa"/>
            <w:tcBorders>
              <w:bottom w:val="double" w:sz="6" w:space="0" w:color="000000"/>
            </w:tcBorders>
            <w:tcMar>
              <w:bottom w:w="28" w:type="dxa"/>
            </w:tcMar>
            <w:vAlign w:val="center"/>
          </w:tcPr>
          <w:p>
            <w:pPr>
              <w:pStyle w:val="TableContents"/>
              <w:bidi w:val="0"/>
              <w:spacing w:before="0" w:after="283"/>
              <w:jc w:val="right"/>
              <w:rPr>
                <w:sz w:val="20"/>
              </w:rPr>
            </w:pPr>
            <w:r>
              <w:rPr>
                <w:sz w:val="20"/>
              </w:rPr>
              <w:t>631</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The warrant liabilities as of December 31, 2024 are measured at fair value on a recurring basis. The subsequent measurement of the warrant liabilities  is classified as Level 3 due to the use of an observable market quote in a non-active market and the management’s assumption of the expected stock price volatility. During the year ended December 2025, the warrant liability was reclassified to equity due to an amendment of the warrant agreement.</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F-14</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following table presents the fair value in the beginning of the period, the changes in the fair value, and the fair value at the end of the period of warrant liabilities:</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495"/>
        <w:gridCol w:w="155"/>
        <w:gridCol w:w="1477"/>
        <w:gridCol w:w="155"/>
        <w:gridCol w:w="90"/>
        <w:gridCol w:w="155"/>
        <w:gridCol w:w="1477"/>
        <w:gridCol w:w="201"/>
      </w:tblGrid>
      <w:tr>
        <w:trPr/>
        <w:tc>
          <w:tcPr>
            <w:tcW w:w="64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495" w:type="dxa"/>
            <w:tcBorders/>
            <w:vAlign w:val="center"/>
          </w:tcPr>
          <w:p>
            <w:pPr>
              <w:pStyle w:val="TableContents"/>
              <w:bidi w:val="0"/>
              <w:spacing w:before="0" w:after="283"/>
              <w:jc w:val="left"/>
              <w:rPr>
                <w:sz w:val="20"/>
              </w:rPr>
            </w:pPr>
            <w:r>
              <w:rPr>
                <w:sz w:val="20"/>
              </w:rPr>
              <w:t>Level 3:</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1477"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December 31, 2025</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1477"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December 31, 2024</w:t>
            </w:r>
          </w:p>
        </w:tc>
        <w:tc>
          <w:tcPr>
            <w:tcW w:w="20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495" w:type="dxa"/>
            <w:tcBorders/>
            <w:shd w:fill="CCEEFF" w:val="clear"/>
            <w:vAlign w:val="center"/>
          </w:tcPr>
          <w:p>
            <w:pPr>
              <w:pStyle w:val="TableContents"/>
              <w:bidi w:val="0"/>
              <w:spacing w:before="0" w:after="283"/>
              <w:jc w:val="left"/>
              <w:rPr>
                <w:sz w:val="20"/>
              </w:rPr>
            </w:pPr>
            <w:r>
              <w:rPr>
                <w:sz w:val="20"/>
              </w:rPr>
              <w:t>Fair value at inceptions for December 31, 2024 or the beginning of the period for December 31, 2025</w:t>
            </w:r>
          </w:p>
        </w:tc>
        <w:tc>
          <w:tcPr>
            <w:tcW w:w="155" w:type="dxa"/>
            <w:tcBorders/>
            <w:shd w:fill="CCEEFF" w:val="clear"/>
            <w:vAlign w:val="center"/>
          </w:tcPr>
          <w:p>
            <w:pPr>
              <w:pStyle w:val="TableContents"/>
              <w:bidi w:val="0"/>
              <w:spacing w:before="0" w:after="283"/>
              <w:jc w:val="left"/>
              <w:rPr>
                <w:sz w:val="20"/>
              </w:rPr>
            </w:pPr>
            <w:r>
              <w:rPr>
                <w:sz w:val="20"/>
              </w:rPr>
              <w:t>$</w:t>
            </w:r>
          </w:p>
        </w:tc>
        <w:tc>
          <w:tcPr>
            <w:tcW w:w="1477" w:type="dxa"/>
            <w:tcBorders/>
            <w:shd w:fill="CCEEFF" w:val="clear"/>
            <w:vAlign w:val="center"/>
          </w:tcPr>
          <w:p>
            <w:pPr>
              <w:pStyle w:val="TableContents"/>
              <w:bidi w:val="0"/>
              <w:spacing w:before="0" w:after="283"/>
              <w:jc w:val="right"/>
              <w:rPr>
                <w:sz w:val="20"/>
              </w:rPr>
            </w:pPr>
            <w:r>
              <w:rPr>
                <w:sz w:val="20"/>
              </w:rPr>
              <w:t>(10,131</w:t>
            </w:r>
          </w:p>
        </w:tc>
        <w:tc>
          <w:tcPr>
            <w:tcW w:w="155" w:type="dxa"/>
            <w:tcBorders/>
            <w:shd w:fill="CCEEFF" w:val="clear"/>
            <w:vAlign w:val="center"/>
          </w:tcPr>
          <w:p>
            <w:pPr>
              <w:pStyle w:val="TableContents"/>
              <w:bidi w:val="0"/>
              <w:spacing w:before="0" w:after="283"/>
              <w:jc w:val="left"/>
              <w:rPr>
                <w:sz w:val="20"/>
              </w:rPr>
            </w:pPr>
            <w:r>
              <w:rPr>
                <w:sz w:val="20"/>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1477" w:type="dxa"/>
            <w:tcBorders/>
            <w:shd w:fill="CCEEFF" w:val="clear"/>
            <w:vAlign w:val="center"/>
          </w:tcPr>
          <w:p>
            <w:pPr>
              <w:pStyle w:val="TableContents"/>
              <w:bidi w:val="0"/>
              <w:spacing w:before="0" w:after="283"/>
              <w:jc w:val="right"/>
              <w:rPr>
                <w:sz w:val="20"/>
              </w:rPr>
            </w:pPr>
            <w:r>
              <w:rPr>
                <w:sz w:val="20"/>
              </w:rPr>
              <w:t>(19,703</w:t>
            </w:r>
          </w:p>
        </w:tc>
        <w:tc>
          <w:tcPr>
            <w:tcW w:w="201" w:type="dxa"/>
            <w:tcBorders/>
            <w:shd w:fill="CCEEFF" w:val="clear"/>
            <w:vAlign w:val="center"/>
          </w:tcPr>
          <w:p>
            <w:pPr>
              <w:pStyle w:val="TableContents"/>
              <w:bidi w:val="0"/>
              <w:spacing w:before="0" w:after="283"/>
              <w:jc w:val="left"/>
              <w:rPr>
                <w:sz w:val="20"/>
              </w:rPr>
            </w:pPr>
            <w:r>
              <w:rPr>
                <w:sz w:val="20"/>
              </w:rPr>
              <w:t>) </w:t>
            </w:r>
          </w:p>
        </w:tc>
      </w:tr>
      <w:tr>
        <w:trPr/>
        <w:tc>
          <w:tcPr>
            <w:tcW w:w="6495" w:type="dxa"/>
            <w:tcBorders/>
            <w:vAlign w:val="center"/>
          </w:tcPr>
          <w:p>
            <w:pPr>
              <w:pStyle w:val="TableContents"/>
              <w:bidi w:val="0"/>
              <w:spacing w:before="0" w:after="283"/>
              <w:jc w:val="left"/>
              <w:rPr>
                <w:sz w:val="20"/>
              </w:rPr>
            </w:pPr>
            <w:r>
              <w:rPr>
                <w:sz w:val="20"/>
              </w:rPr>
              <w:t>Warrants issued with Private Placement</w:t>
            </w:r>
          </w:p>
        </w:tc>
        <w:tc>
          <w:tcPr>
            <w:tcW w:w="155"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right"/>
              <w:rPr>
                <w:sz w:val="20"/>
              </w:rPr>
            </w:pPr>
            <w:r>
              <w:rPr>
                <w:sz w:val="20"/>
              </w:rPr>
              <w:t>(5,178</w:t>
            </w:r>
          </w:p>
        </w:tc>
        <w:tc>
          <w:tcPr>
            <w:tcW w:w="155" w:type="dxa"/>
            <w:tcBorders/>
            <w:vAlign w:val="center"/>
          </w:tcPr>
          <w:p>
            <w:pPr>
              <w:pStyle w:val="TableContents"/>
              <w:bidi w:val="0"/>
              <w:spacing w:before="0" w:after="283"/>
              <w:jc w:val="left"/>
              <w:rPr>
                <w:sz w:val="20"/>
              </w:rPr>
            </w:pPr>
            <w:r>
              <w:rPr>
                <w:sz w:val="20"/>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right"/>
              <w:rPr>
                <w:sz w:val="20"/>
              </w:rPr>
            </w:pPr>
            <w:r>
              <w:rPr>
                <w:sz w:val="20"/>
              </w:rPr>
              <w:t>-</w:t>
            </w:r>
          </w:p>
        </w:tc>
        <w:tc>
          <w:tcPr>
            <w:tcW w:w="201" w:type="dxa"/>
            <w:tcBorders/>
            <w:vAlign w:val="center"/>
          </w:tcPr>
          <w:p>
            <w:pPr>
              <w:pStyle w:val="TableContents"/>
              <w:bidi w:val="0"/>
              <w:spacing w:before="0" w:after="283"/>
              <w:jc w:val="left"/>
              <w:rPr/>
            </w:pPr>
            <w:r>
              <w:rPr/>
              <w:t> </w:t>
            </w:r>
          </w:p>
        </w:tc>
      </w:tr>
      <w:tr>
        <w:trPr/>
        <w:tc>
          <w:tcPr>
            <w:tcW w:w="6495" w:type="dxa"/>
            <w:tcBorders/>
            <w:shd w:fill="CCEEFF" w:val="clear"/>
            <w:vAlign w:val="center"/>
          </w:tcPr>
          <w:p>
            <w:pPr>
              <w:pStyle w:val="TableContents"/>
              <w:bidi w:val="0"/>
              <w:spacing w:before="0" w:after="283"/>
              <w:jc w:val="left"/>
              <w:rPr>
                <w:sz w:val="20"/>
              </w:rPr>
            </w:pPr>
            <w:r>
              <w:rPr>
                <w:sz w:val="20"/>
              </w:rPr>
              <w:t>Change in fair value of warrant liabilities</w:t>
            </w:r>
          </w:p>
        </w:tc>
        <w:tc>
          <w:tcPr>
            <w:tcW w:w="155" w:type="dxa"/>
            <w:tcBorders/>
            <w:shd w:fill="CCEEFF" w:val="clear"/>
            <w:vAlign w:val="center"/>
          </w:tcPr>
          <w:p>
            <w:pPr>
              <w:pStyle w:val="TableContents"/>
              <w:bidi w:val="0"/>
              <w:spacing w:before="0" w:after="283"/>
              <w:jc w:val="left"/>
              <w:rPr/>
            </w:pPr>
            <w:r>
              <w:rPr/>
              <w:t> </w:t>
            </w:r>
          </w:p>
        </w:tc>
        <w:tc>
          <w:tcPr>
            <w:tcW w:w="1477" w:type="dxa"/>
            <w:tcBorders/>
            <w:shd w:fill="CCEEFF" w:val="clear"/>
            <w:vAlign w:val="center"/>
          </w:tcPr>
          <w:p>
            <w:pPr>
              <w:pStyle w:val="TableContents"/>
              <w:bidi w:val="0"/>
              <w:spacing w:before="0" w:after="283"/>
              <w:jc w:val="right"/>
              <w:rPr>
                <w:sz w:val="20"/>
              </w:rPr>
            </w:pPr>
            <w:r>
              <w:rPr>
                <w:sz w:val="20"/>
              </w:rPr>
              <w:t>3,158</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77" w:type="dxa"/>
            <w:tcBorders/>
            <w:shd w:fill="CCEEFF" w:val="clear"/>
            <w:vAlign w:val="center"/>
          </w:tcPr>
          <w:p>
            <w:pPr>
              <w:pStyle w:val="TableContents"/>
              <w:bidi w:val="0"/>
              <w:spacing w:before="0" w:after="283"/>
              <w:jc w:val="right"/>
              <w:rPr>
                <w:sz w:val="20"/>
              </w:rPr>
            </w:pPr>
            <w:r>
              <w:rPr>
                <w:sz w:val="20"/>
              </w:rPr>
              <w:t>9,572</w:t>
            </w:r>
          </w:p>
        </w:tc>
        <w:tc>
          <w:tcPr>
            <w:tcW w:w="201" w:type="dxa"/>
            <w:tcBorders/>
            <w:shd w:fill="CCEEFF" w:val="clear"/>
            <w:vAlign w:val="center"/>
          </w:tcPr>
          <w:p>
            <w:pPr>
              <w:pStyle w:val="TableContents"/>
              <w:bidi w:val="0"/>
              <w:spacing w:before="0" w:after="283"/>
              <w:jc w:val="left"/>
              <w:rPr/>
            </w:pPr>
            <w:r>
              <w:rPr/>
              <w:t> </w:t>
            </w:r>
          </w:p>
        </w:tc>
      </w:tr>
      <w:tr>
        <w:trPr/>
        <w:tc>
          <w:tcPr>
            <w:tcW w:w="6495" w:type="dxa"/>
            <w:tcBorders/>
            <w:vAlign w:val="center"/>
          </w:tcPr>
          <w:p>
            <w:pPr>
              <w:pStyle w:val="TableContents"/>
              <w:bidi w:val="0"/>
              <w:spacing w:before="0" w:after="283"/>
              <w:jc w:val="left"/>
              <w:rPr>
                <w:sz w:val="20"/>
              </w:rPr>
            </w:pPr>
            <w:r>
              <w:rPr>
                <w:sz w:val="20"/>
              </w:rPr>
              <w:t>Reclassification of warrant liabilities to equity</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1477" w:type="dxa"/>
            <w:tcBorders>
              <w:bottom w:val="single" w:sz="2" w:space="0" w:color="000000"/>
            </w:tcBorders>
            <w:tcMar>
              <w:bottom w:w="28" w:type="dxa"/>
            </w:tcMar>
            <w:vAlign w:val="center"/>
          </w:tcPr>
          <w:p>
            <w:pPr>
              <w:pStyle w:val="TableContents"/>
              <w:bidi w:val="0"/>
              <w:spacing w:before="0" w:after="283"/>
              <w:jc w:val="right"/>
              <w:rPr>
                <w:sz w:val="20"/>
              </w:rPr>
            </w:pPr>
            <w:r>
              <w:rPr>
                <w:sz w:val="20"/>
              </w:rPr>
              <w:t>12,151</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1477" w:type="dxa"/>
            <w:tcBorders>
              <w:bottom w:val="single" w:sz="2" w:space="0" w:color="000000"/>
            </w:tcBorders>
            <w:tcMar>
              <w:bottom w:w="28" w:type="dxa"/>
            </w:tcMar>
            <w:vAlign w:val="center"/>
          </w:tcPr>
          <w:p>
            <w:pPr>
              <w:pStyle w:val="TableContents"/>
              <w:bidi w:val="0"/>
              <w:spacing w:before="0" w:after="283"/>
              <w:jc w:val="right"/>
              <w:rPr>
                <w:sz w:val="20"/>
              </w:rPr>
            </w:pPr>
            <w:r>
              <w:rPr>
                <w:sz w:val="20"/>
              </w:rPr>
              <w:t>-</w:t>
            </w:r>
          </w:p>
        </w:tc>
        <w:tc>
          <w:tcPr>
            <w:tcW w:w="20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495" w:type="dxa"/>
            <w:tcBorders/>
            <w:shd w:fill="CCEEFF" w:val="clear"/>
            <w:vAlign w:val="center"/>
          </w:tcPr>
          <w:p>
            <w:pPr>
              <w:pStyle w:val="TableContents"/>
              <w:bidi w:val="0"/>
              <w:spacing w:before="0" w:after="283"/>
              <w:jc w:val="left"/>
              <w:rPr>
                <w:sz w:val="20"/>
              </w:rPr>
            </w:pPr>
            <w:r>
              <w:rPr>
                <w:sz w:val="20"/>
              </w:rPr>
              <w:t>Fair value as of period end</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47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47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(10,131</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 </w:t>
            </w:r>
          </w:p>
        </w:tc>
      </w:tr>
    </w:tbl>
    <w:p>
      <w:pPr>
        <w:pStyle w:val="TextBody"/>
        <w:bidi w:val="0"/>
        <w:spacing w:before="0" w:after="0"/>
        <w:jc w:val="left"/>
        <w:rPr/>
      </w:pPr>
      <w:r>
        <w:rPr/>
        <w:t> </w:t>
      </w:r>
    </w:p>
    <w:tbl>
      <w:tblPr>
        <w:tblW w:w="5623" w:type="dxa"/>
        <w:jc w:val="left"/>
        <w:tblInd w:w="0" w:type="dxa"/>
        <w:tblLayout w:type="fixed"/>
        <w:tblCellMar>
          <w:top w:w="0" w:type="dxa"/>
          <w:left w:w="0" w:type="dxa"/>
          <w:bottom w:w="0" w:type="dxa"/>
          <w:right w:w="0" w:type="dxa"/>
        </w:tblCellMar>
      </w:tblPr>
      <w:tblGrid>
        <w:gridCol w:w="5525"/>
        <w:gridCol w:w="98"/>
      </w:tblGrid>
      <w:tr>
        <w:trPr/>
        <w:tc>
          <w:tcPr>
            <w:tcW w:w="5525" w:type="dxa"/>
            <w:tcBorders/>
            <w:vAlign w:val="center"/>
          </w:tcPr>
          <w:p>
            <w:pPr>
              <w:pStyle w:val="TableContents"/>
              <w:bidi w:val="0"/>
              <w:spacing w:before="0" w:after="283"/>
              <w:jc w:val="left"/>
              <w:rPr>
                <w:sz w:val="20"/>
              </w:rPr>
            </w:pPr>
            <w:r>
              <w:rPr>
                <w:sz w:val="20"/>
              </w:rPr>
              <w:t>MONTE CARLO SIMULATION MODEL - SERIES A WARRANTS</w:t>
            </w:r>
          </w:p>
        </w:tc>
        <w:tc>
          <w:tcPr>
            <w:tcW w:w="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t> </w:t>
      </w:r>
    </w:p>
    <w:tbl>
      <w:tblPr>
        <w:tblW w:w="4790" w:type="dxa"/>
        <w:jc w:val="left"/>
        <w:tblInd w:w="0" w:type="dxa"/>
        <w:tblLayout w:type="fixed"/>
        <w:tblCellMar>
          <w:top w:w="0" w:type="dxa"/>
          <w:left w:w="0" w:type="dxa"/>
          <w:bottom w:w="0" w:type="dxa"/>
          <w:right w:w="0" w:type="dxa"/>
        </w:tblCellMar>
      </w:tblPr>
      <w:tblGrid>
        <w:gridCol w:w="2570"/>
        <w:gridCol w:w="155"/>
        <w:gridCol w:w="1805"/>
        <w:gridCol w:w="260"/>
      </w:tblGrid>
      <w:tr>
        <w:trPr/>
        <w:tc>
          <w:tcPr>
            <w:tcW w:w="25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57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center"/>
              <w:rPr>
                <w:b/>
                <w:sz w:val="20"/>
              </w:rPr>
            </w:pPr>
            <w:r>
              <w:rPr>
                <w:b/>
                <w:sz w:val="20"/>
              </w:rPr>
              <w:t xml:space="preserve">As of </w:t>
            </w:r>
          </w:p>
        </w:tc>
        <w:tc>
          <w:tcPr>
            <w:tcW w:w="26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1805"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June 30, 2025</w:t>
            </w:r>
          </w:p>
        </w:tc>
        <w:tc>
          <w:tcPr>
            <w:tcW w:w="2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center"/>
              <w:rPr>
                <w:i/>
                <w:sz w:val="20"/>
              </w:rPr>
            </w:pPr>
            <w:r>
              <w:rPr>
                <w:i/>
                <w:sz w:val="20"/>
              </w:rPr>
              <w:t>Reclassification Date</w:t>
            </w:r>
          </w:p>
        </w:tc>
        <w:tc>
          <w:tcPr>
            <w:tcW w:w="26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sz w:val="20"/>
              </w:rPr>
            </w:pPr>
            <w:r>
              <w:rPr>
                <w:sz w:val="20"/>
              </w:rPr>
              <w:t>Expected stock price volatility</w:t>
            </w:r>
          </w:p>
        </w:tc>
        <w:tc>
          <w:tcPr>
            <w:tcW w:w="155" w:type="dxa"/>
            <w:tcBorders/>
            <w:shd w:fill="CCEEFF" w:val="clear"/>
            <w:vAlign w:val="center"/>
          </w:tcPr>
          <w:p>
            <w:pPr>
              <w:pStyle w:val="TableContents"/>
              <w:bidi w:val="0"/>
              <w:spacing w:before="0" w:after="283"/>
              <w:jc w:val="left"/>
              <w:rPr/>
            </w:pPr>
            <w:r>
              <w:rPr/>
              <w:t> </w:t>
            </w:r>
          </w:p>
        </w:tc>
        <w:tc>
          <w:tcPr>
            <w:tcW w:w="1805" w:type="dxa"/>
            <w:tcBorders/>
            <w:shd w:fill="CCEEFF" w:val="clear"/>
            <w:vAlign w:val="center"/>
          </w:tcPr>
          <w:p>
            <w:pPr>
              <w:pStyle w:val="TableContents"/>
              <w:bidi w:val="0"/>
              <w:spacing w:before="0" w:after="283"/>
              <w:jc w:val="right"/>
              <w:rPr>
                <w:sz w:val="20"/>
              </w:rPr>
            </w:pPr>
            <w:r>
              <w:rPr>
                <w:sz w:val="20"/>
              </w:rPr>
              <w:t>86</w:t>
            </w:r>
          </w:p>
        </w:tc>
        <w:tc>
          <w:tcPr>
            <w:tcW w:w="260" w:type="dxa"/>
            <w:tcBorders/>
            <w:shd w:fill="CCEEFF" w:val="clear"/>
            <w:vAlign w:val="center"/>
          </w:tcPr>
          <w:p>
            <w:pPr>
              <w:pStyle w:val="TableContents"/>
              <w:bidi w:val="0"/>
              <w:spacing w:before="0" w:after="283"/>
              <w:jc w:val="left"/>
              <w:rPr>
                <w:sz w:val="20"/>
              </w:rPr>
            </w:pPr>
            <w:r>
              <w:rPr>
                <w:sz w:val="20"/>
              </w:rPr>
              <w:t>%</w:t>
            </w:r>
          </w:p>
        </w:tc>
      </w:tr>
      <w:tr>
        <w:trPr/>
        <w:tc>
          <w:tcPr>
            <w:tcW w:w="2570" w:type="dxa"/>
            <w:tcBorders/>
            <w:vAlign w:val="center"/>
          </w:tcPr>
          <w:p>
            <w:pPr>
              <w:pStyle w:val="TableContents"/>
              <w:bidi w:val="0"/>
              <w:spacing w:before="0" w:after="283"/>
              <w:jc w:val="left"/>
              <w:rPr>
                <w:sz w:val="20"/>
              </w:rPr>
            </w:pPr>
            <w:r>
              <w:rPr>
                <w:sz w:val="20"/>
              </w:rPr>
              <w:t>Risk-free interest rate</w:t>
            </w:r>
          </w:p>
        </w:tc>
        <w:tc>
          <w:tcPr>
            <w:tcW w:w="15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right"/>
              <w:rPr>
                <w:sz w:val="20"/>
              </w:rPr>
            </w:pPr>
            <w:r>
              <w:rPr>
                <w:sz w:val="20"/>
              </w:rPr>
              <w:t>3.73</w:t>
            </w:r>
          </w:p>
        </w:tc>
        <w:tc>
          <w:tcPr>
            <w:tcW w:w="260" w:type="dxa"/>
            <w:tcBorders/>
            <w:vAlign w:val="center"/>
          </w:tcPr>
          <w:p>
            <w:pPr>
              <w:pStyle w:val="TableContents"/>
              <w:bidi w:val="0"/>
              <w:spacing w:before="0" w:after="283"/>
              <w:jc w:val="left"/>
              <w:rPr>
                <w:sz w:val="20"/>
              </w:rPr>
            </w:pPr>
            <w:r>
              <w:rPr>
                <w:sz w:val="20"/>
              </w:rPr>
              <w:t>%</w:t>
            </w:r>
          </w:p>
        </w:tc>
      </w:tr>
      <w:tr>
        <w:trPr/>
        <w:tc>
          <w:tcPr>
            <w:tcW w:w="2570" w:type="dxa"/>
            <w:tcBorders/>
            <w:shd w:fill="CCEEFF" w:val="clear"/>
            <w:vAlign w:val="center"/>
          </w:tcPr>
          <w:p>
            <w:pPr>
              <w:pStyle w:val="TableContents"/>
              <w:bidi w:val="0"/>
              <w:spacing w:before="0" w:after="283"/>
              <w:jc w:val="left"/>
              <w:rPr>
                <w:sz w:val="20"/>
              </w:rPr>
            </w:pPr>
            <w:r>
              <w:rPr>
                <w:sz w:val="20"/>
              </w:rPr>
              <w:t>Dividends yield</w:t>
            </w:r>
          </w:p>
        </w:tc>
        <w:tc>
          <w:tcPr>
            <w:tcW w:w="155" w:type="dxa"/>
            <w:tcBorders/>
            <w:shd w:fill="CCEEFF" w:val="clear"/>
            <w:vAlign w:val="center"/>
          </w:tcPr>
          <w:p>
            <w:pPr>
              <w:pStyle w:val="TableContents"/>
              <w:bidi w:val="0"/>
              <w:spacing w:before="0" w:after="283"/>
              <w:jc w:val="left"/>
              <w:rPr/>
            </w:pPr>
            <w:r>
              <w:rPr/>
              <w:t> </w:t>
            </w:r>
          </w:p>
        </w:tc>
        <w:tc>
          <w:tcPr>
            <w:tcW w:w="1805" w:type="dxa"/>
            <w:tcBorders/>
            <w:shd w:fill="CCEEFF" w:val="clear"/>
            <w:vAlign w:val="center"/>
          </w:tcPr>
          <w:p>
            <w:pPr>
              <w:pStyle w:val="TableContents"/>
              <w:bidi w:val="0"/>
              <w:spacing w:before="0" w:after="283"/>
              <w:jc w:val="right"/>
              <w:rPr>
                <w:sz w:val="20"/>
              </w:rPr>
            </w:pPr>
            <w:r>
              <w:rPr>
                <w:sz w:val="20"/>
              </w:rPr>
              <w:t>0</w:t>
            </w:r>
          </w:p>
        </w:tc>
        <w:tc>
          <w:tcPr>
            <w:tcW w:w="260" w:type="dxa"/>
            <w:tcBorders/>
            <w:shd w:fill="CCEEFF" w:val="clear"/>
            <w:vAlign w:val="center"/>
          </w:tcPr>
          <w:p>
            <w:pPr>
              <w:pStyle w:val="TableContents"/>
              <w:bidi w:val="0"/>
              <w:spacing w:before="0" w:after="283"/>
              <w:jc w:val="left"/>
              <w:rPr>
                <w:sz w:val="20"/>
              </w:rPr>
            </w:pPr>
            <w:r>
              <w:rPr>
                <w:sz w:val="20"/>
              </w:rPr>
              <w:t>%</w:t>
            </w:r>
          </w:p>
        </w:tc>
      </w:tr>
      <w:tr>
        <w:trPr/>
        <w:tc>
          <w:tcPr>
            <w:tcW w:w="2570" w:type="dxa"/>
            <w:tcBorders/>
            <w:vAlign w:val="center"/>
          </w:tcPr>
          <w:p>
            <w:pPr>
              <w:pStyle w:val="TableContents"/>
              <w:bidi w:val="0"/>
              <w:spacing w:before="0" w:after="283"/>
              <w:jc w:val="left"/>
              <w:rPr>
                <w:sz w:val="20"/>
              </w:rPr>
            </w:pPr>
            <w:r>
              <w:rPr>
                <w:sz w:val="20"/>
              </w:rPr>
              <w:t>Terms (years)</w:t>
            </w:r>
          </w:p>
        </w:tc>
        <w:tc>
          <w:tcPr>
            <w:tcW w:w="15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right"/>
              <w:rPr>
                <w:sz w:val="20"/>
              </w:rPr>
            </w:pPr>
            <w:r>
              <w:rPr>
                <w:sz w:val="20"/>
              </w:rPr>
              <w:t>4.5</w:t>
            </w:r>
          </w:p>
        </w:tc>
        <w:tc>
          <w:tcPr>
            <w:tcW w:w="26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sz w:val="20"/>
              </w:rPr>
            </w:pPr>
            <w:r>
              <w:rPr>
                <w:sz w:val="20"/>
              </w:rPr>
              <w:t>Strike Price</w:t>
            </w:r>
          </w:p>
        </w:tc>
        <w:tc>
          <w:tcPr>
            <w:tcW w:w="155" w:type="dxa"/>
            <w:tcBorders/>
            <w:shd w:fill="CCEEFF" w:val="clear"/>
            <w:vAlign w:val="center"/>
          </w:tcPr>
          <w:p>
            <w:pPr>
              <w:pStyle w:val="TableContents"/>
              <w:bidi w:val="0"/>
              <w:spacing w:before="0" w:after="283"/>
              <w:jc w:val="left"/>
              <w:rPr>
                <w:sz w:val="20"/>
              </w:rPr>
            </w:pPr>
            <w:r>
              <w:rPr>
                <w:sz w:val="20"/>
              </w:rPr>
              <w:t>$</w:t>
            </w:r>
          </w:p>
        </w:tc>
        <w:tc>
          <w:tcPr>
            <w:tcW w:w="1805" w:type="dxa"/>
            <w:tcBorders/>
            <w:shd w:fill="CCEEFF" w:val="clear"/>
            <w:vAlign w:val="center"/>
          </w:tcPr>
          <w:p>
            <w:pPr>
              <w:pStyle w:val="TableContents"/>
              <w:bidi w:val="0"/>
              <w:spacing w:before="0" w:after="283"/>
              <w:jc w:val="right"/>
              <w:rPr>
                <w:sz w:val="20"/>
              </w:rPr>
            </w:pPr>
            <w:r>
              <w:rPr>
                <w:sz w:val="20"/>
              </w:rPr>
              <w:t>1.45</w:t>
            </w:r>
          </w:p>
        </w:tc>
        <w:tc>
          <w:tcPr>
            <w:tcW w:w="260" w:type="dxa"/>
            <w:tcBorders/>
            <w:shd w:fill="CCEEFF" w:val="clear"/>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sz w:val="20"/>
              </w:rPr>
            </w:pPr>
            <w:r>
              <w:rPr>
                <w:sz w:val="20"/>
              </w:rPr>
              <w:t>Stock Price</w:t>
            </w:r>
          </w:p>
        </w:tc>
        <w:tc>
          <w:tcPr>
            <w:tcW w:w="155" w:type="dxa"/>
            <w:tcBorders/>
            <w:vAlign w:val="center"/>
          </w:tcPr>
          <w:p>
            <w:pPr>
              <w:pStyle w:val="TableContents"/>
              <w:bidi w:val="0"/>
              <w:spacing w:before="0" w:after="283"/>
              <w:jc w:val="left"/>
              <w:rPr>
                <w:sz w:val="20"/>
              </w:rPr>
            </w:pPr>
            <w:r>
              <w:rPr>
                <w:sz w:val="20"/>
              </w:rPr>
              <w:t>$</w:t>
            </w:r>
          </w:p>
        </w:tc>
        <w:tc>
          <w:tcPr>
            <w:tcW w:w="1805" w:type="dxa"/>
            <w:tcBorders/>
            <w:vAlign w:val="center"/>
          </w:tcPr>
          <w:p>
            <w:pPr>
              <w:pStyle w:val="TableContents"/>
              <w:bidi w:val="0"/>
              <w:spacing w:before="0" w:after="283"/>
              <w:jc w:val="right"/>
              <w:rPr>
                <w:sz w:val="20"/>
              </w:rPr>
            </w:pPr>
            <w:r>
              <w:rPr>
                <w:sz w:val="20"/>
              </w:rPr>
              <w:t>1.56</w:t>
            </w:r>
          </w:p>
        </w:tc>
        <w:tc>
          <w:tcPr>
            <w:tcW w:w="26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sz w:val="20"/>
              </w:rPr>
            </w:pPr>
            <w:r>
              <w:rPr>
                <w:sz w:val="20"/>
              </w:rPr>
              <w:t>Fair Value Per Warrant Share</w:t>
            </w:r>
          </w:p>
        </w:tc>
        <w:tc>
          <w:tcPr>
            <w:tcW w:w="155" w:type="dxa"/>
            <w:tcBorders/>
            <w:shd w:fill="CCEEFF" w:val="clear"/>
            <w:vAlign w:val="center"/>
          </w:tcPr>
          <w:p>
            <w:pPr>
              <w:pStyle w:val="TableContents"/>
              <w:bidi w:val="0"/>
              <w:spacing w:before="0" w:after="283"/>
              <w:jc w:val="left"/>
              <w:rPr>
                <w:sz w:val="20"/>
              </w:rPr>
            </w:pPr>
            <w:r>
              <w:rPr>
                <w:sz w:val="20"/>
              </w:rPr>
              <w:t>$</w:t>
            </w:r>
          </w:p>
        </w:tc>
        <w:tc>
          <w:tcPr>
            <w:tcW w:w="1805" w:type="dxa"/>
            <w:tcBorders/>
            <w:shd w:fill="CCEEFF" w:val="clear"/>
            <w:vAlign w:val="center"/>
          </w:tcPr>
          <w:p>
            <w:pPr>
              <w:pStyle w:val="TableContents"/>
              <w:bidi w:val="0"/>
              <w:spacing w:before="0" w:after="283"/>
              <w:jc w:val="right"/>
              <w:rPr>
                <w:sz w:val="20"/>
              </w:rPr>
            </w:pPr>
            <w:r>
              <w:rPr>
                <w:sz w:val="20"/>
              </w:rPr>
              <w:t>1.235</w:t>
            </w:r>
          </w:p>
        </w:tc>
        <w:tc>
          <w:tcPr>
            <w:tcW w:w="26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w:t>
      </w:r>
    </w:p>
    <w:tbl>
      <w:tblPr>
        <w:tblW w:w="6298" w:type="dxa"/>
        <w:jc w:val="left"/>
        <w:tblInd w:w="0" w:type="dxa"/>
        <w:tblLayout w:type="fixed"/>
        <w:tblCellMar>
          <w:top w:w="0" w:type="dxa"/>
          <w:left w:w="0" w:type="dxa"/>
          <w:bottom w:w="0" w:type="dxa"/>
          <w:right w:w="0" w:type="dxa"/>
        </w:tblCellMar>
      </w:tblPr>
      <w:tblGrid>
        <w:gridCol w:w="6200"/>
        <w:gridCol w:w="98"/>
      </w:tblGrid>
      <w:tr>
        <w:trPr/>
        <w:tc>
          <w:tcPr>
            <w:tcW w:w="6200" w:type="dxa"/>
            <w:tcBorders/>
            <w:vAlign w:val="center"/>
          </w:tcPr>
          <w:p>
            <w:pPr>
              <w:pStyle w:val="TableContents"/>
              <w:bidi w:val="0"/>
              <w:spacing w:before="0" w:after="283"/>
              <w:jc w:val="left"/>
              <w:rPr>
                <w:sz w:val="20"/>
              </w:rPr>
            </w:pPr>
            <w:r>
              <w:rPr>
                <w:sz w:val="20"/>
              </w:rPr>
              <w:t>MONTE CARLO SIMULATION MODEL - FEBRUARY 2025 WARRANTS</w:t>
            </w:r>
          </w:p>
        </w:tc>
        <w:tc>
          <w:tcPr>
            <w:tcW w:w="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t> </w:t>
      </w:r>
    </w:p>
    <w:tbl>
      <w:tblPr>
        <w:tblW w:w="4790" w:type="dxa"/>
        <w:jc w:val="left"/>
        <w:tblInd w:w="0" w:type="dxa"/>
        <w:tblLayout w:type="fixed"/>
        <w:tblCellMar>
          <w:top w:w="0" w:type="dxa"/>
          <w:left w:w="0" w:type="dxa"/>
          <w:bottom w:w="0" w:type="dxa"/>
          <w:right w:w="0" w:type="dxa"/>
        </w:tblCellMar>
      </w:tblPr>
      <w:tblGrid>
        <w:gridCol w:w="2570"/>
        <w:gridCol w:w="155"/>
        <w:gridCol w:w="1805"/>
        <w:gridCol w:w="260"/>
      </w:tblGrid>
      <w:tr>
        <w:trPr/>
        <w:tc>
          <w:tcPr>
            <w:tcW w:w="257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257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center"/>
              <w:rPr>
                <w:b/>
                <w:sz w:val="20"/>
              </w:rPr>
            </w:pPr>
            <w:r>
              <w:rPr>
                <w:b/>
                <w:sz w:val="20"/>
              </w:rPr>
              <w:t xml:space="preserve">As of </w:t>
            </w:r>
          </w:p>
        </w:tc>
        <w:tc>
          <w:tcPr>
            <w:tcW w:w="260" w:type="dxa"/>
            <w:tcBorders/>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1805"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June 30, 2025</w:t>
            </w:r>
          </w:p>
        </w:tc>
        <w:tc>
          <w:tcPr>
            <w:tcW w:w="2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center"/>
              <w:rPr>
                <w:i/>
                <w:sz w:val="20"/>
              </w:rPr>
            </w:pPr>
            <w:r>
              <w:rPr>
                <w:i/>
                <w:sz w:val="20"/>
              </w:rPr>
              <w:t>Reclassification Date</w:t>
            </w:r>
          </w:p>
        </w:tc>
        <w:tc>
          <w:tcPr>
            <w:tcW w:w="26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sz w:val="20"/>
              </w:rPr>
            </w:pPr>
            <w:r>
              <w:rPr>
                <w:sz w:val="20"/>
              </w:rPr>
              <w:t>Expected stock price volatility</w:t>
            </w:r>
          </w:p>
        </w:tc>
        <w:tc>
          <w:tcPr>
            <w:tcW w:w="155" w:type="dxa"/>
            <w:tcBorders/>
            <w:shd w:fill="CCEEFF" w:val="clear"/>
            <w:vAlign w:val="center"/>
          </w:tcPr>
          <w:p>
            <w:pPr>
              <w:pStyle w:val="TableContents"/>
              <w:bidi w:val="0"/>
              <w:spacing w:before="0" w:after="283"/>
              <w:jc w:val="left"/>
              <w:rPr/>
            </w:pPr>
            <w:r>
              <w:rPr/>
              <w:t> </w:t>
            </w:r>
          </w:p>
        </w:tc>
        <w:tc>
          <w:tcPr>
            <w:tcW w:w="1805" w:type="dxa"/>
            <w:tcBorders/>
            <w:shd w:fill="CCEEFF" w:val="clear"/>
            <w:vAlign w:val="center"/>
          </w:tcPr>
          <w:p>
            <w:pPr>
              <w:pStyle w:val="TableContents"/>
              <w:bidi w:val="0"/>
              <w:spacing w:before="0" w:after="283"/>
              <w:jc w:val="right"/>
              <w:rPr>
                <w:sz w:val="20"/>
              </w:rPr>
            </w:pPr>
            <w:r>
              <w:rPr>
                <w:sz w:val="20"/>
              </w:rPr>
              <w:t>89</w:t>
            </w:r>
          </w:p>
        </w:tc>
        <w:tc>
          <w:tcPr>
            <w:tcW w:w="260" w:type="dxa"/>
            <w:tcBorders/>
            <w:shd w:fill="CCEEFF" w:val="clear"/>
            <w:vAlign w:val="center"/>
          </w:tcPr>
          <w:p>
            <w:pPr>
              <w:pStyle w:val="TableContents"/>
              <w:bidi w:val="0"/>
              <w:spacing w:before="0" w:after="283"/>
              <w:jc w:val="left"/>
              <w:rPr>
                <w:sz w:val="20"/>
              </w:rPr>
            </w:pPr>
            <w:r>
              <w:rPr>
                <w:sz w:val="20"/>
              </w:rPr>
              <w:t>%</w:t>
            </w:r>
          </w:p>
        </w:tc>
      </w:tr>
      <w:tr>
        <w:trPr/>
        <w:tc>
          <w:tcPr>
            <w:tcW w:w="2570" w:type="dxa"/>
            <w:tcBorders/>
            <w:vAlign w:val="center"/>
          </w:tcPr>
          <w:p>
            <w:pPr>
              <w:pStyle w:val="TableContents"/>
              <w:bidi w:val="0"/>
              <w:spacing w:before="0" w:after="283"/>
              <w:jc w:val="left"/>
              <w:rPr>
                <w:sz w:val="20"/>
              </w:rPr>
            </w:pPr>
            <w:r>
              <w:rPr>
                <w:sz w:val="20"/>
              </w:rPr>
              <w:t>Risk-free interest rate</w:t>
            </w:r>
          </w:p>
        </w:tc>
        <w:tc>
          <w:tcPr>
            <w:tcW w:w="15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right"/>
              <w:rPr>
                <w:sz w:val="20"/>
              </w:rPr>
            </w:pPr>
            <w:r>
              <w:rPr>
                <w:sz w:val="20"/>
              </w:rPr>
              <w:t>3.77</w:t>
            </w:r>
          </w:p>
        </w:tc>
        <w:tc>
          <w:tcPr>
            <w:tcW w:w="260" w:type="dxa"/>
            <w:tcBorders/>
            <w:vAlign w:val="center"/>
          </w:tcPr>
          <w:p>
            <w:pPr>
              <w:pStyle w:val="TableContents"/>
              <w:bidi w:val="0"/>
              <w:spacing w:before="0" w:after="283"/>
              <w:jc w:val="left"/>
              <w:rPr>
                <w:sz w:val="20"/>
              </w:rPr>
            </w:pPr>
            <w:r>
              <w:rPr>
                <w:sz w:val="20"/>
              </w:rPr>
              <w:t>%</w:t>
            </w:r>
          </w:p>
        </w:tc>
      </w:tr>
      <w:tr>
        <w:trPr/>
        <w:tc>
          <w:tcPr>
            <w:tcW w:w="2570" w:type="dxa"/>
            <w:tcBorders/>
            <w:shd w:fill="CCEEFF" w:val="clear"/>
            <w:vAlign w:val="center"/>
          </w:tcPr>
          <w:p>
            <w:pPr>
              <w:pStyle w:val="TableContents"/>
              <w:bidi w:val="0"/>
              <w:spacing w:before="0" w:after="283"/>
              <w:jc w:val="left"/>
              <w:rPr>
                <w:sz w:val="20"/>
              </w:rPr>
            </w:pPr>
            <w:r>
              <w:rPr>
                <w:sz w:val="20"/>
              </w:rPr>
              <w:t>Dividends yield</w:t>
            </w:r>
          </w:p>
        </w:tc>
        <w:tc>
          <w:tcPr>
            <w:tcW w:w="155" w:type="dxa"/>
            <w:tcBorders/>
            <w:shd w:fill="CCEEFF" w:val="clear"/>
            <w:vAlign w:val="center"/>
          </w:tcPr>
          <w:p>
            <w:pPr>
              <w:pStyle w:val="TableContents"/>
              <w:bidi w:val="0"/>
              <w:spacing w:before="0" w:after="283"/>
              <w:jc w:val="left"/>
              <w:rPr/>
            </w:pPr>
            <w:r>
              <w:rPr/>
              <w:t> </w:t>
            </w:r>
          </w:p>
        </w:tc>
        <w:tc>
          <w:tcPr>
            <w:tcW w:w="1805" w:type="dxa"/>
            <w:tcBorders/>
            <w:shd w:fill="CCEEFF" w:val="clear"/>
            <w:vAlign w:val="center"/>
          </w:tcPr>
          <w:p>
            <w:pPr>
              <w:pStyle w:val="TableContents"/>
              <w:bidi w:val="0"/>
              <w:spacing w:before="0" w:after="283"/>
              <w:jc w:val="right"/>
              <w:rPr>
                <w:sz w:val="20"/>
              </w:rPr>
            </w:pPr>
            <w:r>
              <w:rPr>
                <w:sz w:val="20"/>
              </w:rPr>
              <w:t>0</w:t>
            </w:r>
          </w:p>
        </w:tc>
        <w:tc>
          <w:tcPr>
            <w:tcW w:w="260" w:type="dxa"/>
            <w:tcBorders/>
            <w:shd w:fill="CCEEFF" w:val="clear"/>
            <w:vAlign w:val="center"/>
          </w:tcPr>
          <w:p>
            <w:pPr>
              <w:pStyle w:val="TableContents"/>
              <w:bidi w:val="0"/>
              <w:spacing w:before="0" w:after="283"/>
              <w:jc w:val="left"/>
              <w:rPr>
                <w:sz w:val="20"/>
              </w:rPr>
            </w:pPr>
            <w:r>
              <w:rPr>
                <w:sz w:val="20"/>
              </w:rPr>
              <w:t>%</w:t>
            </w:r>
          </w:p>
        </w:tc>
      </w:tr>
      <w:tr>
        <w:trPr/>
        <w:tc>
          <w:tcPr>
            <w:tcW w:w="2570" w:type="dxa"/>
            <w:tcBorders/>
            <w:vAlign w:val="center"/>
          </w:tcPr>
          <w:p>
            <w:pPr>
              <w:pStyle w:val="TableContents"/>
              <w:bidi w:val="0"/>
              <w:spacing w:before="0" w:after="283"/>
              <w:jc w:val="left"/>
              <w:rPr>
                <w:sz w:val="20"/>
              </w:rPr>
            </w:pPr>
            <w:r>
              <w:rPr>
                <w:sz w:val="20"/>
              </w:rPr>
              <w:t>Terms (years)</w:t>
            </w:r>
          </w:p>
        </w:tc>
        <w:tc>
          <w:tcPr>
            <w:tcW w:w="15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right"/>
              <w:rPr>
                <w:sz w:val="20"/>
              </w:rPr>
            </w:pPr>
            <w:r>
              <w:rPr>
                <w:sz w:val="20"/>
              </w:rPr>
              <w:t>5.15</w:t>
            </w:r>
          </w:p>
        </w:tc>
        <w:tc>
          <w:tcPr>
            <w:tcW w:w="26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sz w:val="20"/>
              </w:rPr>
            </w:pPr>
            <w:r>
              <w:rPr>
                <w:sz w:val="20"/>
              </w:rPr>
              <w:t>Strike Price</w:t>
            </w:r>
          </w:p>
        </w:tc>
        <w:tc>
          <w:tcPr>
            <w:tcW w:w="155" w:type="dxa"/>
            <w:tcBorders/>
            <w:shd w:fill="CCEEFF" w:val="clear"/>
            <w:vAlign w:val="center"/>
          </w:tcPr>
          <w:p>
            <w:pPr>
              <w:pStyle w:val="TableContents"/>
              <w:bidi w:val="0"/>
              <w:spacing w:before="0" w:after="283"/>
              <w:jc w:val="left"/>
              <w:rPr>
                <w:sz w:val="20"/>
              </w:rPr>
            </w:pPr>
            <w:r>
              <w:rPr>
                <w:sz w:val="20"/>
              </w:rPr>
              <w:t>$</w:t>
            </w:r>
          </w:p>
        </w:tc>
        <w:tc>
          <w:tcPr>
            <w:tcW w:w="1805" w:type="dxa"/>
            <w:tcBorders/>
            <w:shd w:fill="CCEEFF" w:val="clear"/>
            <w:vAlign w:val="center"/>
          </w:tcPr>
          <w:p>
            <w:pPr>
              <w:pStyle w:val="TableContents"/>
              <w:bidi w:val="0"/>
              <w:spacing w:before="0" w:after="283"/>
              <w:jc w:val="right"/>
              <w:rPr>
                <w:sz w:val="20"/>
              </w:rPr>
            </w:pPr>
            <w:r>
              <w:rPr>
                <w:sz w:val="20"/>
              </w:rPr>
              <w:t>1.80</w:t>
            </w:r>
          </w:p>
        </w:tc>
        <w:tc>
          <w:tcPr>
            <w:tcW w:w="260" w:type="dxa"/>
            <w:tcBorders/>
            <w:shd w:fill="CCEEFF" w:val="clear"/>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283"/>
              <w:jc w:val="left"/>
              <w:rPr>
                <w:sz w:val="20"/>
              </w:rPr>
            </w:pPr>
            <w:r>
              <w:rPr>
                <w:sz w:val="20"/>
              </w:rPr>
              <w:t>Stock Price</w:t>
            </w:r>
          </w:p>
        </w:tc>
        <w:tc>
          <w:tcPr>
            <w:tcW w:w="155" w:type="dxa"/>
            <w:tcBorders/>
            <w:vAlign w:val="center"/>
          </w:tcPr>
          <w:p>
            <w:pPr>
              <w:pStyle w:val="TableContents"/>
              <w:bidi w:val="0"/>
              <w:spacing w:before="0" w:after="283"/>
              <w:jc w:val="left"/>
              <w:rPr>
                <w:sz w:val="20"/>
              </w:rPr>
            </w:pPr>
            <w:r>
              <w:rPr>
                <w:sz w:val="20"/>
              </w:rPr>
              <w:t>$</w:t>
            </w:r>
          </w:p>
        </w:tc>
        <w:tc>
          <w:tcPr>
            <w:tcW w:w="1805" w:type="dxa"/>
            <w:tcBorders/>
            <w:vAlign w:val="center"/>
          </w:tcPr>
          <w:p>
            <w:pPr>
              <w:pStyle w:val="TableContents"/>
              <w:bidi w:val="0"/>
              <w:spacing w:before="0" w:after="283"/>
              <w:jc w:val="right"/>
              <w:rPr>
                <w:sz w:val="20"/>
              </w:rPr>
            </w:pPr>
            <w:r>
              <w:rPr>
                <w:sz w:val="20"/>
              </w:rPr>
              <w:t>1.56</w:t>
            </w:r>
          </w:p>
        </w:tc>
        <w:tc>
          <w:tcPr>
            <w:tcW w:w="260" w:type="dxa"/>
            <w:tcBorders/>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283"/>
              <w:jc w:val="left"/>
              <w:rPr>
                <w:sz w:val="20"/>
              </w:rPr>
            </w:pPr>
            <w:r>
              <w:rPr>
                <w:sz w:val="20"/>
              </w:rPr>
              <w:t>Fair Value Per Warrant Share</w:t>
            </w:r>
          </w:p>
        </w:tc>
        <w:tc>
          <w:tcPr>
            <w:tcW w:w="155" w:type="dxa"/>
            <w:tcBorders/>
            <w:shd w:fill="CCEEFF" w:val="clear"/>
            <w:vAlign w:val="center"/>
          </w:tcPr>
          <w:p>
            <w:pPr>
              <w:pStyle w:val="TableContents"/>
              <w:bidi w:val="0"/>
              <w:spacing w:before="0" w:after="283"/>
              <w:jc w:val="left"/>
              <w:rPr>
                <w:sz w:val="20"/>
              </w:rPr>
            </w:pPr>
            <w:r>
              <w:rPr>
                <w:sz w:val="20"/>
              </w:rPr>
              <w:t>$</w:t>
            </w:r>
          </w:p>
        </w:tc>
        <w:tc>
          <w:tcPr>
            <w:tcW w:w="1805" w:type="dxa"/>
            <w:tcBorders/>
            <w:shd w:fill="CCEEFF" w:val="clear"/>
            <w:vAlign w:val="center"/>
          </w:tcPr>
          <w:p>
            <w:pPr>
              <w:pStyle w:val="TableContents"/>
              <w:bidi w:val="0"/>
              <w:spacing w:before="0" w:after="283"/>
              <w:jc w:val="right"/>
              <w:rPr>
                <w:sz w:val="20"/>
              </w:rPr>
            </w:pPr>
            <w:r>
              <w:rPr>
                <w:sz w:val="20"/>
              </w:rPr>
              <w:t>1.132</w:t>
            </w:r>
          </w:p>
        </w:tc>
        <w:tc>
          <w:tcPr>
            <w:tcW w:w="260" w:type="dxa"/>
            <w:tcBorders/>
            <w:shd w:fill="CCEEFF" w:val="clear"/>
            <w:vAlign w:val="center"/>
          </w:tcPr>
          <w:p>
            <w:pPr>
              <w:pStyle w:val="TableContents"/>
              <w:bidi w:val="0"/>
              <w:spacing w:before="0" w:after="283"/>
              <w:jc w:val="left"/>
              <w:rPr/>
            </w:pPr>
            <w:r>
              <w:rPr/>
              <w:t> </w:t>
            </w:r>
          </w:p>
        </w:tc>
      </w:tr>
    </w:tbl>
    <w:p>
      <w:pPr>
        <w:pStyle w:val="TextBody"/>
        <w:bidi w:val="0"/>
        <w:spacing w:before="0" w:after="0"/>
        <w:jc w:val="both"/>
        <w:rPr/>
      </w:pPr>
      <w:r>
        <w:rPr/>
        <w:t> </w:t>
      </w:r>
    </w:p>
    <w:tbl>
      <w:tblPr>
        <w:tblW w:w="10205" w:type="dxa"/>
        <w:jc w:val="left"/>
        <w:tblInd w:w="0" w:type="dxa"/>
        <w:tblLayout w:type="fixed"/>
        <w:tblCellMar>
          <w:top w:w="0" w:type="dxa"/>
          <w:left w:w="0" w:type="dxa"/>
          <w:bottom w:w="0" w:type="dxa"/>
          <w:right w:w="0" w:type="dxa"/>
        </w:tblCellMar>
      </w:tblPr>
      <w:tblGrid>
        <w:gridCol w:w="10014"/>
        <w:gridCol w:w="191"/>
      </w:tblGrid>
      <w:tr>
        <w:trPr/>
        <w:tc>
          <w:tcPr>
            <w:tcW w:w="10014" w:type="dxa"/>
            <w:tcBorders/>
            <w:vAlign w:val="center"/>
          </w:tcPr>
          <w:p>
            <w:pPr>
              <w:pStyle w:val="TableContents"/>
              <w:bidi w:val="0"/>
              <w:spacing w:before="0" w:after="283"/>
              <w:jc w:val="both"/>
              <w:rPr/>
            </w:pPr>
            <w:r>
              <w:rPr/>
              <w:t>The following table summarizes the assumptions used under the Black-Scholes model to compute the fair value of the Company's warrants:</w:t>
            </w:r>
          </w:p>
        </w:tc>
        <w:tc>
          <w:tcPr>
            <w:tcW w:w="19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230" w:type="dxa"/>
        <w:jc w:val="left"/>
        <w:tblInd w:w="0" w:type="dxa"/>
        <w:tblLayout w:type="fixed"/>
        <w:tblCellMar>
          <w:top w:w="0" w:type="dxa"/>
          <w:left w:w="0" w:type="dxa"/>
          <w:bottom w:w="0" w:type="dxa"/>
          <w:right w:w="0" w:type="dxa"/>
        </w:tblCellMar>
      </w:tblPr>
      <w:tblGrid>
        <w:gridCol w:w="4145"/>
        <w:gridCol w:w="155"/>
        <w:gridCol w:w="1670"/>
        <w:gridCol w:w="260"/>
      </w:tblGrid>
      <w:tr>
        <w:trPr/>
        <w:tc>
          <w:tcPr>
            <w:tcW w:w="41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414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center"/>
              <w:rPr>
                <w:b/>
                <w:sz w:val="20"/>
              </w:rPr>
            </w:pPr>
            <w:r>
              <w:rPr>
                <w:b/>
                <w:sz w:val="20"/>
              </w:rPr>
              <w:t xml:space="preserve">As of </w:t>
            </w:r>
          </w:p>
        </w:tc>
        <w:tc>
          <w:tcPr>
            <w:tcW w:w="260" w:type="dxa"/>
            <w:tcBorders/>
            <w:vAlign w:val="center"/>
          </w:tcPr>
          <w:p>
            <w:pPr>
              <w:pStyle w:val="TableContents"/>
              <w:bidi w:val="0"/>
              <w:spacing w:before="0" w:after="283"/>
              <w:jc w:val="left"/>
              <w:rPr/>
            </w:pPr>
            <w:r>
              <w:rPr/>
              <w:t> </w:t>
            </w:r>
          </w:p>
        </w:tc>
      </w:tr>
      <w:tr>
        <w:trPr/>
        <w:tc>
          <w:tcPr>
            <w:tcW w:w="4145"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1670"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December 31, 2024</w:t>
            </w:r>
          </w:p>
        </w:tc>
        <w:tc>
          <w:tcPr>
            <w:tcW w:w="2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sz w:val="20"/>
              </w:rPr>
            </w:pPr>
            <w:r>
              <w:rPr>
                <w:sz w:val="20"/>
              </w:rPr>
              <w:t>Expected stock price volatility</w:t>
            </w:r>
          </w:p>
        </w:tc>
        <w:tc>
          <w:tcPr>
            <w:tcW w:w="155"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right"/>
              <w:rPr>
                <w:sz w:val="20"/>
              </w:rPr>
            </w:pPr>
            <w:r>
              <w:rPr>
                <w:sz w:val="20"/>
              </w:rPr>
              <w:t>88</w:t>
            </w:r>
          </w:p>
        </w:tc>
        <w:tc>
          <w:tcPr>
            <w:tcW w:w="260" w:type="dxa"/>
            <w:tcBorders/>
            <w:shd w:fill="CCEEFF" w:val="clear"/>
            <w:vAlign w:val="center"/>
          </w:tcPr>
          <w:p>
            <w:pPr>
              <w:pStyle w:val="TableContents"/>
              <w:bidi w:val="0"/>
              <w:spacing w:before="0" w:after="283"/>
              <w:jc w:val="left"/>
              <w:rPr>
                <w:sz w:val="20"/>
              </w:rPr>
            </w:pPr>
            <w:r>
              <w:rPr>
                <w:sz w:val="20"/>
              </w:rPr>
              <w:t>%</w:t>
            </w:r>
          </w:p>
        </w:tc>
      </w:tr>
      <w:tr>
        <w:trPr/>
        <w:tc>
          <w:tcPr>
            <w:tcW w:w="4145" w:type="dxa"/>
            <w:tcBorders/>
            <w:vAlign w:val="center"/>
          </w:tcPr>
          <w:p>
            <w:pPr>
              <w:pStyle w:val="TableContents"/>
              <w:bidi w:val="0"/>
              <w:spacing w:before="0" w:after="283"/>
              <w:jc w:val="left"/>
              <w:rPr>
                <w:sz w:val="20"/>
              </w:rPr>
            </w:pPr>
            <w:r>
              <w:rPr>
                <w:sz w:val="20"/>
              </w:rPr>
              <w:t>Risk-free interest rate</w:t>
            </w:r>
          </w:p>
        </w:tc>
        <w:tc>
          <w:tcPr>
            <w:tcW w:w="15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right"/>
              <w:rPr>
                <w:sz w:val="20"/>
              </w:rPr>
            </w:pPr>
            <w:r>
              <w:rPr>
                <w:sz w:val="20"/>
              </w:rPr>
              <w:t>4.25</w:t>
            </w:r>
          </w:p>
        </w:tc>
        <w:tc>
          <w:tcPr>
            <w:tcW w:w="260" w:type="dxa"/>
            <w:tcBorders/>
            <w:vAlign w:val="center"/>
          </w:tcPr>
          <w:p>
            <w:pPr>
              <w:pStyle w:val="TableContents"/>
              <w:bidi w:val="0"/>
              <w:spacing w:before="0" w:after="283"/>
              <w:jc w:val="left"/>
              <w:rPr>
                <w:sz w:val="20"/>
              </w:rPr>
            </w:pPr>
            <w:r>
              <w:rPr>
                <w:sz w:val="20"/>
              </w:rPr>
              <w:t>%</w:t>
            </w:r>
          </w:p>
        </w:tc>
      </w:tr>
      <w:tr>
        <w:trPr/>
        <w:tc>
          <w:tcPr>
            <w:tcW w:w="4145" w:type="dxa"/>
            <w:tcBorders/>
            <w:shd w:fill="CCEEFF" w:val="clear"/>
            <w:vAlign w:val="center"/>
          </w:tcPr>
          <w:p>
            <w:pPr>
              <w:pStyle w:val="TableContents"/>
              <w:bidi w:val="0"/>
              <w:spacing w:before="0" w:after="283"/>
              <w:jc w:val="left"/>
              <w:rPr>
                <w:sz w:val="20"/>
              </w:rPr>
            </w:pPr>
            <w:r>
              <w:rPr>
                <w:sz w:val="20"/>
              </w:rPr>
              <w:t>Dividends yield</w:t>
            </w:r>
          </w:p>
        </w:tc>
        <w:tc>
          <w:tcPr>
            <w:tcW w:w="155"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right"/>
              <w:rPr>
                <w:sz w:val="20"/>
              </w:rPr>
            </w:pPr>
            <w:r>
              <w:rPr>
                <w:sz w:val="20"/>
              </w:rPr>
              <w:t>0</w:t>
            </w:r>
          </w:p>
        </w:tc>
        <w:tc>
          <w:tcPr>
            <w:tcW w:w="260" w:type="dxa"/>
            <w:tcBorders/>
            <w:shd w:fill="CCEEFF" w:val="clear"/>
            <w:vAlign w:val="center"/>
          </w:tcPr>
          <w:p>
            <w:pPr>
              <w:pStyle w:val="TableContents"/>
              <w:bidi w:val="0"/>
              <w:spacing w:before="0" w:after="283"/>
              <w:jc w:val="left"/>
              <w:rPr>
                <w:sz w:val="20"/>
              </w:rPr>
            </w:pPr>
            <w:r>
              <w:rPr>
                <w:sz w:val="20"/>
              </w:rPr>
              <w:t>%</w:t>
            </w:r>
          </w:p>
        </w:tc>
      </w:tr>
      <w:tr>
        <w:trPr/>
        <w:tc>
          <w:tcPr>
            <w:tcW w:w="4145" w:type="dxa"/>
            <w:tcBorders/>
            <w:vAlign w:val="center"/>
          </w:tcPr>
          <w:p>
            <w:pPr>
              <w:pStyle w:val="TableContents"/>
              <w:bidi w:val="0"/>
              <w:spacing w:before="0" w:after="283"/>
              <w:jc w:val="left"/>
              <w:rPr>
                <w:sz w:val="20"/>
              </w:rPr>
            </w:pPr>
            <w:r>
              <w:rPr>
                <w:sz w:val="20"/>
              </w:rPr>
              <w:t>Weighted average expected life of warrants (years)</w:t>
            </w:r>
          </w:p>
        </w:tc>
        <w:tc>
          <w:tcPr>
            <w:tcW w:w="15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right"/>
              <w:rPr>
                <w:sz w:val="20"/>
              </w:rPr>
            </w:pPr>
            <w:r>
              <w:rPr>
                <w:sz w:val="20"/>
              </w:rPr>
              <w:t>3.5</w:t>
            </w:r>
          </w:p>
        </w:tc>
        <w:tc>
          <w:tcPr>
            <w:tcW w:w="260" w:type="dxa"/>
            <w:tcBorders/>
            <w:vAlign w:val="center"/>
          </w:tcPr>
          <w:p>
            <w:pPr>
              <w:pStyle w:val="TableContents"/>
              <w:bidi w:val="0"/>
              <w:spacing w:before="0" w:after="283"/>
              <w:jc w:val="left"/>
              <w:rPr/>
            </w:pPr>
            <w:r>
              <w:rPr/>
              <w:t> </w:t>
            </w:r>
          </w:p>
        </w:tc>
      </w:tr>
      <w:tr>
        <w:trPr/>
        <w:tc>
          <w:tcPr>
            <w:tcW w:w="4145" w:type="dxa"/>
            <w:tcBorders/>
            <w:shd w:fill="CCEEFF" w:val="clear"/>
            <w:vAlign w:val="center"/>
          </w:tcPr>
          <w:p>
            <w:pPr>
              <w:pStyle w:val="TableContents"/>
              <w:bidi w:val="0"/>
              <w:spacing w:before="0" w:after="283"/>
              <w:jc w:val="left"/>
              <w:rPr>
                <w:sz w:val="20"/>
              </w:rPr>
            </w:pPr>
            <w:r>
              <w:rPr>
                <w:sz w:val="20"/>
              </w:rPr>
              <w:t>Weighted average exercise price</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670"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1.45</w:t>
            </w:r>
          </w:p>
        </w:tc>
        <w:tc>
          <w:tcPr>
            <w:tcW w:w="2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0"/>
        </w:rPr>
        <w:t>Our other financial instruments also include accounts receivable, accounts payable, accrued liabilities and business acquisition liabilities. Due to the short-term nature of these instruments, their fair values approximate their carrying values on the balance sheet.</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F-15</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ind w:left="10" w:right="0" w:hanging="0"/>
        <w:jc w:val="left"/>
        <w:rPr>
          <w:rFonts w:ascii="Times New Roman" w:hAnsi="Times New Roman"/>
          <w:sz w:val="24"/>
        </w:rPr>
      </w:pPr>
      <w:r>
        <w:rPr>
          <w:rFonts w:ascii="Times New Roman" w:hAnsi="Times New Roman"/>
          <w:b/>
          <w:color w:val="000000"/>
          <w:sz w:val="20"/>
        </w:rPr>
        <w:t>5. INVENTORIES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Inventory is recorded at the lower of cost or net realizable value. The cost of substantially all the Company’s inventory is determined by the weighted average cost method. Inventories consisted of the following:</w:t>
      </w:r>
      <w:r>
        <w:rPr>
          <w:rFonts w:ascii="Times New Roman" w:hAnsi="Times New Roman"/>
          <w:sz w:val="24"/>
        </w:rPr>
        <w:t xml:space="preserve"> </w:t>
      </w:r>
    </w:p>
    <w:p>
      <w:pPr>
        <w:pStyle w:val="TextBody"/>
        <w:bidi w:val="0"/>
        <w:spacing w:before="0" w:after="0"/>
        <w:jc w:val="left"/>
        <w:rPr/>
      </w:pPr>
      <w:r>
        <w:rPr/>
        <w:t> </w:t>
      </w:r>
    </w:p>
    <w:tbl>
      <w:tblPr>
        <w:tblW w:w="3920" w:type="dxa"/>
        <w:jc w:val="left"/>
        <w:tblInd w:w="0" w:type="dxa"/>
        <w:tblLayout w:type="fixed"/>
        <w:tblCellMar>
          <w:top w:w="0" w:type="dxa"/>
          <w:left w:w="0" w:type="dxa"/>
          <w:bottom w:w="0" w:type="dxa"/>
          <w:right w:w="0" w:type="dxa"/>
        </w:tblCellMar>
      </w:tblPr>
      <w:tblGrid>
        <w:gridCol w:w="2135"/>
        <w:gridCol w:w="155"/>
        <w:gridCol w:w="515"/>
        <w:gridCol w:w="155"/>
        <w:gridCol w:w="90"/>
        <w:gridCol w:w="155"/>
        <w:gridCol w:w="515"/>
        <w:gridCol w:w="200"/>
      </w:tblGrid>
      <w:tr>
        <w:trPr/>
        <w:tc>
          <w:tcPr>
            <w:tcW w:w="21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 </w:t>
            </w:r>
          </w:p>
        </w:tc>
        <w:tc>
          <w:tcPr>
            <w:tcW w:w="1785" w:type="dxa"/>
            <w:gridSpan w:val="7"/>
            <w:tcBorders>
              <w:bottom w:val="single" w:sz="2" w:space="0" w:color="000000"/>
            </w:tcBorders>
            <w:tcMar>
              <w:bottom w:w="28" w:type="dxa"/>
            </w:tcMar>
            <w:vAlign w:val="center"/>
          </w:tcPr>
          <w:p>
            <w:pPr>
              <w:pStyle w:val="TableContents"/>
              <w:bidi w:val="0"/>
              <w:spacing w:before="0" w:after="283"/>
              <w:jc w:val="center"/>
              <w:rPr>
                <w:b/>
                <w:sz w:val="20"/>
              </w:rPr>
            </w:pPr>
            <w:r>
              <w:rPr>
                <w:b/>
                <w:sz w:val="20"/>
              </w:rPr>
              <w:t>December 31,</w:t>
            </w:r>
          </w:p>
        </w:tc>
      </w:tr>
      <w:tr>
        <w:trPr/>
        <w:tc>
          <w:tcPr>
            <w:tcW w:w="2135"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515"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2025</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515"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2024</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sz w:val="20"/>
              </w:rPr>
            </w:pPr>
            <w:r>
              <w:rPr>
                <w:sz w:val="20"/>
              </w:rPr>
              <w:t>Finished goods</w:t>
            </w:r>
          </w:p>
        </w:tc>
        <w:tc>
          <w:tcPr>
            <w:tcW w:w="155" w:type="dxa"/>
            <w:tcBorders/>
            <w:shd w:fill="CCEEFF" w:val="clear"/>
            <w:vAlign w:val="center"/>
          </w:tcPr>
          <w:p>
            <w:pPr>
              <w:pStyle w:val="TableContents"/>
              <w:bidi w:val="0"/>
              <w:spacing w:before="0" w:after="283"/>
              <w:jc w:val="left"/>
              <w:rPr>
                <w:sz w:val="20"/>
              </w:rPr>
            </w:pPr>
            <w:r>
              <w:rPr>
                <w:sz w:val="20"/>
              </w:rPr>
              <w:t>$</w:t>
            </w:r>
          </w:p>
        </w:tc>
        <w:tc>
          <w:tcPr>
            <w:tcW w:w="515" w:type="dxa"/>
            <w:tcBorders/>
            <w:shd w:fill="CCEEFF" w:val="clear"/>
            <w:vAlign w:val="center"/>
          </w:tcPr>
          <w:p>
            <w:pPr>
              <w:pStyle w:val="TableContents"/>
              <w:bidi w:val="0"/>
              <w:spacing w:before="0" w:after="283"/>
              <w:jc w:val="right"/>
              <w:rPr>
                <w:sz w:val="20"/>
              </w:rPr>
            </w:pPr>
            <w:r>
              <w:rPr>
                <w:sz w:val="20"/>
              </w:rPr>
              <w:t>3,509</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515" w:type="dxa"/>
            <w:tcBorders/>
            <w:shd w:fill="CCEEFF" w:val="clear"/>
            <w:vAlign w:val="center"/>
          </w:tcPr>
          <w:p>
            <w:pPr>
              <w:pStyle w:val="TableContents"/>
              <w:bidi w:val="0"/>
              <w:spacing w:before="0" w:after="283"/>
              <w:jc w:val="right"/>
              <w:rPr>
                <w:sz w:val="20"/>
              </w:rPr>
            </w:pPr>
            <w:r>
              <w:rPr>
                <w:sz w:val="20"/>
              </w:rPr>
              <w:t>4,387</w:t>
            </w:r>
          </w:p>
        </w:tc>
        <w:tc>
          <w:tcPr>
            <w:tcW w:w="200" w:type="dxa"/>
            <w:tcBorders/>
            <w:shd w:fill="CCEEFF" w:val="clear"/>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sz w:val="20"/>
              </w:rPr>
            </w:pPr>
            <w:r>
              <w:rPr>
                <w:sz w:val="20"/>
              </w:rPr>
              <w:t>Raw materials</w:t>
            </w:r>
          </w:p>
        </w:tc>
        <w:tc>
          <w:tcPr>
            <w:tcW w:w="1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sz w:val="20"/>
              </w:rPr>
            </w:pPr>
            <w:r>
              <w:rPr>
                <w:sz w:val="20"/>
              </w:rPr>
              <w:t>1,978</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sz w:val="20"/>
              </w:rPr>
            </w:pPr>
            <w:r>
              <w:rPr>
                <w:sz w:val="20"/>
              </w:rPr>
              <w:t>2,263</w:t>
            </w:r>
          </w:p>
        </w:tc>
        <w:tc>
          <w:tcPr>
            <w:tcW w:w="200" w:type="dxa"/>
            <w:tcBorders/>
            <w:vAlign w:val="center"/>
          </w:tcPr>
          <w:p>
            <w:pPr>
              <w:pStyle w:val="TableContents"/>
              <w:bidi w:val="0"/>
              <w:spacing w:before="0" w:after="283"/>
              <w:jc w:val="left"/>
              <w:rPr/>
            </w:pPr>
            <w:r>
              <w:rPr/>
              <w:t> </w:t>
            </w:r>
          </w:p>
        </w:tc>
      </w:tr>
      <w:tr>
        <w:trPr/>
        <w:tc>
          <w:tcPr>
            <w:tcW w:w="2135" w:type="dxa"/>
            <w:tcBorders/>
            <w:shd w:fill="CCEEFF" w:val="clear"/>
            <w:vAlign w:val="center"/>
          </w:tcPr>
          <w:p>
            <w:pPr>
              <w:pStyle w:val="TableContents"/>
              <w:bidi w:val="0"/>
              <w:spacing w:before="0" w:after="283"/>
              <w:jc w:val="left"/>
              <w:rPr>
                <w:sz w:val="20"/>
              </w:rPr>
            </w:pPr>
            <w:r>
              <w:rPr>
                <w:sz w:val="20"/>
              </w:rPr>
              <w:t>Reserve for Obsolescence</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(516</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(480</w:t>
            </w:r>
          </w:p>
        </w:tc>
        <w:tc>
          <w:tcPr>
            <w:tcW w:w="200"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 </w:t>
            </w:r>
          </w:p>
        </w:tc>
      </w:tr>
      <w:tr>
        <w:trPr/>
        <w:tc>
          <w:tcPr>
            <w:tcW w:w="2135" w:type="dxa"/>
            <w:tcBorders/>
            <w:vAlign w:val="center"/>
          </w:tcPr>
          <w:p>
            <w:pPr>
              <w:pStyle w:val="TableContents"/>
              <w:bidi w:val="0"/>
              <w:spacing w:before="0" w:after="283"/>
              <w:jc w:val="left"/>
              <w:rPr>
                <w:sz w:val="20"/>
              </w:rPr>
            </w:pPr>
            <w:r>
              <w:rPr>
                <w:sz w:val="20"/>
              </w:rPr>
              <w:t>Inventories - net</w:t>
            </w:r>
          </w:p>
        </w:tc>
        <w:tc>
          <w:tcPr>
            <w:tcW w:w="155" w:type="dxa"/>
            <w:tcBorders>
              <w:bottom w:val="double" w:sz="6" w:space="0" w:color="000000"/>
            </w:tcBorders>
            <w:tcMar>
              <w:bottom w:w="28" w:type="dxa"/>
            </w:tcMar>
            <w:vAlign w:val="center"/>
          </w:tcPr>
          <w:p>
            <w:pPr>
              <w:pStyle w:val="TableContents"/>
              <w:bidi w:val="0"/>
              <w:spacing w:before="0" w:after="283"/>
              <w:jc w:val="left"/>
              <w:rPr>
                <w:sz w:val="20"/>
              </w:rPr>
            </w:pPr>
            <w:r>
              <w:rPr>
                <w:sz w:val="20"/>
              </w:rPr>
              <w:t>$</w:t>
            </w:r>
          </w:p>
        </w:tc>
        <w:tc>
          <w:tcPr>
            <w:tcW w:w="515" w:type="dxa"/>
            <w:tcBorders>
              <w:bottom w:val="double" w:sz="6" w:space="0" w:color="000000"/>
            </w:tcBorders>
            <w:tcMar>
              <w:bottom w:w="28" w:type="dxa"/>
            </w:tcMar>
            <w:vAlign w:val="center"/>
          </w:tcPr>
          <w:p>
            <w:pPr>
              <w:pStyle w:val="TableContents"/>
              <w:bidi w:val="0"/>
              <w:spacing w:before="0" w:after="283"/>
              <w:jc w:val="right"/>
              <w:rPr>
                <w:sz w:val="20"/>
              </w:rPr>
            </w:pPr>
            <w:r>
              <w:rPr>
                <w:sz w:val="20"/>
              </w:rPr>
              <w:t>4,971</w:t>
            </w:r>
          </w:p>
        </w:tc>
        <w:tc>
          <w:tcPr>
            <w:tcW w:w="15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6" w:space="0" w:color="000000"/>
            </w:tcBorders>
            <w:tcMar>
              <w:bottom w:w="28" w:type="dxa"/>
            </w:tcMar>
            <w:vAlign w:val="center"/>
          </w:tcPr>
          <w:p>
            <w:pPr>
              <w:pStyle w:val="TableContents"/>
              <w:bidi w:val="0"/>
              <w:spacing w:before="0" w:after="283"/>
              <w:jc w:val="left"/>
              <w:rPr>
                <w:sz w:val="20"/>
              </w:rPr>
            </w:pPr>
            <w:r>
              <w:rPr>
                <w:sz w:val="20"/>
              </w:rPr>
              <w:t>$</w:t>
            </w:r>
          </w:p>
        </w:tc>
        <w:tc>
          <w:tcPr>
            <w:tcW w:w="515" w:type="dxa"/>
            <w:tcBorders>
              <w:bottom w:val="double" w:sz="6" w:space="0" w:color="000000"/>
            </w:tcBorders>
            <w:tcMar>
              <w:bottom w:w="28" w:type="dxa"/>
            </w:tcMar>
            <w:vAlign w:val="center"/>
          </w:tcPr>
          <w:p>
            <w:pPr>
              <w:pStyle w:val="TableContents"/>
              <w:bidi w:val="0"/>
              <w:spacing w:before="0" w:after="283"/>
              <w:jc w:val="right"/>
              <w:rPr>
                <w:sz w:val="20"/>
              </w:rPr>
            </w:pPr>
            <w:r>
              <w:rPr>
                <w:sz w:val="20"/>
              </w:rPr>
              <w:t>6,170</w:t>
            </w:r>
          </w:p>
        </w:tc>
        <w:tc>
          <w:tcPr>
            <w:tcW w:w="200"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10" w:right="0" w:hanging="0"/>
        <w:jc w:val="left"/>
        <w:rPr>
          <w:rFonts w:ascii="Times New Roman" w:hAnsi="Times New Roman"/>
          <w:sz w:val="24"/>
        </w:rPr>
      </w:pPr>
      <w:r>
        <w:rPr>
          <w:rFonts w:ascii="Times New Roman" w:hAnsi="Times New Roman"/>
          <w:b/>
          <w:color w:val="000000"/>
          <w:sz w:val="20"/>
        </w:rPr>
        <w:t>6. PROPERTY AND EQUIPMENT</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Property and equipment consisted of the following:</w:t>
      </w:r>
      <w:r>
        <w:rPr>
          <w:rFonts w:ascii="Times New Roman" w:hAnsi="Times New Roman"/>
          <w:sz w:val="24"/>
        </w:rPr>
        <w:t xml:space="preserve"> </w:t>
      </w:r>
    </w:p>
    <w:p>
      <w:pPr>
        <w:pStyle w:val="TextBody"/>
        <w:bidi w:val="0"/>
        <w:spacing w:before="0" w:after="0"/>
        <w:jc w:val="left"/>
        <w:rPr/>
      </w:pPr>
      <w:r>
        <w:rPr/>
        <w:t> </w:t>
      </w:r>
    </w:p>
    <w:tbl>
      <w:tblPr>
        <w:tblW w:w="4970" w:type="dxa"/>
        <w:jc w:val="left"/>
        <w:tblInd w:w="0" w:type="dxa"/>
        <w:tblLayout w:type="fixed"/>
        <w:tblCellMar>
          <w:top w:w="0" w:type="dxa"/>
          <w:left w:w="0" w:type="dxa"/>
          <w:bottom w:w="0" w:type="dxa"/>
          <w:right w:w="0" w:type="dxa"/>
        </w:tblCellMar>
      </w:tblPr>
      <w:tblGrid>
        <w:gridCol w:w="3065"/>
        <w:gridCol w:w="155"/>
        <w:gridCol w:w="575"/>
        <w:gridCol w:w="155"/>
        <w:gridCol w:w="90"/>
        <w:gridCol w:w="155"/>
        <w:gridCol w:w="575"/>
        <w:gridCol w:w="200"/>
      </w:tblGrid>
      <w:tr>
        <w:trPr/>
        <w:tc>
          <w:tcPr>
            <w:tcW w:w="30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065" w:type="dxa"/>
            <w:tcBorders/>
            <w:vAlign w:val="center"/>
          </w:tcPr>
          <w:p>
            <w:pPr>
              <w:pStyle w:val="TableContents"/>
              <w:bidi w:val="0"/>
              <w:spacing w:before="0" w:after="283"/>
              <w:jc w:val="left"/>
              <w:rPr/>
            </w:pPr>
            <w:r>
              <w:rPr/>
              <w:t> </w:t>
            </w:r>
          </w:p>
        </w:tc>
        <w:tc>
          <w:tcPr>
            <w:tcW w:w="1905" w:type="dxa"/>
            <w:gridSpan w:val="7"/>
            <w:tcBorders>
              <w:bottom w:val="single" w:sz="2" w:space="0" w:color="000000"/>
            </w:tcBorders>
            <w:tcMar>
              <w:bottom w:w="28" w:type="dxa"/>
            </w:tcMar>
            <w:vAlign w:val="center"/>
          </w:tcPr>
          <w:p>
            <w:pPr>
              <w:pStyle w:val="TableContents"/>
              <w:bidi w:val="0"/>
              <w:spacing w:before="0" w:after="283"/>
              <w:jc w:val="center"/>
              <w:rPr>
                <w:b/>
                <w:sz w:val="20"/>
              </w:rPr>
            </w:pPr>
            <w:r>
              <w:rPr>
                <w:b/>
                <w:sz w:val="20"/>
              </w:rPr>
              <w:t>December 31,</w:t>
            </w:r>
          </w:p>
        </w:tc>
      </w:tr>
      <w:tr>
        <w:trPr/>
        <w:tc>
          <w:tcPr>
            <w:tcW w:w="3065"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575"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2025</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575"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2024</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sz w:val="20"/>
              </w:rPr>
            </w:pPr>
            <w:r>
              <w:rPr>
                <w:sz w:val="20"/>
              </w:rPr>
              <w:t>Production and lab equipment</w:t>
            </w:r>
          </w:p>
        </w:tc>
        <w:tc>
          <w:tcPr>
            <w:tcW w:w="155" w:type="dxa"/>
            <w:tcBorders/>
            <w:shd w:fill="CCEEFF" w:val="clear"/>
            <w:vAlign w:val="center"/>
          </w:tcPr>
          <w:p>
            <w:pPr>
              <w:pStyle w:val="TableContents"/>
              <w:bidi w:val="0"/>
              <w:spacing w:before="0" w:after="283"/>
              <w:jc w:val="left"/>
              <w:rPr>
                <w:sz w:val="20"/>
              </w:rPr>
            </w:pPr>
            <w:r>
              <w:rPr>
                <w:sz w:val="20"/>
              </w:rPr>
              <w:t>$</w:t>
            </w:r>
          </w:p>
        </w:tc>
        <w:tc>
          <w:tcPr>
            <w:tcW w:w="575" w:type="dxa"/>
            <w:tcBorders/>
            <w:shd w:fill="CCEEFF" w:val="clear"/>
            <w:vAlign w:val="center"/>
          </w:tcPr>
          <w:p>
            <w:pPr>
              <w:pStyle w:val="TableContents"/>
              <w:bidi w:val="0"/>
              <w:spacing w:before="0" w:after="283"/>
              <w:jc w:val="right"/>
              <w:rPr>
                <w:sz w:val="20"/>
              </w:rPr>
            </w:pPr>
            <w:r>
              <w:rPr>
                <w:sz w:val="20"/>
              </w:rPr>
              <w:t>391</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575" w:type="dxa"/>
            <w:tcBorders/>
            <w:shd w:fill="CCEEFF" w:val="clear"/>
            <w:vAlign w:val="center"/>
          </w:tcPr>
          <w:p>
            <w:pPr>
              <w:pStyle w:val="TableContents"/>
              <w:bidi w:val="0"/>
              <w:spacing w:before="0" w:after="283"/>
              <w:jc w:val="right"/>
              <w:rPr>
                <w:sz w:val="20"/>
              </w:rPr>
            </w:pPr>
            <w:r>
              <w:rPr>
                <w:sz w:val="20"/>
              </w:rPr>
              <w:t>432</w:t>
            </w:r>
          </w:p>
        </w:tc>
        <w:tc>
          <w:tcPr>
            <w:tcW w:w="200"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Tooling</w:t>
            </w:r>
          </w:p>
        </w:tc>
        <w:tc>
          <w:tcPr>
            <w:tcW w:w="15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sz w:val="20"/>
              </w:rPr>
            </w:pPr>
            <w:r>
              <w:rPr>
                <w:sz w:val="20"/>
              </w:rPr>
              <w:t>570</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sz w:val="20"/>
              </w:rPr>
            </w:pPr>
            <w:r>
              <w:rPr>
                <w:sz w:val="20"/>
              </w:rPr>
              <w:t>570</w:t>
            </w:r>
          </w:p>
        </w:tc>
        <w:tc>
          <w:tcPr>
            <w:tcW w:w="20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sz w:val="20"/>
              </w:rPr>
            </w:pPr>
            <w:r>
              <w:rPr>
                <w:sz w:val="20"/>
              </w:rPr>
              <w:t>Computer equipment</w:t>
            </w:r>
          </w:p>
        </w:tc>
        <w:tc>
          <w:tcPr>
            <w:tcW w:w="155"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sz w:val="20"/>
              </w:rPr>
            </w:pPr>
            <w:r>
              <w:rPr>
                <w:sz w:val="20"/>
              </w:rPr>
              <w:t>183</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sz w:val="20"/>
              </w:rPr>
            </w:pPr>
            <w:r>
              <w:rPr>
                <w:sz w:val="20"/>
              </w:rPr>
              <w:t>229</w:t>
            </w:r>
          </w:p>
        </w:tc>
        <w:tc>
          <w:tcPr>
            <w:tcW w:w="200"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Furniture, fixtures and improvements</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575" w:type="dxa"/>
            <w:tcBorders>
              <w:bottom w:val="single" w:sz="2" w:space="0" w:color="000000"/>
            </w:tcBorders>
            <w:tcMar>
              <w:bottom w:w="28" w:type="dxa"/>
            </w:tcMar>
            <w:vAlign w:val="center"/>
          </w:tcPr>
          <w:p>
            <w:pPr>
              <w:pStyle w:val="TableContents"/>
              <w:bidi w:val="0"/>
              <w:spacing w:before="0" w:after="283"/>
              <w:jc w:val="right"/>
              <w:rPr>
                <w:sz w:val="20"/>
              </w:rPr>
            </w:pPr>
            <w:r>
              <w:rPr>
                <w:sz w:val="20"/>
              </w:rPr>
              <w:t>81</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575" w:type="dxa"/>
            <w:tcBorders>
              <w:bottom w:val="single" w:sz="2" w:space="0" w:color="000000"/>
            </w:tcBorders>
            <w:tcMar>
              <w:bottom w:w="28" w:type="dxa"/>
            </w:tcMar>
            <w:vAlign w:val="center"/>
          </w:tcPr>
          <w:p>
            <w:pPr>
              <w:pStyle w:val="TableContents"/>
              <w:bidi w:val="0"/>
              <w:spacing w:before="0" w:after="283"/>
              <w:jc w:val="right"/>
              <w:rPr>
                <w:sz w:val="20"/>
              </w:rPr>
            </w:pPr>
            <w:r>
              <w:rPr>
                <w:sz w:val="20"/>
              </w:rPr>
              <w:t>120</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sz w:val="20"/>
              </w:rPr>
            </w:pPr>
            <w:r>
              <w:rPr>
                <w:sz w:val="20"/>
              </w:rPr>
              <w:t>1,225</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sz w:val="20"/>
              </w:rPr>
            </w:pPr>
            <w:r>
              <w:rPr>
                <w:sz w:val="20"/>
              </w:rPr>
              <w:t>1,351</w:t>
            </w:r>
          </w:p>
        </w:tc>
        <w:tc>
          <w:tcPr>
            <w:tcW w:w="200" w:type="dxa"/>
            <w:tcBorders/>
            <w:shd w:fill="CCEEFF" w:val="clear"/>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sz w:val="20"/>
              </w:rPr>
            </w:pPr>
            <w:r>
              <w:rPr>
                <w:sz w:val="20"/>
              </w:rPr>
              <w:t>Accumulated depreciation</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575" w:type="dxa"/>
            <w:tcBorders>
              <w:bottom w:val="single" w:sz="2" w:space="0" w:color="000000"/>
            </w:tcBorders>
            <w:tcMar>
              <w:bottom w:w="28" w:type="dxa"/>
            </w:tcMar>
            <w:vAlign w:val="center"/>
          </w:tcPr>
          <w:p>
            <w:pPr>
              <w:pStyle w:val="TableContents"/>
              <w:bidi w:val="0"/>
              <w:spacing w:before="0" w:after="283"/>
              <w:jc w:val="right"/>
              <w:rPr>
                <w:sz w:val="20"/>
              </w:rPr>
            </w:pPr>
            <w:r>
              <w:rPr>
                <w:sz w:val="20"/>
              </w:rPr>
              <w:t>(1,102</w:t>
            </w:r>
          </w:p>
        </w:tc>
        <w:tc>
          <w:tcPr>
            <w:tcW w:w="155" w:type="dxa"/>
            <w:tcBorders>
              <w:bottom w:val="single" w:sz="2" w:space="0" w:color="000000"/>
            </w:tcBorders>
            <w:tcMar>
              <w:bottom w:w="28" w:type="dxa"/>
            </w:tcMar>
            <w:vAlign w:val="center"/>
          </w:tcPr>
          <w:p>
            <w:pPr>
              <w:pStyle w:val="TableContents"/>
              <w:bidi w:val="0"/>
              <w:spacing w:before="0" w:after="283"/>
              <w:jc w:val="left"/>
              <w:rPr>
                <w:sz w:val="20"/>
              </w:rPr>
            </w:pPr>
            <w:r>
              <w:rPr>
                <w:sz w:val="20"/>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575" w:type="dxa"/>
            <w:tcBorders>
              <w:bottom w:val="single" w:sz="2" w:space="0" w:color="000000"/>
            </w:tcBorders>
            <w:tcMar>
              <w:bottom w:w="28" w:type="dxa"/>
            </w:tcMar>
            <w:vAlign w:val="center"/>
          </w:tcPr>
          <w:p>
            <w:pPr>
              <w:pStyle w:val="TableContents"/>
              <w:bidi w:val="0"/>
              <w:spacing w:before="0" w:after="283"/>
              <w:jc w:val="right"/>
              <w:rPr>
                <w:sz w:val="20"/>
              </w:rPr>
            </w:pPr>
            <w:r>
              <w:rPr>
                <w:sz w:val="20"/>
              </w:rPr>
              <w:t>(1,205</w:t>
            </w:r>
          </w:p>
        </w:tc>
        <w:tc>
          <w:tcPr>
            <w:tcW w:w="200" w:type="dxa"/>
            <w:tcBorders>
              <w:bottom w:val="single" w:sz="2" w:space="0" w:color="000000"/>
            </w:tcBorders>
            <w:tcMar>
              <w:bottom w:w="28" w:type="dxa"/>
            </w:tcMar>
            <w:vAlign w:val="center"/>
          </w:tcPr>
          <w:p>
            <w:pPr>
              <w:pStyle w:val="TableContents"/>
              <w:bidi w:val="0"/>
              <w:spacing w:before="0" w:after="283"/>
              <w:jc w:val="left"/>
              <w:rPr>
                <w:sz w:val="20"/>
              </w:rPr>
            </w:pPr>
            <w:r>
              <w:rPr>
                <w:sz w:val="20"/>
              </w:rPr>
              <w:t>) </w:t>
            </w:r>
          </w:p>
        </w:tc>
      </w:tr>
      <w:tr>
        <w:trPr/>
        <w:tc>
          <w:tcPr>
            <w:tcW w:w="3065" w:type="dxa"/>
            <w:tcBorders/>
            <w:shd w:fill="CCEEFF" w:val="clear"/>
            <w:vAlign w:val="center"/>
          </w:tcPr>
          <w:p>
            <w:pPr>
              <w:pStyle w:val="TableContents"/>
              <w:bidi w:val="0"/>
              <w:spacing w:before="0" w:after="283"/>
              <w:jc w:val="left"/>
              <w:rPr>
                <w:sz w:val="20"/>
              </w:rPr>
            </w:pPr>
            <w:r>
              <w:rPr>
                <w:sz w:val="20"/>
              </w:rPr>
              <w:t>Property and equipment, net</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7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123</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7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146</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0"/>
        </w:rPr>
        <w:t>Depreciation expense was</w:t>
      </w:r>
      <w:r>
        <w:rPr>
          <w:rFonts w:ascii="Times New Roman" w:hAnsi="Times New Roman"/>
          <w:sz w:val="20"/>
          <w:shd w:fill="FFFFFF" w:val="clear"/>
        </w:rPr>
        <w:t xml:space="preserve"> $113</w:t>
      </w:r>
      <w:r>
        <w:rPr>
          <w:rFonts w:ascii="Times New Roman" w:hAnsi="Times New Roman"/>
          <w:sz w:val="24"/>
          <w:shd w:fill="FFFFFF" w:val="clear"/>
        </w:rPr>
        <w:t xml:space="preserve"> </w:t>
      </w:r>
      <w:r>
        <w:rPr>
          <w:rFonts w:ascii="Times New Roman" w:hAnsi="Times New Roman"/>
          <w:sz w:val="20"/>
        </w:rPr>
        <w:t>and $377 for the years ended December 31, 2025 and 2024, respectively.</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ind w:left="10" w:right="0" w:hanging="0"/>
        <w:jc w:val="left"/>
        <w:rPr>
          <w:rFonts w:ascii="Times New Roman" w:hAnsi="Times New Roman"/>
          <w:b/>
          <w:color w:val="000000"/>
          <w:sz w:val="20"/>
        </w:rPr>
      </w:pPr>
      <w:r>
        <w:rPr>
          <w:rFonts w:ascii="Times New Roman" w:hAnsi="Times New Roman"/>
          <w:b/>
          <w:color w:val="000000"/>
          <w:sz w:val="20"/>
        </w:rPr>
        <w:t xml:space="preserve">7. INTANGIBLE ASSETS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b/>
          <w:sz w:val="20"/>
        </w:rPr>
        <w:t>Intangible Assets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Intangible assets consisted of the following:</w:t>
      </w:r>
      <w:r>
        <w:rPr>
          <w:rFonts w:ascii="Times New Roman" w:hAnsi="Times New Roman"/>
          <w:sz w:val="24"/>
        </w:rPr>
        <w:t xml:space="preserve"> </w:t>
      </w:r>
    </w:p>
    <w:p>
      <w:pPr>
        <w:pStyle w:val="TextBody"/>
        <w:bidi w:val="0"/>
        <w:spacing w:before="0" w:after="0"/>
        <w:jc w:val="left"/>
        <w:rPr/>
      </w:pPr>
      <w:r>
        <w:rPr/>
        <w:t xml:space="preserve">  </w:t>
      </w:r>
    </w:p>
    <w:tbl>
      <w:tblPr>
        <w:tblW w:w="7280" w:type="dxa"/>
        <w:jc w:val="left"/>
        <w:tblInd w:w="0" w:type="dxa"/>
        <w:tblLayout w:type="fixed"/>
        <w:tblCellMar>
          <w:top w:w="0" w:type="dxa"/>
          <w:left w:w="0" w:type="dxa"/>
          <w:bottom w:w="0" w:type="dxa"/>
          <w:right w:w="0" w:type="dxa"/>
        </w:tblCellMar>
      </w:tblPr>
      <w:tblGrid>
        <w:gridCol w:w="3185"/>
        <w:gridCol w:w="155"/>
        <w:gridCol w:w="1670"/>
        <w:gridCol w:w="155"/>
        <w:gridCol w:w="90"/>
        <w:gridCol w:w="155"/>
        <w:gridCol w:w="1670"/>
        <w:gridCol w:w="200"/>
      </w:tblGrid>
      <w:tr>
        <w:trPr/>
        <w:tc>
          <w:tcPr>
            <w:tcW w:w="318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sz w:val="4"/>
                <w:szCs w:val="4"/>
              </w:rPr>
            </w:pPr>
            <w:r>
              <w:rPr>
                <w:sz w:val="4"/>
                <w:szCs w:val="4"/>
              </w:rPr>
            </w:r>
          </w:p>
        </w:tc>
        <w:tc>
          <w:tcPr>
            <w:tcW w:w="1670"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December 31, 2025</w:t>
            </w:r>
          </w:p>
        </w:tc>
        <w:tc>
          <w:tcPr>
            <w:tcW w:w="155" w:type="dxa"/>
            <w:tcBorders/>
            <w:vAlign w:val="center"/>
          </w:tcPr>
          <w:p>
            <w:pPr>
              <w:pStyle w:val="TableContents"/>
              <w:bidi w:val="0"/>
              <w:spacing w:before="0" w:after="283"/>
              <w:jc w:val="left"/>
              <w:rPr>
                <w:sz w:val="4"/>
                <w:szCs w:val="4"/>
              </w:rPr>
            </w:pPr>
            <w:r>
              <w:rPr>
                <w:sz w:val="4"/>
                <w:szCs w:val="4"/>
              </w:rPr>
            </w:r>
          </w:p>
        </w:tc>
        <w:tc>
          <w:tcPr>
            <w:tcW w:w="9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5" w:type="dxa"/>
            <w:tcBorders>
              <w:bottom w:val="single" w:sz="2" w:space="0" w:color="000000"/>
            </w:tcBorders>
            <w:tcMar>
              <w:bottom w:w="28" w:type="dxa"/>
            </w:tcMar>
            <w:vAlign w:val="center"/>
          </w:tcPr>
          <w:p>
            <w:pPr>
              <w:pStyle w:val="TableContents"/>
              <w:bidi w:val="0"/>
              <w:spacing w:before="0" w:after="283"/>
              <w:jc w:val="center"/>
              <w:rPr/>
            </w:pPr>
            <w:r>
              <w:rPr/>
              <w:t> </w:t>
            </w:r>
          </w:p>
        </w:tc>
        <w:tc>
          <w:tcPr>
            <w:tcW w:w="1670"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December 31, 2024</w:t>
            </w:r>
          </w:p>
        </w:tc>
        <w:tc>
          <w:tcPr>
            <w:tcW w:w="200" w:type="dxa"/>
            <w:tcBorders>
              <w:bottom w:val="single" w:sz="2" w:space="0" w:color="000000"/>
            </w:tcBorders>
            <w:tcMar>
              <w:bottom w:w="28" w:type="dxa"/>
            </w:tcMar>
            <w:vAlign w:val="center"/>
          </w:tcPr>
          <w:p>
            <w:pPr>
              <w:pStyle w:val="TableContents"/>
              <w:bidi w:val="0"/>
              <w:spacing w:before="0" w:after="283"/>
              <w:jc w:val="center"/>
              <w:rPr/>
            </w:pPr>
            <w:r>
              <w:rPr/>
              <w:t> </w:t>
            </w:r>
          </w:p>
        </w:tc>
      </w:tr>
      <w:tr>
        <w:trPr/>
        <w:tc>
          <w:tcPr>
            <w:tcW w:w="3185" w:type="dxa"/>
            <w:tcBorders/>
            <w:vAlign w:val="center"/>
          </w:tcPr>
          <w:p>
            <w:pPr>
              <w:pStyle w:val="TableContents"/>
              <w:bidi w:val="0"/>
              <w:spacing w:before="0" w:after="283"/>
              <w:jc w:val="left"/>
              <w:rPr>
                <w:sz w:val="20"/>
              </w:rPr>
            </w:pPr>
            <w:r>
              <w:rPr>
                <w:sz w:val="20"/>
              </w:rPr>
              <w:t>Amortizable intangible assets:</w:t>
            </w:r>
          </w:p>
        </w:tc>
        <w:tc>
          <w:tcPr>
            <w:tcW w:w="15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sz w:val="20"/>
              </w:rPr>
            </w:pPr>
            <w:r>
              <w:rPr>
                <w:sz w:val="20"/>
              </w:rPr>
              <w:t>Patents</w:t>
            </w:r>
          </w:p>
        </w:tc>
        <w:tc>
          <w:tcPr>
            <w:tcW w:w="155" w:type="dxa"/>
            <w:tcBorders/>
            <w:shd w:fill="CCEEFF" w:val="clear"/>
            <w:vAlign w:val="center"/>
          </w:tcPr>
          <w:p>
            <w:pPr>
              <w:pStyle w:val="TableContents"/>
              <w:bidi w:val="0"/>
              <w:spacing w:before="0" w:after="283"/>
              <w:jc w:val="left"/>
              <w:rPr>
                <w:sz w:val="20"/>
              </w:rPr>
            </w:pPr>
            <w:r>
              <w:rPr>
                <w:sz w:val="20"/>
              </w:rPr>
              <w:t>$</w:t>
            </w:r>
          </w:p>
        </w:tc>
        <w:tc>
          <w:tcPr>
            <w:tcW w:w="1670" w:type="dxa"/>
            <w:tcBorders/>
            <w:shd w:fill="CCEEFF" w:val="clear"/>
            <w:vAlign w:val="center"/>
          </w:tcPr>
          <w:p>
            <w:pPr>
              <w:pStyle w:val="TableContents"/>
              <w:bidi w:val="0"/>
              <w:spacing w:before="0" w:after="283"/>
              <w:jc w:val="right"/>
              <w:rPr>
                <w:sz w:val="20"/>
              </w:rPr>
            </w:pPr>
            <w:r>
              <w:rPr>
                <w:sz w:val="20"/>
              </w:rPr>
              <w:t>1,142</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1670" w:type="dxa"/>
            <w:tcBorders/>
            <w:shd w:fill="CCEEFF" w:val="clear"/>
            <w:vAlign w:val="center"/>
          </w:tcPr>
          <w:p>
            <w:pPr>
              <w:pStyle w:val="TableContents"/>
              <w:bidi w:val="0"/>
              <w:spacing w:before="0" w:after="283"/>
              <w:jc w:val="right"/>
              <w:rPr>
                <w:sz w:val="20"/>
              </w:rPr>
            </w:pPr>
            <w:r>
              <w:rPr>
                <w:sz w:val="20"/>
              </w:rPr>
              <w:t>1,013</w:t>
            </w:r>
          </w:p>
        </w:tc>
        <w:tc>
          <w:tcPr>
            <w:tcW w:w="200"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20"/>
              </w:rPr>
            </w:pPr>
            <w:r>
              <w:rPr>
                <w:sz w:val="20"/>
              </w:rPr>
              <w:t>Trademarks</w:t>
            </w:r>
          </w:p>
        </w:tc>
        <w:tc>
          <w:tcPr>
            <w:tcW w:w="15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right"/>
              <w:rPr>
                <w:sz w:val="20"/>
              </w:rPr>
            </w:pPr>
            <w:r>
              <w:rPr>
                <w:sz w:val="20"/>
              </w:rPr>
              <w:t>367</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right"/>
              <w:rPr>
                <w:sz w:val="20"/>
              </w:rPr>
            </w:pPr>
            <w:r>
              <w:rPr>
                <w:sz w:val="20"/>
              </w:rPr>
              <w:t>264</w:t>
            </w:r>
          </w:p>
        </w:tc>
        <w:tc>
          <w:tcPr>
            <w:tcW w:w="20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sz w:val="20"/>
              </w:rPr>
            </w:pPr>
            <w:r>
              <w:rPr>
                <w:sz w:val="20"/>
              </w:rPr>
              <w:t>Purchased software and technology</w:t>
            </w:r>
          </w:p>
        </w:tc>
        <w:tc>
          <w:tcPr>
            <w:tcW w:w="155"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right"/>
              <w:rPr>
                <w:sz w:val="20"/>
              </w:rPr>
            </w:pPr>
            <w:r>
              <w:rPr>
                <w:sz w:val="20"/>
              </w:rPr>
              <w:t>512</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right"/>
              <w:rPr>
                <w:sz w:val="20"/>
              </w:rPr>
            </w:pPr>
            <w:r>
              <w:rPr>
                <w:sz w:val="20"/>
              </w:rPr>
              <w:t>1,752</w:t>
            </w:r>
          </w:p>
        </w:tc>
        <w:tc>
          <w:tcPr>
            <w:tcW w:w="200"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20"/>
              </w:rPr>
            </w:pPr>
            <w:r>
              <w:rPr>
                <w:sz w:val="20"/>
              </w:rPr>
              <w:t>Customer relationships</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1670" w:type="dxa"/>
            <w:tcBorders>
              <w:bottom w:val="single" w:sz="2" w:space="0" w:color="000000"/>
            </w:tcBorders>
            <w:tcMar>
              <w:bottom w:w="28" w:type="dxa"/>
            </w:tcMar>
            <w:vAlign w:val="center"/>
          </w:tcPr>
          <w:p>
            <w:pPr>
              <w:pStyle w:val="TableContents"/>
              <w:bidi w:val="0"/>
              <w:spacing w:before="0" w:after="283"/>
              <w:jc w:val="right"/>
              <w:rPr>
                <w:sz w:val="20"/>
              </w:rPr>
            </w:pPr>
            <w:r>
              <w:rPr>
                <w:sz w:val="20"/>
              </w:rPr>
              <w:t>-</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1670" w:type="dxa"/>
            <w:tcBorders>
              <w:bottom w:val="single" w:sz="2" w:space="0" w:color="000000"/>
            </w:tcBorders>
            <w:tcMar>
              <w:bottom w:w="28" w:type="dxa"/>
            </w:tcMar>
            <w:vAlign w:val="center"/>
          </w:tcPr>
          <w:p>
            <w:pPr>
              <w:pStyle w:val="TableContents"/>
              <w:bidi w:val="0"/>
              <w:spacing w:before="0" w:after="283"/>
              <w:jc w:val="right"/>
              <w:rPr>
                <w:sz w:val="20"/>
              </w:rPr>
            </w:pPr>
            <w:r>
              <w:rPr>
                <w:sz w:val="20"/>
              </w:rPr>
              <w:t>160</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1670" w:type="dxa"/>
            <w:tcBorders/>
            <w:shd w:fill="CCEEFF" w:val="clear"/>
            <w:vAlign w:val="center"/>
          </w:tcPr>
          <w:p>
            <w:pPr>
              <w:pStyle w:val="TableContents"/>
              <w:bidi w:val="0"/>
              <w:spacing w:before="0" w:after="283"/>
              <w:jc w:val="right"/>
              <w:rPr>
                <w:sz w:val="20"/>
              </w:rPr>
            </w:pPr>
            <w:r>
              <w:rPr>
                <w:sz w:val="20"/>
              </w:rPr>
              <w:t>2,021</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right"/>
              <w:rPr>
                <w:sz w:val="20"/>
              </w:rPr>
            </w:pPr>
            <w:r>
              <w:rPr>
                <w:sz w:val="20"/>
              </w:rPr>
              <w:t>3,189</w:t>
            </w:r>
          </w:p>
        </w:tc>
        <w:tc>
          <w:tcPr>
            <w:tcW w:w="200"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20"/>
              </w:rPr>
            </w:pPr>
            <w:r>
              <w:rPr>
                <w:sz w:val="20"/>
              </w:rPr>
              <w:t>Accumulated amortization</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1670" w:type="dxa"/>
            <w:tcBorders>
              <w:bottom w:val="single" w:sz="2" w:space="0" w:color="000000"/>
            </w:tcBorders>
            <w:tcMar>
              <w:bottom w:w="28" w:type="dxa"/>
            </w:tcMar>
            <w:vAlign w:val="center"/>
          </w:tcPr>
          <w:p>
            <w:pPr>
              <w:pStyle w:val="TableContents"/>
              <w:bidi w:val="0"/>
              <w:spacing w:before="0" w:after="283"/>
              <w:jc w:val="right"/>
              <w:rPr>
                <w:sz w:val="20"/>
              </w:rPr>
            </w:pPr>
            <w:r>
              <w:rPr>
                <w:sz w:val="20"/>
              </w:rPr>
              <w:t>(870</w:t>
            </w:r>
          </w:p>
        </w:tc>
        <w:tc>
          <w:tcPr>
            <w:tcW w:w="155" w:type="dxa"/>
            <w:tcBorders>
              <w:bottom w:val="single" w:sz="2" w:space="0" w:color="000000"/>
            </w:tcBorders>
            <w:tcMar>
              <w:bottom w:w="28" w:type="dxa"/>
            </w:tcMar>
            <w:vAlign w:val="center"/>
          </w:tcPr>
          <w:p>
            <w:pPr>
              <w:pStyle w:val="TableContents"/>
              <w:bidi w:val="0"/>
              <w:spacing w:before="0" w:after="283"/>
              <w:jc w:val="left"/>
              <w:rPr>
                <w:sz w:val="20"/>
              </w:rPr>
            </w:pPr>
            <w:r>
              <w:rPr>
                <w:sz w:val="20"/>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1670" w:type="dxa"/>
            <w:tcBorders>
              <w:bottom w:val="single" w:sz="2" w:space="0" w:color="000000"/>
            </w:tcBorders>
            <w:tcMar>
              <w:bottom w:w="28" w:type="dxa"/>
            </w:tcMar>
            <w:vAlign w:val="center"/>
          </w:tcPr>
          <w:p>
            <w:pPr>
              <w:pStyle w:val="TableContents"/>
              <w:bidi w:val="0"/>
              <w:spacing w:before="0" w:after="283"/>
              <w:jc w:val="right"/>
              <w:rPr>
                <w:sz w:val="20"/>
              </w:rPr>
            </w:pPr>
            <w:r>
              <w:rPr>
                <w:sz w:val="20"/>
              </w:rPr>
              <w:t>(1,256</w:t>
            </w:r>
          </w:p>
        </w:tc>
        <w:tc>
          <w:tcPr>
            <w:tcW w:w="200" w:type="dxa"/>
            <w:tcBorders>
              <w:bottom w:val="single" w:sz="2" w:space="0" w:color="000000"/>
            </w:tcBorders>
            <w:tcMar>
              <w:bottom w:w="28" w:type="dxa"/>
            </w:tcMar>
            <w:vAlign w:val="center"/>
          </w:tcPr>
          <w:p>
            <w:pPr>
              <w:pStyle w:val="TableContents"/>
              <w:bidi w:val="0"/>
              <w:spacing w:before="0" w:after="283"/>
              <w:jc w:val="left"/>
              <w:rPr>
                <w:sz w:val="20"/>
              </w:rPr>
            </w:pPr>
            <w:r>
              <w:rPr>
                <w:sz w:val="20"/>
              </w:rPr>
              <w:t>) </w:t>
            </w:r>
          </w:p>
        </w:tc>
      </w:tr>
      <w:tr>
        <w:trPr/>
        <w:tc>
          <w:tcPr>
            <w:tcW w:w="3185" w:type="dxa"/>
            <w:tcBorders/>
            <w:shd w:fill="CCEEFF" w:val="clear"/>
            <w:vAlign w:val="center"/>
          </w:tcPr>
          <w:p>
            <w:pPr>
              <w:pStyle w:val="TableContents"/>
              <w:bidi w:val="0"/>
              <w:spacing w:before="0" w:after="283"/>
              <w:jc w:val="left"/>
              <w:rPr>
                <w:sz w:val="20"/>
              </w:rPr>
            </w:pPr>
            <w:r>
              <w:rPr>
                <w:sz w:val="20"/>
              </w:rPr>
              <w:t>Total amortizable</w:t>
            </w:r>
          </w:p>
        </w:tc>
        <w:tc>
          <w:tcPr>
            <w:tcW w:w="155" w:type="dxa"/>
            <w:tcBorders/>
            <w:shd w:fill="CCEEFF" w:val="clear"/>
            <w:vAlign w:val="center"/>
          </w:tcPr>
          <w:p>
            <w:pPr>
              <w:pStyle w:val="TableContents"/>
              <w:bidi w:val="0"/>
              <w:spacing w:before="0" w:after="283"/>
              <w:jc w:val="left"/>
              <w:rPr>
                <w:sz w:val="20"/>
              </w:rPr>
            </w:pPr>
            <w:r>
              <w:rPr>
                <w:sz w:val="20"/>
              </w:rPr>
              <w:t>$</w:t>
            </w:r>
          </w:p>
        </w:tc>
        <w:tc>
          <w:tcPr>
            <w:tcW w:w="1670" w:type="dxa"/>
            <w:tcBorders/>
            <w:shd w:fill="CCEEFF" w:val="clear"/>
            <w:vAlign w:val="center"/>
          </w:tcPr>
          <w:p>
            <w:pPr>
              <w:pStyle w:val="TableContents"/>
              <w:bidi w:val="0"/>
              <w:spacing w:before="0" w:after="283"/>
              <w:jc w:val="right"/>
              <w:rPr>
                <w:sz w:val="20"/>
              </w:rPr>
            </w:pPr>
            <w:r>
              <w:rPr>
                <w:sz w:val="20"/>
              </w:rPr>
              <w:t>1,151</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670" w:type="dxa"/>
            <w:tcBorders/>
            <w:shd w:fill="CCEEFF" w:val="clear"/>
            <w:vAlign w:val="center"/>
          </w:tcPr>
          <w:p>
            <w:pPr>
              <w:pStyle w:val="TableContents"/>
              <w:bidi w:val="0"/>
              <w:spacing w:before="0" w:after="283"/>
              <w:jc w:val="right"/>
              <w:rPr>
                <w:sz w:val="20"/>
              </w:rPr>
            </w:pPr>
            <w:r>
              <w:rPr>
                <w:sz w:val="20"/>
              </w:rPr>
              <w:t>1,933</w:t>
            </w:r>
          </w:p>
        </w:tc>
        <w:tc>
          <w:tcPr>
            <w:tcW w:w="200"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sz w:val="20"/>
              </w:rPr>
            </w:pPr>
            <w:r>
              <w:rPr>
                <w:sz w:val="20"/>
              </w:rPr>
              <w:t>Indefinite life assets (non-amortizable)</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1670" w:type="dxa"/>
            <w:tcBorders>
              <w:bottom w:val="single" w:sz="2" w:space="0" w:color="000000"/>
            </w:tcBorders>
            <w:tcMar>
              <w:bottom w:w="28" w:type="dxa"/>
            </w:tcMar>
            <w:vAlign w:val="center"/>
          </w:tcPr>
          <w:p>
            <w:pPr>
              <w:pStyle w:val="TableContents"/>
              <w:bidi w:val="0"/>
              <w:spacing w:before="0" w:after="283"/>
              <w:jc w:val="right"/>
              <w:rPr>
                <w:sz w:val="20"/>
              </w:rPr>
            </w:pPr>
            <w:r>
              <w:rPr>
                <w:sz w:val="20"/>
              </w:rPr>
              <w:t>421</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1670" w:type="dxa"/>
            <w:tcBorders>
              <w:bottom w:val="single" w:sz="2" w:space="0" w:color="000000"/>
            </w:tcBorders>
            <w:tcMar>
              <w:bottom w:w="28" w:type="dxa"/>
            </w:tcMar>
            <w:vAlign w:val="center"/>
          </w:tcPr>
          <w:p>
            <w:pPr>
              <w:pStyle w:val="TableContents"/>
              <w:bidi w:val="0"/>
              <w:spacing w:before="0" w:after="283"/>
              <w:jc w:val="right"/>
              <w:rPr>
                <w:sz w:val="20"/>
              </w:rPr>
            </w:pPr>
            <w:r>
              <w:rPr>
                <w:sz w:val="20"/>
              </w:rPr>
              <w:t>421</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sz w:val="20"/>
              </w:rPr>
            </w:pPr>
            <w:r>
              <w:rPr>
                <w:sz w:val="20"/>
              </w:rPr>
              <w:t>Total intangible assets, net</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67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1,572</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67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2,354</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0"/>
        </w:rPr>
        <w:t xml:space="preserve">Amortization expenses </w:t>
      </w:r>
      <w:r>
        <w:rPr>
          <w:rFonts w:ascii="Times New Roman" w:hAnsi="Times New Roman"/>
          <w:sz w:val="20"/>
          <w:shd w:fill="FFFFFF" w:val="clear"/>
        </w:rPr>
        <w:t>were $481 and</w:t>
      </w:r>
      <w:r>
        <w:rPr>
          <w:rFonts w:ascii="Times New Roman" w:hAnsi="Times New Roman"/>
          <w:sz w:val="20"/>
        </w:rPr>
        <w:t xml:space="preserve"> $450 for the years ended December 31, 2025 and 2024, respectively. The Company recognized impairment charges for Purchases software and technology and Customer relationships of</w:t>
      </w:r>
      <w:r>
        <w:rPr>
          <w:rFonts w:ascii="Times New Roman" w:hAnsi="Times New Roman"/>
          <w:sz w:val="20"/>
          <w:shd w:fill="FFFFFF" w:val="clear"/>
        </w:rPr>
        <w:t xml:space="preserve"> $588</w:t>
      </w:r>
      <w:r>
        <w:rPr>
          <w:rFonts w:ascii="Times New Roman" w:hAnsi="Times New Roman"/>
          <w:sz w:val="24"/>
          <w:shd w:fill="FFFFFF" w:val="clear"/>
        </w:rPr>
        <w:t xml:space="preserve"> </w:t>
      </w:r>
      <w:r>
        <w:rPr>
          <w:rFonts w:ascii="Times New Roman" w:hAnsi="Times New Roman"/>
          <w:sz w:val="20"/>
          <w:shd w:fill="FFFFFF" w:val="clear"/>
        </w:rPr>
        <w:t>f</w:t>
      </w:r>
      <w:r>
        <w:rPr>
          <w:rFonts w:ascii="Times New Roman" w:hAnsi="Times New Roman"/>
          <w:sz w:val="20"/>
        </w:rPr>
        <w:t>or the year ended December 31, 2025. No impairment charges were recognized for the year ended December 31, 2024.</w:t>
      </w:r>
      <w:r>
        <w:rPr>
          <w:rFonts w:ascii="Times New Roman" w:hAnsi="Times New Roman"/>
          <w:sz w:val="24"/>
        </w:rPr>
        <w:t xml:space="preserve">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F-16</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sz w:val="20"/>
        </w:rPr>
        <w:t>At December 31, 2025, annual amortization of intangible assets, based upon the Company’s existing intangible assets and current useful lives, is estimated to be the following:</w:t>
      </w:r>
      <w:r>
        <w:rPr>
          <w:rFonts w:ascii="Times New Roman" w:hAnsi="Times New Roman"/>
          <w:sz w:val="24"/>
        </w:rPr>
        <w:t xml:space="preserve"> </w:t>
      </w:r>
    </w:p>
    <w:p>
      <w:pPr>
        <w:pStyle w:val="TextBody"/>
        <w:bidi w:val="0"/>
        <w:spacing w:before="0" w:after="0"/>
        <w:jc w:val="both"/>
        <w:rPr/>
      </w:pPr>
      <w:r>
        <w:rPr/>
        <w:t> </w:t>
      </w:r>
    </w:p>
    <w:tbl>
      <w:tblPr>
        <w:tblW w:w="1935" w:type="dxa"/>
        <w:jc w:val="left"/>
        <w:tblInd w:w="0" w:type="dxa"/>
        <w:tblLayout w:type="fixed"/>
        <w:tblCellMar>
          <w:top w:w="0" w:type="dxa"/>
          <w:left w:w="0" w:type="dxa"/>
          <w:bottom w:w="0" w:type="dxa"/>
          <w:right w:w="0" w:type="dxa"/>
        </w:tblCellMar>
      </w:tblPr>
      <w:tblGrid>
        <w:gridCol w:w="1040"/>
        <w:gridCol w:w="170"/>
        <w:gridCol w:w="590"/>
        <w:gridCol w:w="135"/>
      </w:tblGrid>
      <w:tr>
        <w:trPr/>
        <w:tc>
          <w:tcPr>
            <w:tcW w:w="1040" w:type="dxa"/>
            <w:tcBorders/>
            <w:vAlign w:val="center"/>
          </w:tcPr>
          <w:p>
            <w:pPr>
              <w:pStyle w:val="TableContents"/>
              <w:bidi w:val="0"/>
              <w:spacing w:before="0" w:after="283"/>
              <w:jc w:val="left"/>
              <w:rPr/>
            </w:pPr>
            <w:r>
              <w:rPr/>
              <w:t>2026</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118</w:t>
            </w:r>
          </w:p>
        </w:tc>
        <w:tc>
          <w:tcPr>
            <w:tcW w:w="13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left"/>
              <w:rPr/>
            </w:pPr>
            <w:r>
              <w:rPr/>
              <w:t>2027</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116</w:t>
            </w:r>
          </w:p>
        </w:tc>
        <w:tc>
          <w:tcPr>
            <w:tcW w:w="13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pPr>
            <w:r>
              <w:rPr/>
              <w:t>2028</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116</w:t>
            </w:r>
          </w:p>
        </w:tc>
        <w:tc>
          <w:tcPr>
            <w:tcW w:w="13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left"/>
              <w:rPr/>
            </w:pPr>
            <w:r>
              <w:rPr/>
              <w:t>2029</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116</w:t>
            </w:r>
          </w:p>
        </w:tc>
        <w:tc>
          <w:tcPr>
            <w:tcW w:w="135" w:type="dxa"/>
            <w:tcBorders/>
            <w:shd w:fill="CCEEFF" w:val="cle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pPr>
            <w:r>
              <w:rPr/>
              <w:t>2030</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116</w:t>
            </w:r>
          </w:p>
        </w:tc>
        <w:tc>
          <w:tcPr>
            <w:tcW w:w="135" w:type="dxa"/>
            <w:tcBorders/>
            <w:vAlign w:val="center"/>
          </w:tcPr>
          <w:p>
            <w:pPr>
              <w:pStyle w:val="TableContents"/>
              <w:bidi w:val="0"/>
              <w:spacing w:before="0" w:after="283"/>
              <w:jc w:val="left"/>
              <w:rPr/>
            </w:pPr>
            <w:r>
              <w:rPr/>
              <w:t> </w:t>
            </w:r>
          </w:p>
        </w:tc>
      </w:tr>
      <w:tr>
        <w:trPr/>
        <w:tc>
          <w:tcPr>
            <w:tcW w:w="1040" w:type="dxa"/>
            <w:tcBorders/>
            <w:shd w:fill="CCEEFF" w:val="clear"/>
            <w:vAlign w:val="center"/>
          </w:tcPr>
          <w:p>
            <w:pPr>
              <w:pStyle w:val="TableContents"/>
              <w:bidi w:val="0"/>
              <w:spacing w:before="0" w:after="283"/>
              <w:jc w:val="left"/>
              <w:rPr/>
            </w:pPr>
            <w:r>
              <w:rPr/>
              <w:t>Thereafter</w:t>
            </w:r>
          </w:p>
        </w:tc>
        <w:tc>
          <w:tcPr>
            <w:tcW w:w="170" w:type="dxa"/>
            <w:tcBorders/>
            <w:shd w:fill="CCEEFF" w:val="clear"/>
            <w:vAlign w:val="center"/>
          </w:tcPr>
          <w:p>
            <w:pPr>
              <w:pStyle w:val="TableContents"/>
              <w:bidi w:val="0"/>
              <w:spacing w:before="0" w:after="283"/>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jc w:val="right"/>
              <w:rPr/>
            </w:pPr>
            <w:r>
              <w:rPr/>
              <w:t>569</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040" w:type="dxa"/>
            <w:tcBorders/>
            <w:vAlign w:val="center"/>
          </w:tcPr>
          <w:p>
            <w:pPr>
              <w:pStyle w:val="TableContents"/>
              <w:bidi w:val="0"/>
              <w:spacing w:before="0" w:after="283"/>
              <w:jc w:val="left"/>
              <w:rPr/>
            </w:pPr>
            <w:r>
              <w:rPr/>
              <w:t>Total</w:t>
            </w:r>
          </w:p>
        </w:tc>
        <w:tc>
          <w:tcPr>
            <w:tcW w:w="170" w:type="dxa"/>
            <w:tcBorders/>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pPr>
            <w:r>
              <w:rPr/>
              <w:t>1,151</w:t>
            </w:r>
          </w:p>
        </w:tc>
        <w:tc>
          <w:tcPr>
            <w:tcW w:w="135" w:type="dxa"/>
            <w:tcBorders>
              <w:bottom w:val="double" w:sz="6" w:space="0" w:color="000000"/>
            </w:tcBorders>
            <w:tcMar>
              <w:bottom w:w="28" w:type="dxa"/>
            </w:tcMar>
            <w:vAlign w:val="center"/>
          </w:tcPr>
          <w:p>
            <w:pPr>
              <w:pStyle w:val="TableContents"/>
              <w:bidi w:val="0"/>
              <w:spacing w:before="0" w:after="283"/>
              <w:jc w:val="left"/>
              <w:rPr/>
            </w:pPr>
            <w:r>
              <w:rPr/>
              <w:t> </w:t>
            </w:r>
          </w:p>
        </w:tc>
      </w:tr>
    </w:tbl>
    <w:tbl>
      <w:tblPr>
        <w:tblW w:w="272" w:type="dxa"/>
        <w:jc w:val="left"/>
        <w:tblInd w:w="0" w:type="dxa"/>
        <w:tblLayout w:type="fixed"/>
        <w:tblCellMar>
          <w:top w:w="0" w:type="dxa"/>
          <w:left w:w="0" w:type="dxa"/>
          <w:bottom w:w="0" w:type="dxa"/>
          <w:right w:w="0" w:type="dxa"/>
        </w:tblCellMar>
      </w:tblPr>
      <w:tblGrid>
        <w:gridCol w:w="68"/>
        <w:gridCol w:w="53"/>
        <w:gridCol w:w="53"/>
        <w:gridCol w:w="98"/>
      </w:tblGrid>
      <w:tr>
        <w:trPr/>
        <w:tc>
          <w:tcPr>
            <w:tcW w:w="68"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Goodwill</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As of December 31, 2025, the Company had no Goodwill.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During 2024, the Company recorded an increase of $21 to goodwill as result of additional liabilities assumed related to the August 2023 Intrensic Acquisition.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In December 2024, the Company assessed the fair value of its Intrensic unit and determined that its carrying value exceeded its fair value by $1,631 and therefore the Company recorded a $1,631 impairment charge related to the goodwill initially recorded from the 2023 acquisition.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The table below summarizes the changes in the carrying amount of goodwill:</w:t>
      </w:r>
    </w:p>
    <w:p>
      <w:pPr>
        <w:pStyle w:val="TextBody"/>
        <w:bidi w:val="0"/>
        <w:spacing w:before="0" w:after="0"/>
        <w:jc w:val="left"/>
        <w:rPr/>
      </w:pPr>
      <w:r>
        <w:rPr/>
        <w:t> </w:t>
      </w:r>
    </w:p>
    <w:tbl>
      <w:tblPr>
        <w:tblW w:w="5450" w:type="dxa"/>
        <w:jc w:val="left"/>
        <w:tblInd w:w="0" w:type="dxa"/>
        <w:tblLayout w:type="fixed"/>
        <w:tblCellMar>
          <w:top w:w="0" w:type="dxa"/>
          <w:left w:w="0" w:type="dxa"/>
          <w:bottom w:w="0" w:type="dxa"/>
          <w:right w:w="0" w:type="dxa"/>
        </w:tblCellMar>
      </w:tblPr>
      <w:tblGrid>
        <w:gridCol w:w="4385"/>
        <w:gridCol w:w="170"/>
        <w:gridCol w:w="665"/>
        <w:gridCol w:w="230"/>
      </w:tblGrid>
      <w:tr>
        <w:trPr/>
        <w:tc>
          <w:tcPr>
            <w:tcW w:w="4385" w:type="dxa"/>
            <w:tcBorders/>
            <w:vAlign w:val="center"/>
          </w:tcPr>
          <w:p>
            <w:pPr>
              <w:pStyle w:val="TableContents"/>
              <w:bidi w:val="0"/>
              <w:spacing w:before="0" w:after="283"/>
              <w:jc w:val="left"/>
              <w:rPr/>
            </w:pPr>
            <w:r>
              <w:rPr/>
              <w:t>Balance at December 31, 2023</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1,610</w:t>
            </w:r>
          </w:p>
        </w:tc>
        <w:tc>
          <w:tcPr>
            <w:tcW w:w="230" w:type="dxa"/>
            <w:tcBorders/>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Additional liabilities recorded post acquisition</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21</w:t>
            </w:r>
          </w:p>
        </w:tc>
        <w:tc>
          <w:tcPr>
            <w:tcW w:w="230" w:type="dxa"/>
            <w:tcBorders/>
            <w:shd w:fill="CCEEFF" w:val="clear"/>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left"/>
              <w:rPr/>
            </w:pPr>
            <w:r>
              <w:rPr/>
              <w:t>Impairment charge</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right"/>
              <w:rPr/>
            </w:pPr>
            <w:r>
              <w:rPr/>
              <w:t>(1,631</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385" w:type="dxa"/>
            <w:tcBorders/>
            <w:shd w:fill="CCEEFF" w:val="clear"/>
            <w:vAlign w:val="center"/>
          </w:tcPr>
          <w:p>
            <w:pPr>
              <w:pStyle w:val="TableContents"/>
              <w:bidi w:val="0"/>
              <w:spacing w:before="0" w:after="283"/>
              <w:jc w:val="left"/>
              <w:rPr/>
            </w:pPr>
            <w:r>
              <w:rPr/>
              <w:t>Balance at December 31, 2024</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10" w:right="0" w:hanging="0"/>
        <w:jc w:val="left"/>
        <w:rPr>
          <w:rFonts w:ascii="Times New Roman" w:hAnsi="Times New Roman"/>
          <w:sz w:val="24"/>
        </w:rPr>
      </w:pPr>
      <w:r>
        <w:rPr>
          <w:rFonts w:ascii="Times New Roman" w:hAnsi="Times New Roman"/>
          <w:b/>
          <w:color w:val="000000"/>
          <w:sz w:val="20"/>
        </w:rPr>
        <w:t>8. ACCOUNTS PAYABLE AND ACCRUED LIABILITIES</w:t>
      </w:r>
      <w:r>
        <w:rPr>
          <w:rFonts w:ascii="Times New Roman" w:hAnsi="Times New Roman"/>
          <w:sz w:val="24"/>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are obligated to pay royalties pursuant to an exclusive Amended and Restated Intellectual Property License Agreement (the “License Agreement”), dated as of September 30, 2016, with Syzygy Licensing, LLC (“Syzygy”), a private technology invention, consulting and licensing company owned and controlled by Elwood G. Norris, a founder and former officer and current 5% stockholder of the Company, and James A. Barnes, a former officer and stockholder of the Company (see Note 16).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Accrued liabilities include $99 and $81 due to Syzygy pursuant to the License Agreement as of December 31, 2025 and 2024, respectively.</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0"/>
        </w:rPr>
        <w:t>Accrued liabilities consist of the following:</w:t>
      </w:r>
      <w:r>
        <w:rPr>
          <w:rFonts w:ascii="Times New Roman" w:hAnsi="Times New Roman"/>
          <w:sz w:val="24"/>
        </w:rPr>
        <w:t xml:space="preserve"> </w:t>
      </w:r>
    </w:p>
    <w:p>
      <w:pPr>
        <w:pStyle w:val="TextBody"/>
        <w:bidi w:val="0"/>
        <w:spacing w:before="0" w:after="0"/>
        <w:jc w:val="left"/>
        <w:rPr/>
      </w:pPr>
      <w:r>
        <w:rPr/>
        <w:t> </w:t>
      </w:r>
    </w:p>
    <w:tbl>
      <w:tblPr>
        <w:tblW w:w="3535" w:type="dxa"/>
        <w:jc w:val="left"/>
        <w:tblInd w:w="0" w:type="dxa"/>
        <w:tblLayout w:type="fixed"/>
        <w:tblCellMar>
          <w:top w:w="0" w:type="dxa"/>
          <w:left w:w="0" w:type="dxa"/>
          <w:bottom w:w="0" w:type="dxa"/>
          <w:right w:w="0" w:type="dxa"/>
        </w:tblCellMar>
      </w:tblPr>
      <w:tblGrid>
        <w:gridCol w:w="1925"/>
        <w:gridCol w:w="155"/>
        <w:gridCol w:w="470"/>
        <w:gridCol w:w="90"/>
        <w:gridCol w:w="90"/>
        <w:gridCol w:w="155"/>
        <w:gridCol w:w="515"/>
        <w:gridCol w:w="135"/>
      </w:tblGrid>
      <w:tr>
        <w:trPr/>
        <w:tc>
          <w:tcPr>
            <w:tcW w:w="19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925" w:type="dxa"/>
            <w:tcBorders/>
            <w:vAlign w:val="center"/>
          </w:tcPr>
          <w:p>
            <w:pPr>
              <w:pStyle w:val="TableContents"/>
              <w:bidi w:val="0"/>
              <w:spacing w:before="0" w:after="283"/>
              <w:jc w:val="left"/>
              <w:rPr/>
            </w:pPr>
            <w:r>
              <w:rPr/>
              <w:t> </w:t>
            </w:r>
          </w:p>
        </w:tc>
        <w:tc>
          <w:tcPr>
            <w:tcW w:w="1610" w:type="dxa"/>
            <w:gridSpan w:val="7"/>
            <w:tcBorders>
              <w:bottom w:val="single" w:sz="2" w:space="0" w:color="000000"/>
            </w:tcBorders>
            <w:tcMar>
              <w:bottom w:w="28" w:type="dxa"/>
            </w:tcMar>
            <w:vAlign w:val="center"/>
          </w:tcPr>
          <w:p>
            <w:pPr>
              <w:pStyle w:val="TableContents"/>
              <w:bidi w:val="0"/>
              <w:spacing w:before="0" w:after="283"/>
              <w:jc w:val="center"/>
              <w:rPr>
                <w:b/>
                <w:sz w:val="20"/>
              </w:rPr>
            </w:pPr>
            <w:r>
              <w:rPr>
                <w:b/>
                <w:sz w:val="20"/>
              </w:rPr>
              <w:t>December 31,</w:t>
            </w:r>
          </w:p>
        </w:tc>
      </w:tr>
      <w:tr>
        <w:trPr/>
        <w:tc>
          <w:tcPr>
            <w:tcW w:w="1925"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470"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2025</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515"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2024</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283"/>
              <w:jc w:val="left"/>
              <w:rPr>
                <w:sz w:val="20"/>
              </w:rPr>
            </w:pPr>
            <w:r>
              <w:rPr>
                <w:sz w:val="20"/>
              </w:rPr>
              <w:t>Patent and legal costs</w:t>
            </w:r>
          </w:p>
        </w:tc>
        <w:tc>
          <w:tcPr>
            <w:tcW w:w="155" w:type="dxa"/>
            <w:tcBorders/>
            <w:shd w:fill="CCEEFF" w:val="clear"/>
            <w:vAlign w:val="center"/>
          </w:tcPr>
          <w:p>
            <w:pPr>
              <w:pStyle w:val="TableContents"/>
              <w:bidi w:val="0"/>
              <w:spacing w:before="0" w:after="283"/>
              <w:jc w:val="left"/>
              <w:rPr>
                <w:sz w:val="20"/>
              </w:rPr>
            </w:pPr>
            <w:r>
              <w:rPr>
                <w:sz w:val="20"/>
              </w:rPr>
              <w:t>$</w:t>
            </w:r>
          </w:p>
        </w:tc>
        <w:tc>
          <w:tcPr>
            <w:tcW w:w="470" w:type="dxa"/>
            <w:tcBorders/>
            <w:shd w:fill="CCEEFF" w:val="clear"/>
            <w:vAlign w:val="center"/>
          </w:tcPr>
          <w:p>
            <w:pPr>
              <w:pStyle w:val="TableContents"/>
              <w:bidi w:val="0"/>
              <w:spacing w:before="0" w:after="283"/>
              <w:jc w:val="right"/>
              <w:rPr>
                <w:sz w:val="20"/>
              </w:rPr>
            </w:pPr>
            <w:r>
              <w:rPr>
                <w:sz w:val="20"/>
              </w:rPr>
              <w:t>111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515" w:type="dxa"/>
            <w:tcBorders/>
            <w:shd w:fill="CCEEFF" w:val="clear"/>
            <w:vAlign w:val="center"/>
          </w:tcPr>
          <w:p>
            <w:pPr>
              <w:pStyle w:val="TableContents"/>
              <w:bidi w:val="0"/>
              <w:spacing w:before="0" w:after="283"/>
              <w:jc w:val="right"/>
              <w:rPr>
                <w:sz w:val="20"/>
              </w:rPr>
            </w:pPr>
            <w:r>
              <w:rPr>
                <w:sz w:val="20"/>
              </w:rPr>
              <w:t>60</w:t>
            </w:r>
          </w:p>
        </w:tc>
        <w:tc>
          <w:tcPr>
            <w:tcW w:w="135" w:type="dxa"/>
            <w:tcBorders/>
            <w:shd w:fill="CCEEFF"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sz w:val="20"/>
              </w:rPr>
            </w:pPr>
            <w:r>
              <w:rPr>
                <w:sz w:val="20"/>
              </w:rPr>
              <w:t>Accrued compensation</w:t>
            </w:r>
          </w:p>
        </w:tc>
        <w:tc>
          <w:tcPr>
            <w:tcW w:w="15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sz w:val="20"/>
              </w:rPr>
            </w:pPr>
            <w:r>
              <w:rPr>
                <w:sz w:val="20"/>
              </w:rPr>
              <w:t>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sz w:val="20"/>
              </w:rPr>
            </w:pPr>
            <w:r>
              <w:rPr>
                <w:sz w:val="20"/>
              </w:rPr>
              <w:t>121</w:t>
            </w:r>
          </w:p>
        </w:tc>
        <w:tc>
          <w:tcPr>
            <w:tcW w:w="13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283"/>
              <w:jc w:val="left"/>
              <w:rPr>
                <w:sz w:val="20"/>
              </w:rPr>
            </w:pPr>
            <w:r>
              <w:rPr>
                <w:sz w:val="20"/>
              </w:rPr>
              <w:t>Warranty costs</w:t>
            </w:r>
          </w:p>
        </w:tc>
        <w:tc>
          <w:tcPr>
            <w:tcW w:w="15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sz w:val="20"/>
              </w:rPr>
            </w:pPr>
            <w:r>
              <w:rPr>
                <w:sz w:val="20"/>
              </w:rPr>
              <w:t>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20"/>
              </w:rPr>
            </w:pPr>
            <w:r>
              <w:rPr>
                <w:sz w:val="20"/>
              </w:rPr>
              <w:t>83</w:t>
            </w:r>
          </w:p>
        </w:tc>
        <w:tc>
          <w:tcPr>
            <w:tcW w:w="135" w:type="dxa"/>
            <w:tcBorders/>
            <w:shd w:fill="CCEEFF"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sz w:val="20"/>
              </w:rPr>
            </w:pPr>
            <w:r>
              <w:rPr>
                <w:sz w:val="20"/>
              </w:rPr>
              <w:t>Royalty</w:t>
            </w:r>
          </w:p>
        </w:tc>
        <w:tc>
          <w:tcPr>
            <w:tcW w:w="15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sz w:val="20"/>
              </w:rPr>
            </w:pPr>
            <w:r>
              <w:rPr>
                <w:sz w:val="20"/>
              </w:rPr>
              <w:t>99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sz w:val="20"/>
              </w:rPr>
            </w:pPr>
            <w:r>
              <w:rPr>
                <w:sz w:val="20"/>
              </w:rPr>
              <w:t>81</w:t>
            </w:r>
          </w:p>
        </w:tc>
        <w:tc>
          <w:tcPr>
            <w:tcW w:w="135" w:type="dxa"/>
            <w:tcBorders/>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283"/>
              <w:jc w:val="left"/>
              <w:rPr>
                <w:sz w:val="20"/>
              </w:rPr>
            </w:pPr>
            <w:r>
              <w:rPr>
                <w:sz w:val="20"/>
              </w:rPr>
              <w:t>Contract settlement</w:t>
            </w:r>
          </w:p>
        </w:tc>
        <w:tc>
          <w:tcPr>
            <w:tcW w:w="155"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20"/>
              </w:rPr>
            </w:pPr>
            <w:r>
              <w:rPr>
                <w:sz w:val="20"/>
              </w:rPr>
              <w:t>300</w:t>
            </w:r>
          </w:p>
        </w:tc>
        <w:tc>
          <w:tcPr>
            <w:tcW w:w="135" w:type="dxa"/>
            <w:tcBorders/>
            <w:shd w:fill="CCEEFF" w:val="clear"/>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sz w:val="20"/>
              </w:rPr>
            </w:pPr>
            <w:r>
              <w:rPr>
                <w:sz w:val="20"/>
              </w:rPr>
              <w:t>Accrued purchases</w:t>
            </w:r>
          </w:p>
        </w:tc>
        <w:tc>
          <w:tcPr>
            <w:tcW w:w="155" w:type="dxa"/>
            <w:tcBorders/>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right"/>
              <w:rPr>
                <w:sz w:val="20"/>
              </w:rPr>
            </w:pPr>
            <w:r>
              <w:rPr>
                <w:sz w:val="20"/>
              </w:rPr>
              <w:t>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sz w:val="20"/>
              </w:rPr>
            </w:pPr>
            <w:r>
              <w:rPr>
                <w:sz w:val="20"/>
              </w:rPr>
              <w:t>584</w:t>
            </w:r>
          </w:p>
        </w:tc>
        <w:tc>
          <w:tcPr>
            <w:tcW w:w="13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sz w:val="20"/>
              </w:rPr>
            </w:pPr>
            <w:r>
              <w:rPr>
                <w:sz w:val="20"/>
              </w:rPr>
              <w:t>Taxes and other</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470" w:type="dxa"/>
            <w:tcBorders>
              <w:bottom w:val="single" w:sz="2" w:space="0" w:color="000000"/>
            </w:tcBorders>
            <w:tcMar>
              <w:bottom w:w="28" w:type="dxa"/>
            </w:tcMar>
            <w:vAlign w:val="center"/>
          </w:tcPr>
          <w:p>
            <w:pPr>
              <w:pStyle w:val="TableContents"/>
              <w:bidi w:val="0"/>
              <w:spacing w:before="0" w:after="283"/>
              <w:jc w:val="right"/>
              <w:rPr>
                <w:sz w:val="20"/>
              </w:rPr>
            </w:pPr>
            <w:r>
              <w:rPr>
                <w:sz w:val="20"/>
              </w:rPr>
              <w:t>159</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515" w:type="dxa"/>
            <w:tcBorders>
              <w:bottom w:val="single" w:sz="2" w:space="0" w:color="000000"/>
            </w:tcBorders>
            <w:tcMar>
              <w:bottom w:w="28" w:type="dxa"/>
            </w:tcMar>
            <w:vAlign w:val="center"/>
          </w:tcPr>
          <w:p>
            <w:pPr>
              <w:pStyle w:val="TableContents"/>
              <w:bidi w:val="0"/>
              <w:spacing w:before="0" w:after="283"/>
              <w:jc w:val="right"/>
              <w:rPr>
                <w:sz w:val="20"/>
              </w:rPr>
            </w:pPr>
            <w:r>
              <w:rPr>
                <w:sz w:val="20"/>
              </w:rPr>
              <w:t>174</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25" w:type="dxa"/>
            <w:tcBorders/>
            <w:shd w:fill="CCEEFF" w:val="clear"/>
            <w:vAlign w:val="center"/>
          </w:tcPr>
          <w:p>
            <w:pPr>
              <w:pStyle w:val="TableContents"/>
              <w:bidi w:val="0"/>
              <w:spacing w:before="0" w:after="283"/>
              <w:jc w:val="left"/>
              <w:rPr>
                <w:sz w:val="20"/>
              </w:rPr>
            </w:pPr>
            <w:r>
              <w:rPr>
                <w:sz w:val="20"/>
              </w:rPr>
              <w:t>Total</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47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407</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1,403</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F-17</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sz w:val="20"/>
        </w:rPr>
        <w:t>Changes in our estimated product warranty costs were as follows:</w:t>
      </w:r>
      <w:r>
        <w:rPr>
          <w:rFonts w:ascii="Times New Roman" w:hAnsi="Times New Roman"/>
          <w:sz w:val="24"/>
        </w:rPr>
        <w:t xml:space="preserve"> </w:t>
      </w:r>
    </w:p>
    <w:p>
      <w:pPr>
        <w:pStyle w:val="TextBody"/>
        <w:bidi w:val="0"/>
        <w:spacing w:before="0" w:after="0"/>
        <w:jc w:val="left"/>
        <w:rPr/>
      </w:pPr>
      <w:r>
        <w:rPr/>
        <w:t> </w:t>
      </w:r>
    </w:p>
    <w:tbl>
      <w:tblPr>
        <w:tblW w:w="4732" w:type="dxa"/>
        <w:jc w:val="left"/>
        <w:tblInd w:w="0" w:type="dxa"/>
        <w:tblLayout w:type="fixed"/>
        <w:tblCellMar>
          <w:top w:w="0" w:type="dxa"/>
          <w:left w:w="0" w:type="dxa"/>
          <w:bottom w:w="0" w:type="dxa"/>
          <w:right w:w="0" w:type="dxa"/>
        </w:tblCellMar>
      </w:tblPr>
      <w:tblGrid>
        <w:gridCol w:w="2435"/>
        <w:gridCol w:w="210"/>
        <w:gridCol w:w="637"/>
        <w:gridCol w:w="210"/>
        <w:gridCol w:w="122"/>
        <w:gridCol w:w="210"/>
        <w:gridCol w:w="637"/>
        <w:gridCol w:w="271"/>
      </w:tblGrid>
      <w:tr>
        <w:trPr/>
        <w:tc>
          <w:tcPr>
            <w:tcW w:w="243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435" w:type="dxa"/>
            <w:tcBorders/>
            <w:vAlign w:val="center"/>
          </w:tcPr>
          <w:p>
            <w:pPr>
              <w:pStyle w:val="TableContents"/>
              <w:bidi w:val="0"/>
              <w:spacing w:before="0" w:after="283"/>
              <w:jc w:val="left"/>
              <w:rPr/>
            </w:pPr>
            <w:r>
              <w:rPr/>
              <w:t> </w:t>
            </w:r>
          </w:p>
        </w:tc>
        <w:tc>
          <w:tcPr>
            <w:tcW w:w="2297" w:type="dxa"/>
            <w:gridSpan w:val="7"/>
            <w:tcBorders>
              <w:bottom w:val="single" w:sz="2" w:space="0" w:color="000000"/>
            </w:tcBorders>
            <w:tcMar>
              <w:bottom w:w="28" w:type="dxa"/>
            </w:tcMar>
            <w:vAlign w:val="center"/>
          </w:tcPr>
          <w:p>
            <w:pPr>
              <w:pStyle w:val="TableContents"/>
              <w:bidi w:val="0"/>
              <w:spacing w:before="0" w:after="283"/>
              <w:jc w:val="center"/>
              <w:rPr>
                <w:b/>
                <w:sz w:val="20"/>
              </w:rPr>
            </w:pPr>
            <w:r>
              <w:rPr>
                <w:b/>
                <w:sz w:val="20"/>
              </w:rPr>
              <w:t>Year Ended December 31,</w:t>
            </w:r>
          </w:p>
        </w:tc>
      </w:tr>
      <w:tr>
        <w:trPr/>
        <w:tc>
          <w:tcPr>
            <w:tcW w:w="2435" w:type="dxa"/>
            <w:tcBorders/>
            <w:vAlign w:val="center"/>
          </w:tcPr>
          <w:p>
            <w:pPr>
              <w:pStyle w:val="TableContents"/>
              <w:bidi w:val="0"/>
              <w:spacing w:before="0" w:after="283"/>
              <w:jc w:val="left"/>
              <w:rPr/>
            </w:pPr>
            <w:r>
              <w:rPr/>
              <w:t> </w:t>
            </w:r>
          </w:p>
        </w:tc>
        <w:tc>
          <w:tcPr>
            <w:tcW w:w="210" w:type="dxa"/>
            <w:tcBorders>
              <w:bottom w:val="single" w:sz="2" w:space="0" w:color="000000"/>
            </w:tcBorders>
            <w:tcMar>
              <w:bottom w:w="28" w:type="dxa"/>
            </w:tcMar>
            <w:vAlign w:val="center"/>
          </w:tcPr>
          <w:p>
            <w:pPr>
              <w:pStyle w:val="TableContents"/>
              <w:bidi w:val="0"/>
              <w:spacing w:before="0" w:after="283"/>
              <w:jc w:val="left"/>
              <w:rPr/>
            </w:pPr>
            <w:r>
              <w:rPr/>
              <w:t> </w:t>
            </w:r>
          </w:p>
        </w:tc>
        <w:tc>
          <w:tcPr>
            <w:tcW w:w="637"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2025</w:t>
            </w:r>
          </w:p>
        </w:tc>
        <w:tc>
          <w:tcPr>
            <w:tcW w:w="210" w:type="dxa"/>
            <w:tcBorders>
              <w:bottom w:val="single" w:sz="2" w:space="0" w:color="000000"/>
            </w:tcBorders>
            <w:tcMar>
              <w:bottom w:w="28" w:type="dxa"/>
            </w:tcMar>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210" w:type="dxa"/>
            <w:tcBorders>
              <w:bottom w:val="single" w:sz="2" w:space="0" w:color="000000"/>
            </w:tcBorders>
            <w:tcMar>
              <w:bottom w:w="28" w:type="dxa"/>
            </w:tcMar>
            <w:vAlign w:val="center"/>
          </w:tcPr>
          <w:p>
            <w:pPr>
              <w:pStyle w:val="TableContents"/>
              <w:bidi w:val="0"/>
              <w:spacing w:before="0" w:after="283"/>
              <w:jc w:val="left"/>
              <w:rPr/>
            </w:pPr>
            <w:r>
              <w:rPr/>
              <w:t> </w:t>
            </w:r>
          </w:p>
        </w:tc>
        <w:tc>
          <w:tcPr>
            <w:tcW w:w="637"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2024</w:t>
            </w:r>
          </w:p>
        </w:tc>
        <w:tc>
          <w:tcPr>
            <w:tcW w:w="271"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35" w:type="dxa"/>
            <w:tcBorders/>
            <w:shd w:fill="CCEEFF" w:val="clear"/>
            <w:vAlign w:val="center"/>
          </w:tcPr>
          <w:p>
            <w:pPr>
              <w:pStyle w:val="TableContents"/>
              <w:bidi w:val="0"/>
              <w:spacing w:before="0" w:after="283"/>
              <w:jc w:val="left"/>
              <w:rPr>
                <w:sz w:val="20"/>
              </w:rPr>
            </w:pPr>
            <w:r>
              <w:rPr>
                <w:sz w:val="20"/>
              </w:rPr>
              <w:t>Balance, beginning of period</w:t>
            </w:r>
          </w:p>
        </w:tc>
        <w:tc>
          <w:tcPr>
            <w:tcW w:w="210" w:type="dxa"/>
            <w:tcBorders/>
            <w:shd w:fill="CCEEFF" w:val="clear"/>
            <w:vAlign w:val="center"/>
          </w:tcPr>
          <w:p>
            <w:pPr>
              <w:pStyle w:val="TableContents"/>
              <w:bidi w:val="0"/>
              <w:spacing w:before="0" w:after="283"/>
              <w:jc w:val="left"/>
              <w:rPr>
                <w:sz w:val="20"/>
              </w:rPr>
            </w:pPr>
            <w:r>
              <w:rPr>
                <w:sz w:val="20"/>
              </w:rPr>
              <w:t>$</w:t>
            </w:r>
          </w:p>
        </w:tc>
        <w:tc>
          <w:tcPr>
            <w:tcW w:w="637" w:type="dxa"/>
            <w:tcBorders/>
            <w:shd w:fill="CCEEFF" w:val="clear"/>
            <w:vAlign w:val="center"/>
          </w:tcPr>
          <w:p>
            <w:pPr>
              <w:pStyle w:val="TableContents"/>
              <w:bidi w:val="0"/>
              <w:spacing w:before="0" w:after="283"/>
              <w:jc w:val="right"/>
              <w:rPr>
                <w:sz w:val="20"/>
              </w:rPr>
            </w:pPr>
            <w:r>
              <w:rPr>
                <w:sz w:val="20"/>
              </w:rPr>
              <w:t>83</w:t>
            </w:r>
          </w:p>
        </w:tc>
        <w:tc>
          <w:tcPr>
            <w:tcW w:w="210" w:type="dxa"/>
            <w:tcBorders/>
            <w:shd w:fill="CCEEFF" w:val="clear"/>
            <w:vAlign w:val="center"/>
          </w:tcPr>
          <w:p>
            <w:pPr>
              <w:pStyle w:val="TableContents"/>
              <w:bidi w:val="0"/>
              <w:spacing w:before="0" w:after="283"/>
              <w:jc w:val="left"/>
              <w:rPr/>
            </w:pPr>
            <w:r>
              <w:rPr/>
              <w:t> </w:t>
            </w:r>
          </w:p>
        </w:tc>
        <w:tc>
          <w:tcPr>
            <w:tcW w:w="122"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20"/>
              </w:rPr>
            </w:pPr>
            <w:r>
              <w:rPr>
                <w:sz w:val="20"/>
              </w:rPr>
              <w:t>$</w:t>
            </w:r>
          </w:p>
        </w:tc>
        <w:tc>
          <w:tcPr>
            <w:tcW w:w="637" w:type="dxa"/>
            <w:tcBorders/>
            <w:shd w:fill="CCEEFF" w:val="clear"/>
            <w:vAlign w:val="center"/>
          </w:tcPr>
          <w:p>
            <w:pPr>
              <w:pStyle w:val="TableContents"/>
              <w:bidi w:val="0"/>
              <w:spacing w:before="0" w:after="283"/>
              <w:jc w:val="right"/>
              <w:rPr>
                <w:sz w:val="20"/>
              </w:rPr>
            </w:pPr>
            <w:r>
              <w:rPr>
                <w:sz w:val="20"/>
              </w:rPr>
              <w:t>72</w:t>
            </w:r>
          </w:p>
        </w:tc>
        <w:tc>
          <w:tcPr>
            <w:tcW w:w="271" w:type="dxa"/>
            <w:tcBorders/>
            <w:shd w:fill="CCEEFF" w:val="cle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20"/>
              </w:rPr>
            </w:pPr>
            <w:r>
              <w:rPr>
                <w:sz w:val="20"/>
              </w:rPr>
              <w:t>Warranty settlements</w:t>
            </w:r>
          </w:p>
        </w:tc>
        <w:tc>
          <w:tcPr>
            <w:tcW w:w="21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right"/>
              <w:rPr>
                <w:sz w:val="20"/>
              </w:rPr>
            </w:pPr>
            <w:r>
              <w:rPr>
                <w:sz w:val="20"/>
              </w:rPr>
              <w:t>(13</w:t>
            </w:r>
          </w:p>
        </w:tc>
        <w:tc>
          <w:tcPr>
            <w:tcW w:w="210" w:type="dxa"/>
            <w:tcBorders/>
            <w:vAlign w:val="center"/>
          </w:tcPr>
          <w:p>
            <w:pPr>
              <w:pStyle w:val="TableContents"/>
              <w:bidi w:val="0"/>
              <w:spacing w:before="0" w:after="283"/>
              <w:jc w:val="left"/>
              <w:rPr>
                <w:sz w:val="20"/>
              </w:rPr>
            </w:pPr>
            <w:r>
              <w:rPr>
                <w:sz w:val="20"/>
              </w:rPr>
              <w:t>) </w:t>
            </w:r>
          </w:p>
        </w:tc>
        <w:tc>
          <w:tcPr>
            <w:tcW w:w="122"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right"/>
              <w:rPr>
                <w:sz w:val="20"/>
              </w:rPr>
            </w:pPr>
            <w:r>
              <w:rPr>
                <w:sz w:val="20"/>
              </w:rPr>
              <w:t>(79</w:t>
            </w:r>
          </w:p>
        </w:tc>
        <w:tc>
          <w:tcPr>
            <w:tcW w:w="271" w:type="dxa"/>
            <w:tcBorders/>
            <w:vAlign w:val="center"/>
          </w:tcPr>
          <w:p>
            <w:pPr>
              <w:pStyle w:val="TableContents"/>
              <w:bidi w:val="0"/>
              <w:spacing w:before="0" w:after="283"/>
              <w:jc w:val="left"/>
              <w:rPr>
                <w:sz w:val="20"/>
              </w:rPr>
            </w:pPr>
            <w:r>
              <w:rPr>
                <w:sz w:val="20"/>
              </w:rPr>
              <w:t>) </w:t>
            </w:r>
          </w:p>
        </w:tc>
      </w:tr>
      <w:tr>
        <w:trPr/>
        <w:tc>
          <w:tcPr>
            <w:tcW w:w="2435" w:type="dxa"/>
            <w:tcBorders/>
            <w:shd w:fill="CCEEFF" w:val="clear"/>
            <w:vAlign w:val="center"/>
          </w:tcPr>
          <w:p>
            <w:pPr>
              <w:pStyle w:val="TableContents"/>
              <w:bidi w:val="0"/>
              <w:spacing w:before="0" w:after="283"/>
              <w:jc w:val="left"/>
              <w:rPr>
                <w:sz w:val="20"/>
              </w:rPr>
            </w:pPr>
            <w:r>
              <w:rPr>
                <w:sz w:val="20"/>
              </w:rPr>
              <w:t>Warranty provision</w:t>
            </w:r>
          </w:p>
        </w:tc>
        <w:tc>
          <w:tcPr>
            <w:tcW w:w="2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(40</w:t>
            </w:r>
          </w:p>
        </w:tc>
        <w:tc>
          <w:tcPr>
            <w:tcW w:w="210"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 </w:t>
            </w:r>
          </w:p>
        </w:tc>
        <w:tc>
          <w:tcPr>
            <w:tcW w:w="122"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90</w:t>
            </w:r>
          </w:p>
        </w:tc>
        <w:tc>
          <w:tcPr>
            <w:tcW w:w="27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435" w:type="dxa"/>
            <w:tcBorders/>
            <w:vAlign w:val="center"/>
          </w:tcPr>
          <w:p>
            <w:pPr>
              <w:pStyle w:val="TableContents"/>
              <w:bidi w:val="0"/>
              <w:spacing w:before="0" w:after="283"/>
              <w:jc w:val="left"/>
              <w:rPr>
                <w:sz w:val="20"/>
              </w:rPr>
            </w:pPr>
            <w:r>
              <w:rPr>
                <w:sz w:val="20"/>
              </w:rPr>
              <w:t>Balance, end of period</w:t>
            </w:r>
          </w:p>
        </w:tc>
        <w:tc>
          <w:tcPr>
            <w:tcW w:w="210" w:type="dxa"/>
            <w:tcBorders>
              <w:bottom w:val="double" w:sz="6" w:space="0" w:color="000000"/>
            </w:tcBorders>
            <w:tcMar>
              <w:bottom w:w="28" w:type="dxa"/>
            </w:tcMar>
            <w:vAlign w:val="center"/>
          </w:tcPr>
          <w:p>
            <w:pPr>
              <w:pStyle w:val="TableContents"/>
              <w:bidi w:val="0"/>
              <w:spacing w:before="0" w:after="283"/>
              <w:jc w:val="left"/>
              <w:rPr>
                <w:sz w:val="20"/>
              </w:rPr>
            </w:pPr>
            <w:r>
              <w:rPr>
                <w:sz w:val="20"/>
              </w:rPr>
              <w:t>$</w:t>
            </w:r>
          </w:p>
        </w:tc>
        <w:tc>
          <w:tcPr>
            <w:tcW w:w="637" w:type="dxa"/>
            <w:tcBorders>
              <w:bottom w:val="double" w:sz="6" w:space="0" w:color="000000"/>
            </w:tcBorders>
            <w:tcMar>
              <w:bottom w:w="28" w:type="dxa"/>
            </w:tcMar>
            <w:vAlign w:val="center"/>
          </w:tcPr>
          <w:p>
            <w:pPr>
              <w:pStyle w:val="TableContents"/>
              <w:bidi w:val="0"/>
              <w:spacing w:before="0" w:after="283"/>
              <w:jc w:val="right"/>
              <w:rPr>
                <w:sz w:val="20"/>
              </w:rPr>
            </w:pPr>
            <w:r>
              <w:rPr>
                <w:sz w:val="20"/>
              </w:rPr>
              <w:t>30</w:t>
            </w:r>
          </w:p>
        </w:tc>
        <w:tc>
          <w:tcPr>
            <w:tcW w:w="210" w:type="dxa"/>
            <w:tcBorders>
              <w:bottom w:val="double" w:sz="6" w:space="0" w:color="000000"/>
            </w:tcBorders>
            <w:tcMar>
              <w:bottom w:w="28" w:type="dxa"/>
            </w:tcMar>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210" w:type="dxa"/>
            <w:tcBorders>
              <w:bottom w:val="double" w:sz="6" w:space="0" w:color="000000"/>
            </w:tcBorders>
            <w:tcMar>
              <w:bottom w:w="28" w:type="dxa"/>
            </w:tcMar>
            <w:vAlign w:val="center"/>
          </w:tcPr>
          <w:p>
            <w:pPr>
              <w:pStyle w:val="TableContents"/>
              <w:bidi w:val="0"/>
              <w:spacing w:before="0" w:after="283"/>
              <w:jc w:val="left"/>
              <w:rPr>
                <w:sz w:val="20"/>
              </w:rPr>
            </w:pPr>
            <w:r>
              <w:rPr>
                <w:sz w:val="20"/>
              </w:rPr>
              <w:t>$</w:t>
            </w:r>
          </w:p>
        </w:tc>
        <w:tc>
          <w:tcPr>
            <w:tcW w:w="637" w:type="dxa"/>
            <w:tcBorders>
              <w:bottom w:val="double" w:sz="6" w:space="0" w:color="000000"/>
            </w:tcBorders>
            <w:tcMar>
              <w:bottom w:w="28" w:type="dxa"/>
            </w:tcMar>
            <w:vAlign w:val="center"/>
          </w:tcPr>
          <w:p>
            <w:pPr>
              <w:pStyle w:val="TableContents"/>
              <w:bidi w:val="0"/>
              <w:spacing w:before="0" w:after="283"/>
              <w:jc w:val="right"/>
              <w:rPr>
                <w:sz w:val="20"/>
              </w:rPr>
            </w:pPr>
            <w:r>
              <w:rPr>
                <w:sz w:val="20"/>
              </w:rPr>
              <w:t>83</w:t>
            </w:r>
          </w:p>
        </w:tc>
        <w:tc>
          <w:tcPr>
            <w:tcW w:w="271"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10" w:right="0" w:hanging="0"/>
        <w:jc w:val="left"/>
        <w:rPr>
          <w:rFonts w:ascii="Times New Roman" w:hAnsi="Times New Roman"/>
          <w:sz w:val="24"/>
        </w:rPr>
      </w:pPr>
      <w:r>
        <w:rPr>
          <w:rFonts w:ascii="Times New Roman" w:hAnsi="Times New Roman"/>
          <w:b/>
          <w:color w:val="000000"/>
          <w:sz w:val="20"/>
        </w:rPr>
        <w:t>9. LEASES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 xml:space="preserve">The Company determines if an arrangement is a lease at inception. The guidance in FASB ASC Topic 842, </w:t>
      </w:r>
      <w:r>
        <w:rPr>
          <w:rFonts w:ascii="Times New Roman" w:hAnsi="Times New Roman"/>
          <w:i/>
          <w:sz w:val="20"/>
        </w:rPr>
        <w:t>Leases</w:t>
      </w:r>
      <w:r>
        <w:rPr>
          <w:rFonts w:ascii="Times New Roman" w:hAnsi="Times New Roman"/>
          <w:sz w:val="24"/>
        </w:rPr>
        <w:t xml:space="preserve"> </w:t>
      </w:r>
      <w:r>
        <w:rPr>
          <w:rFonts w:ascii="Times New Roman" w:hAnsi="Times New Roman"/>
          <w:sz w:val="20"/>
        </w:rPr>
        <w:t xml:space="preserve">defines a lease as a contract, or part of a contract, that conveys the right to control the use of identified property, plant, or equipment (an identified asset) for a period of time in exchange for consideration. Operating lease right of use </w:t>
      </w:r>
      <w:r>
        <w:rPr>
          <w:rFonts w:ascii="Times New Roman" w:hAnsi="Times New Roman"/>
          <w:i/>
          <w:sz w:val="20"/>
        </w:rPr>
        <w:t>(</w:t>
      </w:r>
      <w:r>
        <w:rPr>
          <w:rFonts w:ascii="Times New Roman" w:hAnsi="Times New Roman"/>
          <w:sz w:val="24"/>
        </w:rPr>
        <w:t>“</w:t>
      </w:r>
      <w:r>
        <w:rPr>
          <w:rFonts w:ascii="Times New Roman" w:hAnsi="Times New Roman"/>
          <w:i/>
          <w:sz w:val="20"/>
        </w:rPr>
        <w:t>ROU</w:t>
      </w:r>
      <w:r>
        <w:rPr>
          <w:rFonts w:ascii="Times New Roman" w:hAnsi="Times New Roman"/>
          <w:sz w:val="24"/>
        </w:rPr>
        <w:t>”</w:t>
      </w:r>
      <w:r>
        <w:rPr>
          <w:rFonts w:ascii="Times New Roman" w:hAnsi="Times New Roman"/>
          <w:sz w:val="20"/>
        </w:rPr>
        <w:t>) assets and lease liabilities are recognized based on the present value of future minimum lease payments over the lease term at commencement date. The Company’s leases do not provide an implicit rate. Due to a lack of financing history or ability, the Company uses an estimate of low-grade debt rate published by the Federal Reserve Bank as its incremental borrowing rate based on the information available at the commencement date in determining the present value of future payments. The ROU asset includes any lease payments made and excludes lease incentives and initial direct costs incurred.</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For leases beginning on or after January 1, 2019</w:t>
      </w:r>
      <w:r>
        <w:rPr>
          <w:rFonts w:ascii="Times New Roman" w:hAnsi="Times New Roman"/>
          <w:i/>
          <w:sz w:val="20"/>
        </w:rPr>
        <w:t>,</w:t>
      </w:r>
      <w:r>
        <w:rPr>
          <w:rFonts w:ascii="Times New Roman" w:hAnsi="Times New Roman"/>
          <w:sz w:val="24"/>
        </w:rPr>
        <w:t xml:space="preserve"> </w:t>
      </w:r>
      <w:r>
        <w:rPr>
          <w:rFonts w:ascii="Times New Roman" w:hAnsi="Times New Roman"/>
          <w:sz w:val="20"/>
        </w:rPr>
        <w:t xml:space="preserve">lease components are accounted for separately from non-lease components for all asset classes. </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In March 2026, the Company entered into a month-to-month service agreement for a business address located in Miami, Florida.</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 xml:space="preserve">Amortization of ROU operating lease assets </w:t>
      </w:r>
      <w:r>
        <w:rPr>
          <w:rFonts w:ascii="Times New Roman" w:hAnsi="Times New Roman"/>
          <w:sz w:val="20"/>
          <w:shd w:fill="FFFFFF" w:val="clear"/>
        </w:rPr>
        <w:t>was $286</w:t>
      </w:r>
      <w:r>
        <w:rPr>
          <w:rFonts w:ascii="Times New Roman" w:hAnsi="Times New Roman"/>
          <w:sz w:val="24"/>
          <w:shd w:fill="FFFFFF" w:val="clear"/>
        </w:rPr>
        <w:t> </w:t>
      </w:r>
      <w:r>
        <w:rPr>
          <w:rFonts w:ascii="Times New Roman" w:hAnsi="Times New Roman"/>
          <w:sz w:val="20"/>
          <w:shd w:fill="FFFFFF" w:val="clear"/>
        </w:rPr>
        <w:t>a</w:t>
      </w:r>
      <w:r>
        <w:rPr>
          <w:rFonts w:ascii="Times New Roman" w:hAnsi="Times New Roman"/>
          <w:sz w:val="20"/>
        </w:rPr>
        <w:t>nd $292 for the years ended December 31, 2025 and 2024, respectively.</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Operating lease expense for capitalized operating leases included in operating activities was</w:t>
      </w:r>
      <w:r>
        <w:rPr>
          <w:rFonts w:ascii="Times New Roman" w:hAnsi="Times New Roman"/>
          <w:sz w:val="20"/>
          <w:shd w:fill="FFFFFF" w:val="clear"/>
        </w:rPr>
        <w:t xml:space="preserve"> $610</w:t>
      </w:r>
      <w:r>
        <w:rPr>
          <w:rFonts w:ascii="Times New Roman" w:hAnsi="Times New Roman"/>
          <w:sz w:val="24"/>
          <w:shd w:fill="FFFFFF" w:val="clear"/>
        </w:rPr>
        <w:t> </w:t>
      </w:r>
      <w:r>
        <w:rPr>
          <w:rFonts w:ascii="Times New Roman" w:hAnsi="Times New Roman"/>
          <w:sz w:val="20"/>
          <w:shd w:fill="FFFFFF" w:val="clear"/>
        </w:rPr>
        <w:t>a</w:t>
      </w:r>
      <w:r>
        <w:rPr>
          <w:rFonts w:ascii="Times New Roman" w:hAnsi="Times New Roman"/>
          <w:sz w:val="20"/>
        </w:rPr>
        <w:t>nd $644 for the years ended December 31, 2025 and 2024, respectively. Operating lease obligations recorded on the balance sheet at December 31, 2025 are:</w:t>
      </w:r>
      <w:r>
        <w:rPr>
          <w:rFonts w:ascii="Times New Roman" w:hAnsi="Times New Roman"/>
          <w:sz w:val="24"/>
        </w:rPr>
        <w:t xml:space="preserve"> </w:t>
      </w:r>
    </w:p>
    <w:p>
      <w:pPr>
        <w:pStyle w:val="TextBody"/>
        <w:bidi w:val="0"/>
        <w:spacing w:before="0" w:after="0"/>
        <w:jc w:val="both"/>
        <w:rPr/>
      </w:pPr>
      <w:r>
        <w:rPr/>
        <w:t xml:space="preserve">  </w:t>
      </w:r>
    </w:p>
    <w:tbl>
      <w:tblPr>
        <w:tblW w:w="3795" w:type="dxa"/>
        <w:jc w:val="left"/>
        <w:tblInd w:w="0" w:type="dxa"/>
        <w:tblLayout w:type="fixed"/>
        <w:tblCellMar>
          <w:top w:w="0" w:type="dxa"/>
          <w:left w:w="0" w:type="dxa"/>
          <w:bottom w:w="0" w:type="dxa"/>
          <w:right w:w="0" w:type="dxa"/>
        </w:tblCellMar>
      </w:tblPr>
      <w:tblGrid>
        <w:gridCol w:w="2990"/>
        <w:gridCol w:w="155"/>
        <w:gridCol w:w="515"/>
        <w:gridCol w:w="135"/>
      </w:tblGrid>
      <w:tr>
        <w:trPr/>
        <w:tc>
          <w:tcPr>
            <w:tcW w:w="29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990" w:type="dxa"/>
            <w:tcBorders/>
            <w:shd w:fill="CCEEFF" w:val="clear"/>
            <w:vAlign w:val="center"/>
          </w:tcPr>
          <w:p>
            <w:pPr>
              <w:pStyle w:val="TableContents"/>
              <w:bidi w:val="0"/>
              <w:spacing w:before="0" w:after="283"/>
              <w:jc w:val="left"/>
              <w:rPr>
                <w:sz w:val="20"/>
              </w:rPr>
            </w:pPr>
            <w:r>
              <w:rPr>
                <w:sz w:val="20"/>
              </w:rPr>
              <w:t>Operating lease liability - short term</w:t>
            </w:r>
          </w:p>
        </w:tc>
        <w:tc>
          <w:tcPr>
            <w:tcW w:w="155" w:type="dxa"/>
            <w:tcBorders/>
            <w:shd w:fill="CCEEFF" w:val="clear"/>
            <w:vAlign w:val="center"/>
          </w:tcPr>
          <w:p>
            <w:pPr>
              <w:pStyle w:val="TableContents"/>
              <w:bidi w:val="0"/>
              <w:spacing w:before="0" w:after="283"/>
              <w:jc w:val="left"/>
              <w:rPr>
                <w:sz w:val="20"/>
              </w:rPr>
            </w:pPr>
            <w:r>
              <w:rPr>
                <w:sz w:val="20"/>
              </w:rPr>
              <w:t>$</w:t>
            </w:r>
          </w:p>
        </w:tc>
        <w:tc>
          <w:tcPr>
            <w:tcW w:w="515" w:type="dxa"/>
            <w:tcBorders/>
            <w:shd w:fill="CCEEFF" w:val="clear"/>
            <w:vAlign w:val="center"/>
          </w:tcPr>
          <w:p>
            <w:pPr>
              <w:pStyle w:val="TableContents"/>
              <w:bidi w:val="0"/>
              <w:spacing w:before="0" w:after="283"/>
              <w:jc w:val="right"/>
              <w:rPr>
                <w:sz w:val="20"/>
              </w:rPr>
            </w:pPr>
            <w:r>
              <w:rPr>
                <w:sz w:val="20"/>
              </w:rPr>
              <w:t>320</w:t>
            </w:r>
          </w:p>
        </w:tc>
        <w:tc>
          <w:tcPr>
            <w:tcW w:w="135" w:type="dxa"/>
            <w:tcBorders/>
            <w:shd w:fill="CCEEFF" w:val="cle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283"/>
              <w:jc w:val="left"/>
              <w:rPr>
                <w:sz w:val="20"/>
              </w:rPr>
            </w:pPr>
            <w:r>
              <w:rPr>
                <w:sz w:val="20"/>
              </w:rPr>
              <w:t>Operating lease liability - long term</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515" w:type="dxa"/>
            <w:tcBorders>
              <w:bottom w:val="single" w:sz="2" w:space="0" w:color="000000"/>
            </w:tcBorders>
            <w:tcMar>
              <w:bottom w:w="28" w:type="dxa"/>
            </w:tcMar>
            <w:vAlign w:val="center"/>
          </w:tcPr>
          <w:p>
            <w:pPr>
              <w:pStyle w:val="TableContents"/>
              <w:bidi w:val="0"/>
              <w:spacing w:before="0" w:after="283"/>
              <w:jc w:val="right"/>
              <w:rPr>
                <w:sz w:val="20"/>
              </w:rPr>
            </w:pPr>
            <w:r>
              <w:rPr>
                <w:sz w:val="20"/>
              </w:rPr>
              <w:t>2,097</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283"/>
              <w:jc w:val="left"/>
              <w:rPr>
                <w:sz w:val="20"/>
              </w:rPr>
            </w:pPr>
            <w:r>
              <w:rPr>
                <w:sz w:val="20"/>
              </w:rPr>
              <w:t>Total Operating Lease Liability</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2,417</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0"/>
        </w:rPr>
        <w:t>Future lease payments included in the measurement of lease liabilities on the balance sheet at December 31, 2025 for future periods are as follows:</w:t>
      </w:r>
      <w:r>
        <w:rPr>
          <w:rFonts w:ascii="Times New Roman" w:hAnsi="Times New Roman"/>
          <w:sz w:val="24"/>
        </w:rPr>
        <w:t xml:space="preserve"> </w:t>
      </w:r>
    </w:p>
    <w:p>
      <w:pPr>
        <w:pStyle w:val="TextBody"/>
        <w:bidi w:val="0"/>
        <w:spacing w:before="0" w:after="0"/>
        <w:jc w:val="left"/>
        <w:rPr/>
      </w:pPr>
      <w:r>
        <w:rPr/>
        <w:t xml:space="preserve">  </w:t>
      </w:r>
    </w:p>
    <w:tbl>
      <w:tblPr>
        <w:tblW w:w="3995" w:type="dxa"/>
        <w:jc w:val="left"/>
        <w:tblInd w:w="0" w:type="dxa"/>
        <w:tblLayout w:type="fixed"/>
        <w:tblCellMar>
          <w:top w:w="0" w:type="dxa"/>
          <w:left w:w="0" w:type="dxa"/>
          <w:bottom w:w="0" w:type="dxa"/>
          <w:right w:w="0" w:type="dxa"/>
        </w:tblCellMar>
      </w:tblPr>
      <w:tblGrid>
        <w:gridCol w:w="3125"/>
        <w:gridCol w:w="155"/>
        <w:gridCol w:w="515"/>
        <w:gridCol w:w="200"/>
      </w:tblGrid>
      <w:tr>
        <w:trPr/>
        <w:tc>
          <w:tcPr>
            <w:tcW w:w="312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sz w:val="20"/>
              </w:rPr>
            </w:pPr>
            <w:r>
              <w:rPr>
                <w:sz w:val="20"/>
              </w:rPr>
              <w:t>2026</w:t>
            </w:r>
          </w:p>
        </w:tc>
        <w:tc>
          <w:tcPr>
            <w:tcW w:w="155" w:type="dxa"/>
            <w:tcBorders/>
            <w:shd w:fill="CCEEFF" w:val="clear"/>
            <w:vAlign w:val="center"/>
          </w:tcPr>
          <w:p>
            <w:pPr>
              <w:pStyle w:val="TableContents"/>
              <w:bidi w:val="0"/>
              <w:spacing w:before="0" w:after="283"/>
              <w:jc w:val="left"/>
              <w:rPr>
                <w:sz w:val="20"/>
              </w:rPr>
            </w:pPr>
            <w:r>
              <w:rPr>
                <w:sz w:val="20"/>
              </w:rPr>
              <w:t>$</w:t>
            </w:r>
          </w:p>
        </w:tc>
        <w:tc>
          <w:tcPr>
            <w:tcW w:w="515" w:type="dxa"/>
            <w:tcBorders/>
            <w:shd w:fill="CCEEFF" w:val="clear"/>
            <w:vAlign w:val="center"/>
          </w:tcPr>
          <w:p>
            <w:pPr>
              <w:pStyle w:val="TableContents"/>
              <w:bidi w:val="0"/>
              <w:spacing w:before="0" w:after="283"/>
              <w:jc w:val="right"/>
              <w:rPr>
                <w:sz w:val="20"/>
              </w:rPr>
            </w:pPr>
            <w:r>
              <w:rPr>
                <w:sz w:val="20"/>
              </w:rPr>
              <w:t>627</w:t>
            </w:r>
          </w:p>
        </w:tc>
        <w:tc>
          <w:tcPr>
            <w:tcW w:w="200"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20"/>
              </w:rPr>
            </w:pPr>
            <w:r>
              <w:rPr>
                <w:sz w:val="20"/>
              </w:rPr>
              <w:t>2027</w:t>
            </w:r>
          </w:p>
        </w:tc>
        <w:tc>
          <w:tcPr>
            <w:tcW w:w="1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sz w:val="20"/>
              </w:rPr>
            </w:pPr>
            <w:r>
              <w:rPr>
                <w:sz w:val="20"/>
              </w:rPr>
              <w:t>642</w:t>
            </w:r>
          </w:p>
        </w:tc>
        <w:tc>
          <w:tcPr>
            <w:tcW w:w="20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sz w:val="20"/>
              </w:rPr>
            </w:pPr>
            <w:r>
              <w:rPr>
                <w:sz w:val="20"/>
              </w:rPr>
              <w:t>2028</w:t>
            </w:r>
          </w:p>
        </w:tc>
        <w:tc>
          <w:tcPr>
            <w:tcW w:w="155"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20"/>
              </w:rPr>
            </w:pPr>
            <w:r>
              <w:rPr>
                <w:sz w:val="20"/>
              </w:rPr>
              <w:t>658</w:t>
            </w:r>
          </w:p>
        </w:tc>
        <w:tc>
          <w:tcPr>
            <w:tcW w:w="200"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20"/>
              </w:rPr>
            </w:pPr>
            <w:r>
              <w:rPr>
                <w:sz w:val="20"/>
              </w:rPr>
              <w:t>2029</w:t>
            </w:r>
          </w:p>
        </w:tc>
        <w:tc>
          <w:tcPr>
            <w:tcW w:w="155"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sz w:val="20"/>
              </w:rPr>
            </w:pPr>
            <w:r>
              <w:rPr>
                <w:sz w:val="20"/>
              </w:rPr>
              <w:t>674</w:t>
            </w:r>
          </w:p>
        </w:tc>
        <w:tc>
          <w:tcPr>
            <w:tcW w:w="200" w:type="dxa"/>
            <w:tcBorders/>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sz w:val="20"/>
              </w:rPr>
            </w:pPr>
            <w:r>
              <w:rPr>
                <w:sz w:val="20"/>
              </w:rPr>
              <w:t>2030</w:t>
            </w:r>
          </w:p>
        </w:tc>
        <w:tc>
          <w:tcPr>
            <w:tcW w:w="155"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20"/>
              </w:rPr>
            </w:pPr>
            <w:r>
              <w:rPr>
                <w:sz w:val="20"/>
              </w:rPr>
              <w:t>661</w:t>
            </w:r>
          </w:p>
        </w:tc>
        <w:tc>
          <w:tcPr>
            <w:tcW w:w="200"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20"/>
              </w:rPr>
            </w:pPr>
            <w:r>
              <w:rPr>
                <w:sz w:val="20"/>
              </w:rPr>
              <w:t>Thereafter</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515" w:type="dxa"/>
            <w:tcBorders>
              <w:bottom w:val="single" w:sz="2" w:space="0" w:color="000000"/>
            </w:tcBorders>
            <w:tcMar>
              <w:bottom w:w="28" w:type="dxa"/>
            </w:tcMar>
            <w:vAlign w:val="center"/>
          </w:tcPr>
          <w:p>
            <w:pPr>
              <w:pStyle w:val="TableContents"/>
              <w:bidi w:val="0"/>
              <w:spacing w:before="0" w:after="283"/>
              <w:jc w:val="right"/>
              <w:rPr>
                <w:sz w:val="20"/>
              </w:rPr>
            </w:pPr>
            <w:r>
              <w:rPr>
                <w:sz w:val="20"/>
              </w:rPr>
              <w:t>147</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25" w:type="dxa"/>
            <w:tcBorders/>
            <w:shd w:fill="CCEEFF" w:val="clear"/>
            <w:vAlign w:val="center"/>
          </w:tcPr>
          <w:p>
            <w:pPr>
              <w:pStyle w:val="TableContents"/>
              <w:bidi w:val="0"/>
              <w:spacing w:before="0" w:after="283"/>
              <w:jc w:val="left"/>
              <w:rPr>
                <w:sz w:val="20"/>
              </w:rPr>
            </w:pPr>
            <w:r>
              <w:rPr>
                <w:sz w:val="20"/>
              </w:rPr>
              <w:t>Total future minimum lease payments</w:t>
            </w:r>
          </w:p>
        </w:tc>
        <w:tc>
          <w:tcPr>
            <w:tcW w:w="155" w:type="dxa"/>
            <w:tcBorders/>
            <w:shd w:fill="CCEEFF" w:val="clear"/>
            <w:vAlign w:val="center"/>
          </w:tcPr>
          <w:p>
            <w:pPr>
              <w:pStyle w:val="TableContents"/>
              <w:bidi w:val="0"/>
              <w:spacing w:before="0" w:after="283"/>
              <w:jc w:val="left"/>
              <w:rPr/>
            </w:pPr>
            <w:r>
              <w:rPr/>
              <w:t> </w:t>
            </w:r>
          </w:p>
        </w:tc>
        <w:tc>
          <w:tcPr>
            <w:tcW w:w="515" w:type="dxa"/>
            <w:tcBorders/>
            <w:shd w:fill="CCEEFF" w:val="clear"/>
            <w:vAlign w:val="center"/>
          </w:tcPr>
          <w:p>
            <w:pPr>
              <w:pStyle w:val="TableContents"/>
              <w:bidi w:val="0"/>
              <w:spacing w:before="0" w:after="283"/>
              <w:jc w:val="right"/>
              <w:rPr>
                <w:sz w:val="20"/>
              </w:rPr>
            </w:pPr>
            <w:r>
              <w:rPr>
                <w:sz w:val="20"/>
              </w:rPr>
              <w:t>3,409</w:t>
            </w:r>
          </w:p>
        </w:tc>
        <w:tc>
          <w:tcPr>
            <w:tcW w:w="200" w:type="dxa"/>
            <w:tcBorders/>
            <w:shd w:fill="CCEEFF" w:val="clear"/>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20"/>
              </w:rPr>
            </w:pPr>
            <w:r>
              <w:rPr>
                <w:sz w:val="20"/>
              </w:rPr>
              <w:t>Less imputed interest</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515" w:type="dxa"/>
            <w:tcBorders>
              <w:bottom w:val="single" w:sz="2" w:space="0" w:color="000000"/>
            </w:tcBorders>
            <w:tcMar>
              <w:bottom w:w="28" w:type="dxa"/>
            </w:tcMar>
            <w:vAlign w:val="center"/>
          </w:tcPr>
          <w:p>
            <w:pPr>
              <w:pStyle w:val="TableContents"/>
              <w:bidi w:val="0"/>
              <w:spacing w:before="0" w:after="283"/>
              <w:jc w:val="right"/>
              <w:rPr>
                <w:sz w:val="20"/>
              </w:rPr>
            </w:pPr>
            <w:r>
              <w:rPr>
                <w:sz w:val="20"/>
              </w:rPr>
              <w:t>(992</w:t>
            </w:r>
          </w:p>
        </w:tc>
        <w:tc>
          <w:tcPr>
            <w:tcW w:w="200" w:type="dxa"/>
            <w:tcBorders>
              <w:bottom w:val="single" w:sz="2" w:space="0" w:color="000000"/>
            </w:tcBorders>
            <w:tcMar>
              <w:bottom w:w="28" w:type="dxa"/>
            </w:tcMar>
            <w:vAlign w:val="center"/>
          </w:tcPr>
          <w:p>
            <w:pPr>
              <w:pStyle w:val="TableContents"/>
              <w:bidi w:val="0"/>
              <w:spacing w:before="0" w:after="283"/>
              <w:jc w:val="left"/>
              <w:rPr>
                <w:sz w:val="20"/>
              </w:rPr>
            </w:pPr>
            <w:r>
              <w:rPr>
                <w:sz w:val="20"/>
              </w:rPr>
              <w:t>) </w:t>
            </w:r>
          </w:p>
        </w:tc>
      </w:tr>
      <w:tr>
        <w:trPr/>
        <w:tc>
          <w:tcPr>
            <w:tcW w:w="3125" w:type="dxa"/>
            <w:tcBorders/>
            <w:shd w:fill="CCEEFF" w:val="clear"/>
            <w:vAlign w:val="center"/>
          </w:tcPr>
          <w:p>
            <w:pPr>
              <w:pStyle w:val="TableContents"/>
              <w:bidi w:val="0"/>
              <w:spacing w:before="0" w:after="283"/>
              <w:jc w:val="left"/>
              <w:rPr>
                <w:sz w:val="20"/>
              </w:rPr>
            </w:pPr>
            <w:r>
              <w:rPr>
                <w:sz w:val="20"/>
              </w:rPr>
              <w:t>Total</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51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2,417</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0"/>
        </w:rPr>
        <w:t>The weighted average remaining lease term is</w:t>
      </w:r>
      <w:r>
        <w:rPr>
          <w:rFonts w:ascii="Times New Roman" w:hAnsi="Times New Roman"/>
          <w:sz w:val="20"/>
          <w:shd w:fill="FFFFFF" w:val="clear"/>
        </w:rPr>
        <w:t xml:space="preserve"> 5.15</w:t>
      </w:r>
      <w:r>
        <w:rPr>
          <w:rFonts w:ascii="Times New Roman" w:hAnsi="Times New Roman"/>
          <w:sz w:val="24"/>
          <w:shd w:fill="FFFFFF" w:val="clear"/>
        </w:rPr>
        <w:t> </w:t>
      </w:r>
      <w:r>
        <w:rPr>
          <w:rFonts w:ascii="Times New Roman" w:hAnsi="Times New Roman"/>
          <w:sz w:val="20"/>
          <w:shd w:fill="FFFFFF" w:val="clear"/>
        </w:rPr>
        <w:t>years, and the weighted average discount rate is 13.5%.</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Certain leases contain provisions for payment of real estate taxes, insurance and maintenance costs by the Company. These expenses are treated as variable lease payments and recognized in the period in which the obligation for those payments was incurred. The Company ha</w:t>
      </w:r>
      <w:r>
        <w:rPr>
          <w:rFonts w:ascii="Times New Roman" w:hAnsi="Times New Roman"/>
          <w:sz w:val="20"/>
          <w:shd w:fill="FFFFFF" w:val="clear"/>
        </w:rPr>
        <w:t>d $38</w:t>
      </w:r>
      <w:r>
        <w:rPr>
          <w:rFonts w:ascii="Times New Roman" w:hAnsi="Times New Roman"/>
          <w:sz w:val="24"/>
          <w:shd w:fill="FFFFFF" w:val="clear"/>
        </w:rPr>
        <w:t> </w:t>
      </w:r>
      <w:r>
        <w:rPr>
          <w:rFonts w:ascii="Times New Roman" w:hAnsi="Times New Roman"/>
          <w:sz w:val="20"/>
          <w:shd w:fill="FFFFFF" w:val="clear"/>
        </w:rPr>
        <w:t>a</w:t>
      </w:r>
      <w:r>
        <w:rPr>
          <w:rFonts w:ascii="Times New Roman" w:hAnsi="Times New Roman"/>
          <w:sz w:val="20"/>
        </w:rPr>
        <w:t>nd $109 variable lease expenses during the year December 31, 2025 and 2024, respectively.</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Company ha</w:t>
      </w:r>
      <w:r>
        <w:rPr>
          <w:rFonts w:ascii="Times New Roman" w:hAnsi="Times New Roman"/>
          <w:sz w:val="20"/>
          <w:shd w:fill="FFFFFF" w:val="clear"/>
        </w:rPr>
        <w:t>d $0</w:t>
      </w:r>
      <w:r>
        <w:rPr>
          <w:rFonts w:ascii="Times New Roman" w:hAnsi="Times New Roman"/>
          <w:sz w:val="24"/>
          <w:shd w:fill="FFFFFF" w:val="clear"/>
        </w:rPr>
        <w:t xml:space="preserve"> </w:t>
      </w:r>
      <w:r>
        <w:rPr>
          <w:rFonts w:ascii="Times New Roman" w:hAnsi="Times New Roman"/>
          <w:sz w:val="20"/>
          <w:shd w:fill="FFFFFF" w:val="clear"/>
        </w:rPr>
        <w:t>and</w:t>
      </w:r>
      <w:r>
        <w:rPr>
          <w:rFonts w:ascii="Times New Roman" w:hAnsi="Times New Roman"/>
          <w:sz w:val="20"/>
        </w:rPr>
        <w:t xml:space="preserve"> $16 short-term lease expense during the year December 31, 2025, and 2024 respectively. The Company does not have any finance leases.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F-18</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ind w:left="10" w:right="0" w:hanging="0"/>
        <w:jc w:val="left"/>
        <w:rPr>
          <w:rFonts w:ascii="Times New Roman" w:hAnsi="Times New Roman"/>
          <w:sz w:val="24"/>
        </w:rPr>
      </w:pPr>
      <w:r>
        <w:rPr>
          <w:rFonts w:ascii="Times New Roman" w:hAnsi="Times New Roman"/>
          <w:b/>
          <w:color w:val="000000"/>
          <w:sz w:val="20"/>
        </w:rPr>
        <w:t>10.</w:t>
      </w:r>
      <w:r>
        <w:rPr>
          <w:rFonts w:ascii="Times New Roman" w:hAnsi="Times New Roman"/>
          <w:b/>
          <w:sz w:val="20"/>
        </w:rPr>
        <w:t>WARRANTS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On June 29, 2023, the Company entered into a Securities Purchase Agreement (the “Series A Purchase Agreement”) with certain directors of the Company and certain accredited and institutional investors (collectively, the “Series A Investors”), pursuant to which it agreed to sell to the Series A Investors in a registered direct offering (the “Series A Offering”) (i) an aggregate of 10,000 shares of the Company’s newly-designated Series A Convertible Preferred Stock, with par value $0.0001 per share and a stated value of $1,000 per share (the “Series A Preferred Stock”), initially convertible into up to 6,896,553 shares of the Company’s common stock, at an initial conversion price of $1.45 per share, and (ii) warrants to acquire up to an aggregate of 6,896,553 shares of Common Stock (the “Series A Warrants”).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Each Series A Warrant has an exercise price of $1.45, became exercisable after the date that was six months from the date of issuance and will expire 5 years following the date of issuance. The exercise price is subject to customary adjustments for stock dividends, stock splits, reclassifications and the like, and subject to price-based adjustment, on a “full ratchet” basis, in the event of any issuances of Common Stock, or securities convertible, exercisable or exchangeable for Common Stock, at a price below the then-applicable exercise price (subject to certain exceptions). The closing of the Offering occurred on July 3, 2023. The aggregate gross proceeds from the Offering were $10,000, of which $7,717 was allocated to the Series A Warrants. The Company expects to use the net proceeds from the Offering for general corporate purposes (see Note 4).</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On February 24, 2025, the Company entered into a securities purchase agreement (the “PIPE Purchase Agreement”) with certain accredited investors (collectively, the “PIPE Purchasers”) for the issuance and sale in a private placement of an aggregate of 3,216,666 shares (the “Common Shares”) of Common Stock and accompanying warrants (“PIPE Warrants”) to purchase up to 3,216,666 shares of Common Stock, with an exercise price of $1.80 per share. The purchase price for one Common Share and accompanying PIPE Warrant was $1.80. The gross proceeds to the Company were $5,790 before estimated offering expenses payable by the Company, of which $5,178 was allocated to the PIPE Warrants.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On June 30, 2025, the Company entered into a warrant amendment (the “Series A Warrant Amendment”) with the Required Holders (as defined in the Series A Purchase Agreement), pursuant to which, the Required Holders agreed to amend the terms of the Series A Warrants to make certain adjustments to the definition of “Black Scholes Value” in each of the Series A Warrants, as described in the Series A Warrant Amendment, such that the underlying price per share as used in such calculation equals the sum of the price per share being offered in cash in the applicable Fundamental Transaction (as defined in the Series A Warrants), if any, plus the value of the non-cash consideration being offered in the applicable Fundamental Transaction, if any. As consideration for entering into the Series A Warrant Amendment, the Company and the Required Holders agreed to amend the term of the Series A Warrants to be six and one-half years from the date of issuance. Additionally, on June 30, 2025, the Company entered into a warrant amendment (the “2025 Warrant Amendment”) with certain of the PIPE Purchasers, pursuant to which, such PIPE Purchasers agreed to amend the terms of their respective PIPE Warrants to make certain adjustments to the definition of “Black Scholes Value,” as described in the 2025 Warrant Amendment, such that the underlying price per share as used in such calculation equals the sum of the price per share being offered in cash in the applicable Fundamental Transaction (as defined in the PIPE Warrants), if any, plus the value of the non-cash consideration being offered in the applicable Fundamental Transaction, if any. As consideration for entering into the 2025 Warrant Amendment, the Company and the applicable PIPE Purchasers agreed to amend the term of their respective 2025 Warrants to be five and one-half years from the date of issuance. Under ASC 815-40-35-10, upon effective amendment on June 30, 2025, each of the Series A Warrants and PIPE Warrants qualify for equity-classification. Immediately before the equity reclassification, such warrants were each revalued at fair value with the resulting gain or loss being recorded in the Statement of Operations. After fair value remeasurement, the reclassification from warrant liabilities to additional paid-in capital was completed. </w:t>
      </w:r>
    </w:p>
    <w:p>
      <w:pPr>
        <w:pStyle w:val="TextBody"/>
        <w:bidi w:val="0"/>
        <w:spacing w:before="0" w:after="0"/>
        <w:jc w:val="both"/>
        <w:rPr/>
      </w:pPr>
      <w:r>
        <w:rPr/>
        <w:t> </w:t>
      </w:r>
    </w:p>
    <w:p>
      <w:pPr>
        <w:pStyle w:val="TextBody"/>
        <w:bidi w:val="0"/>
        <w:spacing w:before="0" w:after="0"/>
        <w:ind w:left="0" w:right="0" w:hanging="0"/>
        <w:jc w:val="both"/>
        <w:rPr>
          <w:rFonts w:ascii="Times New Roman" w:hAnsi="Times New Roman"/>
          <w:sz w:val="24"/>
        </w:rPr>
      </w:pPr>
      <w:r>
        <w:rPr>
          <w:rFonts w:ascii="Times New Roman" w:hAnsi="Times New Roman"/>
          <w:sz w:val="20"/>
        </w:rPr>
        <w:t xml:space="preserve">On August 18, 2025, </w:t>
      </w:r>
      <w:r>
        <w:rPr>
          <w:rFonts w:ascii="TimesNewRoman;Times New Roman;Times;Baskerville;Georgia;serif" w:hAnsi="TimesNewRoman;Times New Roman;Times;Baskerville;Georgia;serif"/>
          <w:sz w:val="20"/>
        </w:rPr>
        <w:t>the Company entered into a securities purchase agreement with certain accredited investors, including V4 Global, LLC (an entity controlled by the Company's Chief Executive Officer), for the issuance and sale of 4,500 shares of Series B Convertible Preferred Stock (par value $0.0001, stated value $1,000 per share) and accompanying warrants to purchase 3,000,000 shares of Common Stock (the "Series B Warrants") for aggregate gross proceeds of $4,500 before offering expenses. V4 Global, LLC purchased 1,000 shares (22% of the offering) on the same terms as non-affiliated investors. The Series B Preferred Stock and Series B Warrants were not exercisable or convertible until stockholder approval was obtained on December 12, 2025, pursuant to Nasdaq Stock Market Rule 5635(d) for issuances exceeding 19.99% of outstanding Common Stock at prices below the Minimum Price.</w:t>
      </w:r>
      <w:r>
        <w:rPr>
          <w:rFonts w:ascii="Times New Roman" w:hAnsi="Times New Roman"/>
          <w:sz w:val="24"/>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F-19</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ind w:left="0" w:right="0" w:hanging="0"/>
        <w:jc w:val="left"/>
        <w:rPr>
          <w:rFonts w:ascii="TimesNewRoman;Times New Roman;Times;Baskerville;Georgia;serif" w:hAnsi="TimesNewRoman;Times New Roman;Times;Baskerville;Georgia;serif"/>
          <w:i/>
          <w:spacing w:val="0"/>
          <w:sz w:val="20"/>
          <w:shd w:fill="FFFFFF" w:val="clear"/>
        </w:rPr>
      </w:pPr>
      <w:r>
        <w:rPr>
          <w:rFonts w:ascii="TimesNewRoman;Times New Roman;Times;Baskerville;Georgia;serif" w:hAnsi="TimesNewRoman;Times New Roman;Times;Baskerville;Georgia;serif"/>
          <w:i/>
          <w:spacing w:val="0"/>
          <w:sz w:val="20"/>
          <w:shd w:fill="FFFFFF" w:val="clear"/>
        </w:rPr>
        <w:t>Series B Warrants</w:t>
      </w:r>
    </w:p>
    <w:p>
      <w:pPr>
        <w:pStyle w:val="TextBody"/>
        <w:bidi w:val="0"/>
        <w:spacing w:before="0" w:after="0"/>
        <w:ind w:left="0" w:right="0" w:hanging="0"/>
        <w:jc w:val="left"/>
        <w:rPr>
          <w:rFonts w:ascii="TimesNewRoman;Times New Roman;Times;Baskerville;Georgia;serif" w:hAnsi="TimesNewRoman;Times New Roman;Times;Baskerville;Georgia;serif"/>
          <w:spacing w:val="0"/>
          <w:sz w:val="20"/>
          <w:shd w:fill="FFFFFF" w:val="clear"/>
        </w:rPr>
      </w:pPr>
      <w:r>
        <w:rPr>
          <w:rFonts w:ascii="TimesNewRoman;Times New Roman;Times;Baskerville;Georgia;serif" w:hAnsi="TimesNewRoman;Times New Roman;Times;Baskerville;Georgia;serif"/>
          <w:spacing w:val="0"/>
          <w:sz w:val="20"/>
          <w:shd w:fill="FFFFFF" w:val="clear"/>
        </w:rPr>
        <w:t>The Series B Warrants are exercisable for 3,000,000 shares of Common Stock at an exercise price of $1.50 per share and expire on December 12, 2030 (five years from the date stockholder approval was obtained). Warrant holders may not exercise if such exercise would result in the holder owning more than 4.99% (or at holder election, 9.99%) of the Company's outstanding Common Stock immediately after exercise.</w:t>
      </w:r>
    </w:p>
    <w:p>
      <w:pPr>
        <w:pStyle w:val="TextBody"/>
        <w:bidi w:val="0"/>
        <w:spacing w:before="0" w:after="0"/>
        <w:ind w:left="0" w:right="0" w:hanging="0"/>
        <w:jc w:val="both"/>
        <w:rPr>
          <w:rFonts w:ascii="TimesNewRoman;Times New Roman;Times;Baskerville;Georgia;serif" w:hAnsi="TimesNewRoman;Times New Roman;Times;Baskerville;Georgia;serif"/>
          <w:spacing w:val="0"/>
          <w:sz w:val="20"/>
          <w:shd w:fill="FFFFFF" w:val="clear"/>
        </w:rPr>
      </w:pPr>
      <w:r>
        <w:rPr>
          <w:rFonts w:ascii="TimesNewRoman;Times New Roman;Times;Baskerville;Georgia;serif" w:hAnsi="TimesNewRoman;Times New Roman;Times;Baskerville;Georgia;serif"/>
          <w:spacing w:val="0"/>
          <w:sz w:val="20"/>
          <w:shd w:fill="FFFFFF" w:val="clear"/>
        </w:rPr>
        <w:t>The Series B Warrants are classified within permanent equity (additional paid-in capital) and are not subject to subsequent fair value remeasurement.</w:t>
      </w:r>
    </w:p>
    <w:p>
      <w:pPr>
        <w:pStyle w:val="TextBody"/>
        <w:bidi w:val="0"/>
        <w:spacing w:before="0" w:after="0"/>
        <w:ind w:left="0" w:right="0" w:hanging="0"/>
        <w:jc w:val="left"/>
        <w:rPr>
          <w:rFonts w:ascii="TimesNewRoman;Times New Roman;Times;Baskerville;Georgia;serif" w:hAnsi="TimesNewRoman;Times New Roman;Times;Baskerville;Georgia;serif"/>
          <w:i/>
          <w:spacing w:val="0"/>
          <w:sz w:val="20"/>
          <w:shd w:fill="FFFFFF" w:val="clear"/>
        </w:rPr>
      </w:pPr>
      <w:r>
        <w:rPr>
          <w:rFonts w:ascii="TimesNewRoman;Times New Roman;Times;Baskerville;Georgia;serif" w:hAnsi="TimesNewRoman;Times New Roman;Times;Baskerville;Georgia;serif"/>
          <w:i/>
          <w:spacing w:val="0"/>
          <w:sz w:val="20"/>
          <w:shd w:fill="FFFFFF" w:val="clear"/>
        </w:rPr>
        <w:t>Allocation of Proceeds</w:t>
      </w:r>
    </w:p>
    <w:p>
      <w:pPr>
        <w:pStyle w:val="TextBody"/>
        <w:bidi w:val="0"/>
        <w:spacing w:before="0" w:after="0"/>
        <w:ind w:left="0" w:right="0" w:hanging="0"/>
        <w:jc w:val="left"/>
        <w:rPr>
          <w:rFonts w:ascii="TimesNewRoman;Times New Roman;Times;Baskerville;Georgia;serif" w:hAnsi="TimesNewRoman;Times New Roman;Times;Baskerville;Georgia;serif"/>
          <w:spacing w:val="0"/>
          <w:sz w:val="20"/>
          <w:shd w:fill="FFFFFF" w:val="clear"/>
        </w:rPr>
      </w:pPr>
      <w:r>
        <w:rPr>
          <w:rFonts w:ascii="TimesNewRoman;Times New Roman;Times;Baskerville;Georgia;serif" w:hAnsi="TimesNewRoman;Times New Roman;Times;Baskerville;Georgia;serif"/>
          <w:spacing w:val="0"/>
          <w:sz w:val="20"/>
          <w:shd w:fill="FFFFFF" w:val="clear"/>
        </w:rPr>
        <w:t>The Company allocated the $4,500 gross proceeds between the Series B Preferred Stock and Series B Warrants using the with-and-without method. Under this method, the warrants were valued at their fair value as of the issuance date (August 18, 2025), with the residual proceeds allocated to the preferred stock.</w:t>
      </w:r>
    </w:p>
    <w:p>
      <w:pPr>
        <w:pStyle w:val="TextBody"/>
        <w:bidi w:val="0"/>
        <w:ind w:left="0" w:right="0" w:hanging="0"/>
        <w:jc w:val="left"/>
        <w:rPr>
          <w:rFonts w:ascii="TimesNewRoman;Times New Roman;Times;Baskerville;Georgia;serif" w:hAnsi="TimesNewRoman;Times New Roman;Times;Baskerville;Georgia;serif"/>
          <w:spacing w:val="0"/>
          <w:sz w:val="20"/>
          <w:shd w:fill="FFFFFF" w:val="clear"/>
        </w:rPr>
      </w:pPr>
      <w:r>
        <w:rPr>
          <w:rFonts w:ascii="TimesNewRoman;Times New Roman;Times;Baskerville;Georgia;serif" w:hAnsi="TimesNewRoman;Times New Roman;Times;Baskerville;Georgia;serif"/>
          <w:spacing w:val="0"/>
          <w:sz w:val="20"/>
          <w:shd w:fill="FFFFFF" w:val="clear"/>
        </w:rPr>
        <w:t>The fair value of the warrants was determined using the Black-Scholes option pricing model with the following key assumptions as of August 18, 2025:</w:t>
      </w:r>
    </w:p>
    <w:p>
      <w:pPr>
        <w:pStyle w:val="TextBody"/>
        <w:numPr>
          <w:ilvl w:val="0"/>
          <w:numId w:val="84"/>
        </w:numPr>
        <w:shd w:fill="FFFFFF" w:val="clear"/>
        <w:tabs>
          <w:tab w:val="clear" w:pos="1134"/>
          <w:tab w:val="left" w:pos="844" w:leader="none"/>
        </w:tabs>
        <w:bidi w:val="0"/>
        <w:spacing w:before="0" w:after="0"/>
        <w:ind w:left="844" w:right="0" w:hanging="283"/>
        <w:jc w:val="left"/>
        <w:rPr>
          <w:rFonts w:ascii="TimesNewRoman;Times New Roman;Times;Baskerville;Georgia;serif" w:hAnsi="TimesNewRoman;Times New Roman;Times;Baskerville;Georgia;serif"/>
          <w:color w:val="242424"/>
          <w:spacing w:val="0"/>
          <w:sz w:val="20"/>
        </w:rPr>
      </w:pPr>
      <w:r>
        <w:rPr>
          <w:rFonts w:ascii="TimesNewRoman;Times New Roman;Times;Baskerville;Georgia;serif" w:hAnsi="TimesNewRoman;Times New Roman;Times;Baskerville;Georgia;serif"/>
          <w:color w:val="242424"/>
          <w:spacing w:val="0"/>
          <w:sz w:val="20"/>
        </w:rPr>
        <w:t>Stock price: $1.40</w:t>
      </w:r>
    </w:p>
    <w:p>
      <w:pPr>
        <w:pStyle w:val="TextBody"/>
        <w:numPr>
          <w:ilvl w:val="0"/>
          <w:numId w:val="84"/>
        </w:numPr>
        <w:shd w:fill="FFFFFF" w:val="clear"/>
        <w:tabs>
          <w:tab w:val="clear" w:pos="1134"/>
          <w:tab w:val="left" w:pos="844" w:leader="none"/>
        </w:tabs>
        <w:bidi w:val="0"/>
        <w:spacing w:before="0" w:after="0"/>
        <w:ind w:left="844" w:right="0" w:hanging="283"/>
        <w:jc w:val="left"/>
        <w:rPr>
          <w:rFonts w:ascii="TimesNewRoman;Times New Roman;Times;Baskerville;Georgia;serif" w:hAnsi="TimesNewRoman;Times New Roman;Times;Baskerville;Georgia;serif"/>
          <w:color w:val="242424"/>
          <w:spacing w:val="0"/>
          <w:sz w:val="20"/>
        </w:rPr>
      </w:pPr>
      <w:r>
        <w:rPr>
          <w:rFonts w:ascii="TimesNewRoman;Times New Roman;Times;Baskerville;Georgia;serif" w:hAnsi="TimesNewRoman;Times New Roman;Times;Baskerville;Georgia;serif"/>
          <w:color w:val="242424"/>
          <w:spacing w:val="0"/>
          <w:sz w:val="20"/>
        </w:rPr>
        <w:t>Exercise price: $1.50</w:t>
      </w:r>
    </w:p>
    <w:p>
      <w:pPr>
        <w:pStyle w:val="TextBody"/>
        <w:numPr>
          <w:ilvl w:val="0"/>
          <w:numId w:val="84"/>
        </w:numPr>
        <w:shd w:fill="FFFFFF" w:val="clear"/>
        <w:tabs>
          <w:tab w:val="clear" w:pos="1134"/>
          <w:tab w:val="left" w:pos="844" w:leader="none"/>
        </w:tabs>
        <w:bidi w:val="0"/>
        <w:spacing w:before="0" w:after="0"/>
        <w:ind w:left="844" w:right="0" w:hanging="283"/>
        <w:jc w:val="left"/>
        <w:rPr>
          <w:rFonts w:ascii="TimesNewRoman;Times New Roman;Times;Baskerville;Georgia;serif" w:hAnsi="TimesNewRoman;Times New Roman;Times;Baskerville;Georgia;serif"/>
          <w:color w:val="242424"/>
          <w:spacing w:val="0"/>
          <w:sz w:val="20"/>
        </w:rPr>
      </w:pPr>
      <w:r>
        <w:rPr>
          <w:rFonts w:ascii="TimesNewRoman;Times New Roman;Times;Baskerville;Georgia;serif" w:hAnsi="TimesNewRoman;Times New Roman;Times;Baskerville;Georgia;serif"/>
          <w:color w:val="242424"/>
          <w:spacing w:val="0"/>
          <w:sz w:val="20"/>
        </w:rPr>
        <w:t>Expected term: 5.0 years</w:t>
      </w:r>
    </w:p>
    <w:p>
      <w:pPr>
        <w:pStyle w:val="TextBody"/>
        <w:numPr>
          <w:ilvl w:val="0"/>
          <w:numId w:val="84"/>
        </w:numPr>
        <w:shd w:fill="FFFFFF" w:val="clear"/>
        <w:tabs>
          <w:tab w:val="clear" w:pos="1134"/>
          <w:tab w:val="left" w:pos="844" w:leader="none"/>
        </w:tabs>
        <w:bidi w:val="0"/>
        <w:spacing w:before="0" w:after="0"/>
        <w:ind w:left="844" w:right="0" w:hanging="283"/>
        <w:jc w:val="left"/>
        <w:rPr>
          <w:rFonts w:ascii="TimesNewRoman;Times New Roman;Times;Baskerville;Georgia;serif" w:hAnsi="TimesNewRoman;Times New Roman;Times;Baskerville;Georgia;serif"/>
          <w:color w:val="242424"/>
          <w:spacing w:val="0"/>
          <w:sz w:val="20"/>
        </w:rPr>
      </w:pPr>
      <w:r>
        <w:rPr>
          <w:rFonts w:ascii="TimesNewRoman;Times New Roman;Times;Baskerville;Georgia;serif" w:hAnsi="TimesNewRoman;Times New Roman;Times;Baskerville;Georgia;serif"/>
          <w:color w:val="242424"/>
          <w:spacing w:val="0"/>
          <w:sz w:val="20"/>
        </w:rPr>
        <w:t>Expected volatility: 72.4% (based on 1-year historical analysis)</w:t>
      </w:r>
    </w:p>
    <w:p>
      <w:pPr>
        <w:pStyle w:val="TextBody"/>
        <w:numPr>
          <w:ilvl w:val="0"/>
          <w:numId w:val="84"/>
        </w:numPr>
        <w:shd w:fill="FFFFFF" w:val="clear"/>
        <w:tabs>
          <w:tab w:val="clear" w:pos="1134"/>
          <w:tab w:val="left" w:pos="844" w:leader="none"/>
        </w:tabs>
        <w:bidi w:val="0"/>
        <w:spacing w:before="0" w:after="0"/>
        <w:ind w:left="844" w:right="0" w:hanging="283"/>
        <w:jc w:val="left"/>
        <w:rPr>
          <w:rFonts w:ascii="TimesNewRoman;Times New Roman;Times;Baskerville;Georgia;serif" w:hAnsi="TimesNewRoman;Times New Roman;Times;Baskerville;Georgia;serif"/>
          <w:color w:val="242424"/>
          <w:spacing w:val="0"/>
          <w:sz w:val="20"/>
        </w:rPr>
      </w:pPr>
      <w:r>
        <w:rPr>
          <w:rFonts w:ascii="TimesNewRoman;Times New Roman;Times;Baskerville;Georgia;serif" w:hAnsi="TimesNewRoman;Times New Roman;Times;Baskerville;Georgia;serif"/>
          <w:color w:val="242424"/>
          <w:spacing w:val="0"/>
          <w:sz w:val="20"/>
        </w:rPr>
        <w:t>Risk-free interest rate: 3.90%</w:t>
      </w:r>
    </w:p>
    <w:p>
      <w:pPr>
        <w:pStyle w:val="TextBody"/>
        <w:numPr>
          <w:ilvl w:val="0"/>
          <w:numId w:val="84"/>
        </w:numPr>
        <w:shd w:fill="FFFFFF" w:val="clear"/>
        <w:tabs>
          <w:tab w:val="clear" w:pos="1134"/>
          <w:tab w:val="left" w:pos="844" w:leader="none"/>
        </w:tabs>
        <w:bidi w:val="0"/>
        <w:ind w:left="844" w:right="0" w:hanging="283"/>
        <w:jc w:val="left"/>
        <w:rPr>
          <w:rFonts w:ascii="TimesNewRoman;Times New Roman;Times;Baskerville;Georgia;serif" w:hAnsi="TimesNewRoman;Times New Roman;Times;Baskerville;Georgia;serif"/>
          <w:color w:val="242424"/>
          <w:spacing w:val="0"/>
          <w:sz w:val="20"/>
        </w:rPr>
      </w:pPr>
      <w:r>
        <w:rPr>
          <w:rFonts w:ascii="TimesNewRoman;Times New Roman;Times;Baskerville;Georgia;serif" w:hAnsi="TimesNewRoman;Times New Roman;Times;Baskerville;Georgia;serif"/>
          <w:color w:val="242424"/>
          <w:spacing w:val="0"/>
          <w:sz w:val="20"/>
        </w:rPr>
        <w:t>Expected dividend yield: 0%</w:t>
      </w:r>
    </w:p>
    <w:p>
      <w:pPr>
        <w:pStyle w:val="TextBody"/>
        <w:bidi w:val="0"/>
        <w:spacing w:before="0" w:after="0"/>
        <w:ind w:left="0" w:right="0" w:hanging="0"/>
        <w:jc w:val="left"/>
        <w:rPr>
          <w:rFonts w:ascii="TimesNewRoman;Times New Roman;Times;Baskerville;Georgia;serif" w:hAnsi="TimesNewRoman;Times New Roman;Times;Baskerville;Georgia;serif"/>
          <w:spacing w:val="0"/>
          <w:sz w:val="20"/>
          <w:shd w:fill="FFFFFF" w:val="clear"/>
        </w:rPr>
      </w:pPr>
      <w:r>
        <w:rPr>
          <w:rFonts w:ascii="TimesNewRoman;Times New Roman;Times;Baskerville;Georgia;serif" w:hAnsi="TimesNewRoman;Times New Roman;Times;Baskerville;Georgia;serif"/>
          <w:spacing w:val="0"/>
          <w:sz w:val="20"/>
          <w:shd w:fill="FFFFFF" w:val="clear"/>
        </w:rPr>
        <w:t>Based on this valuation, the Company allocated $2,553 to the Series B Warrants and $1,947 to the Series B Preferred Stock within additional paid-in capital.</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The Company performed sensitivity analysis on the key valuation assumptions. A 10% change in stock price results in approximately 13% change in warrant value, while a 10% change in volatility results in approximately 7% change in warrant value. Across reasonable scenarios, the warrant valuation ranges from $2,000 to $3,100, confirming the materiality of the warrant component and the appropriateness of the allocation methodology.</w:t>
      </w:r>
    </w:p>
    <w:p>
      <w:pPr>
        <w:pStyle w:val="TextBody"/>
        <w:bidi w:val="0"/>
        <w:spacing w:before="0" w:after="0"/>
        <w:ind w:left="0" w:right="0" w:hanging="0"/>
        <w:jc w:val="left"/>
        <w:rPr>
          <w:rFonts w:ascii="TimesNewRoman;Times New Roman;Times;Baskerville;Georgia;serif" w:hAnsi="TimesNewRoman;Times New Roman;Times;Baskerville;Georgia;serif"/>
          <w:i/>
          <w:spacing w:val="0"/>
          <w:sz w:val="20"/>
          <w:shd w:fill="FFFFFF" w:val="clear"/>
        </w:rPr>
      </w:pPr>
      <w:r>
        <w:rPr>
          <w:rFonts w:ascii="TimesNewRoman;Times New Roman;Times;Baskerville;Georgia;serif" w:hAnsi="TimesNewRoman;Times New Roman;Times;Baskerville;Georgia;serif"/>
          <w:i/>
          <w:spacing w:val="0"/>
          <w:sz w:val="20"/>
          <w:shd w:fill="FFFFFF" w:val="clear"/>
        </w:rPr>
        <w:t>Interim Recording and Year-End Adjustment</w:t>
      </w:r>
    </w:p>
    <w:p>
      <w:pPr>
        <w:pStyle w:val="TextBody"/>
        <w:bidi w:val="0"/>
        <w:spacing w:before="0" w:after="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At September 30, 2025, the Company initially recorded the full proceeds as preferred stock equity pending completion of a formal valuation. In the fourth quarter of 2025, upon obtaining a formal Black-Scholes valuation as of the August 18, 2025 issuance date, the Company reallocated $2,553 from additional paid-in capital attributable to preferred stock to additional paid-in capital attributable to warrants to reflect the proper allocation based on relative fair values.</w:t>
      </w:r>
    </w:p>
    <w:p>
      <w:pPr>
        <w:pStyle w:val="TextBody"/>
        <w:bidi w:val="0"/>
        <w:spacing w:before="0" w:after="0"/>
        <w:jc w:val="both"/>
        <w:rPr/>
      </w:pPr>
      <w:r>
        <w:rPr/>
        <w:t xml:space="preserve">  </w:t>
      </w:r>
    </w:p>
    <w:p>
      <w:pPr>
        <w:pStyle w:val="TextBody"/>
        <w:bidi w:val="0"/>
        <w:spacing w:before="0" w:after="0"/>
        <w:ind w:left="10" w:right="0" w:hanging="0"/>
        <w:jc w:val="left"/>
        <w:rPr>
          <w:rFonts w:ascii="Times New Roman" w:hAnsi="Times New Roman"/>
          <w:sz w:val="24"/>
        </w:rPr>
      </w:pPr>
      <w:r>
        <w:rPr>
          <w:rFonts w:ascii="Times New Roman" w:hAnsi="Times New Roman"/>
          <w:b/>
          <w:color w:val="000000"/>
          <w:sz w:val="20"/>
        </w:rPr>
        <w:t>11. DEBT</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shd w:fill="FFFFFF" w:val="clear"/>
        </w:rPr>
        <w:t>The Company’s debt at December 31, 2025 and 2024 included operating lease liabilities (see Note 9).</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F-20</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ind w:left="10" w:right="0" w:hanging="0"/>
        <w:jc w:val="left"/>
        <w:rPr>
          <w:rFonts w:ascii="Times New Roman" w:hAnsi="Times New Roman"/>
          <w:sz w:val="24"/>
        </w:rPr>
      </w:pPr>
      <w:r>
        <w:rPr>
          <w:rFonts w:ascii="Times New Roman" w:hAnsi="Times New Roman"/>
          <w:b/>
          <w:color w:val="000000"/>
          <w:sz w:val="20"/>
        </w:rPr>
        <w:t>12. STOCKHOLDERS</w:t>
      </w:r>
      <w:r>
        <w:rPr>
          <w:rFonts w:ascii="Times New Roman" w:hAnsi="Times New Roman"/>
          <w:color w:val="000000"/>
          <w:sz w:val="24"/>
        </w:rPr>
        <w:t xml:space="preserve">’ </w:t>
      </w:r>
      <w:r>
        <w:rPr>
          <w:rFonts w:ascii="Times New Roman" w:hAnsi="Times New Roman"/>
          <w:b/>
          <w:color w:val="000000"/>
          <w:sz w:val="20"/>
        </w:rPr>
        <w:t>EQUITY</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Company’s authorized capital consists of 200,000,000 shares of Common Stock and 5,000,000 shares of preferred stock, par value $0.0001 per share (“Preferred Stock”), of which 10,000 and 4,500 are designated as Series A and Series B Preferred Stock, respectively.</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i/>
          <w:sz w:val="20"/>
          <w:u w:val="single"/>
        </w:rPr>
        <w:t>Series A Preferred Stock</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On July 3, 2023, the Company filed the Certificate of Designations of the Series A Preferred Stock (the “Certificate of Designations”) with the Secretary of State of the State of Delaware, designating 10,000 shares of its Preferred Stock as Series A Convertible Preferred Stock. The terms of the Series A Preferred Stock are as set forth in the form of Certificate of Designations.  of the Series A Preferred Stock (the “Certificate of Designations”). The Series A Preferred Stock is convertible into shares of Common Stock (the “Conversion Shares”) at the election of the holder at any time at an initial conversion price of $1.45 (the “Conversion Price”). The Conversion Price is subject to customary adjustments for stock dividends, stock splits, reclassifications and the like, and subject to price-based adjustment in the event of any issuances of Common Stock, or securities convertible, exercisable or exchangeable for Common Stock, at a price below the then-applicable Conversion Price (subject to certain exceptions).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holders of the Series A Preferred Stock are entitled to dividends of 8% per annum, compounded monthly, which are payable in cash or shares of Common Stock, or a combination thereof, at the Company’s option in accordance with the terms of the Certificate of Designations. Upon the occurrence and during the continuance of a Triggering Event (as defined in the Certificate of Designations), the Series A Preferred Stock will accrue dividends at the rate of 20% per annum. If the Company elects to pay any dividends in shares of Common Stock, the Conversion Price used to calculate the number of shares issuable will equal to the lower of (i) the then applicable Conversion Price and (ii) 85% of the arithmetic average of the three (3) lowest closing prices of the Company’s Common Stock during the twenty (20) consecutive trading day period ending on the trading day immediately preceding the dividend payment date, provided that such price shall not be lower than the lower of (x) $0.2828 (subject to adjustment for stock splits, stock dividends, stock combinations, recapitalizations or other similar events ) and (y) 20% of the “Minimum Price” (as defined in Nasdaq Stock Market Rule 5635) on the date of the Stockholder Approval (subject to adjustment for stock splits, stock dividends, stock combinations, recapitalizations or other similar events) or, in any case, such lower amount as permitted, from time to time, by the Nasdaq Stock Market.</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On August 19, 2024, the Company entered into an Amendment Agreement (the “August 2024 Amendment”) with the Required Holders (as defined in the Certificate of Designations). Pursuant to the August 2024 Amendment, the Required Holders agreed that (A) the unpaid and accrued dividends on the Series A Preferred Stock due July 1, 2024 (the “July Delinquent Dividend Amount”), shall be payable, at the option of the Company, in (i) cash and/or (ii) shares of Common Stock, at a price per share of Common Stock equal to the lower of (x) $1.00 and (y) the Dividend Conversion Price (as defined in the Certificate of Designations), using July 1, 2024, as the applicable date of determination in accordance with the Certificate of Designations; (B) the dividends due on October 1, 2024 (the “October Dividend Amount” and, together with the July Delinquent Dividend Amount, the “Delinquent Dividend Amounts”), shall be payable in shares of Common Stock based on a per share price of Common Stock equal to 80% of the arithmetic average of the three (3) lowest closing sale prices of the Common Stock during the month of September 2024; and (C) such Delinquent Dividend Amounts and any Dividend Balance Shares (as defined in the Certificate of Designations), with respect thereto, if applicable, shall be delivered on October 1, 2024. The Company and the Required Holders further agreed pursuant to the August 2024 Amendment to amend (i) the Certificate of Designations, as described below, by filing a Certificate of Amendment to the Certificate of Designations (the “August 2024 Certificate of Amendment”) and (ii) the Series A Purchase Agreement to amend the definition of “Excluded Securities.” The August 2024 Certificate of Amendment amends the Certificate of Designations to, among other things, (A) allow for the payment of dividends in the form of Common Stock to a holder of the Series A Preferred Stock who serves as a director, officer or employee of the Company; provided that such issuance is approved by the Company’s stockholders prior to such issuance, and (B) amend certain conditions required for (i) a mandatory conversion of the Series A Preferred Stock (as described below), and (ii) the Company’s right to redeem, all or a portion, of the Series A Preferred Stock outstanding pursuant to an optional redemption (as described below), in each case, pursuant to the terms of the Certificate of Designations.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F-21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sz w:val="20"/>
        </w:rPr>
        <w:t>Pursuant to the August 2024 Certificate of Amendment, the Company may require holders to convert their shares of Series A Preferred Stock into shares of Common Stock if the closing price of the Company’s Common Stock exceeds $8.00 per share (subject to adjustment for stock splits, stock dividends, stock combinations, recapitalizations or other similar events) for 20 consecutive trading days and the daily dollar trading volume of the Common Stock exceeds $2,000 per day during the same period, provided that certain equity conditions described in the Certificate of Designations are satisfied. Pursuant to the August 2024 Certificate of Amendment, at any time beginning 18 months from the date of the issuance, provided that the Company has filed all reports required to be filed by it pursuant to the Exchange Act on a timely basis for a continuous period of one year and provided further that certain equity conditions described in the Certificate of Designations are satisfied, the Company has the right to redeem in cash all or some of the shares of the Series A Preferred Stock outstanding at such time at a redemption price equal to the product of (x) 125% multiplied by (y) the sum of (A) the stated value of the Series A Preferred Stock plus (B) all declared and unpaid Dividends on such Preferred Stock and any other unpaid amounts then due and payable hereunder with respect to such Series A Preferred Stock, plus (C) the make-whole amount, plus (D) any accrued and unpaid late charges with respect to such stated value and amounts payable pursuant to clause (B) as of such date of determination.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On October 14, 2024, the Company entered into an Amendment Agreement with the Required Holders (as defined in the Certificate of Designations), pursuant to which, the Required Holders agreed to amend the Certificate of Designations of the Company’s Series A Preferred Stock, as described below, by filing a Certificate of Amendment to the Certificate of Designations (the “October 2024 Certificate of Amendment”). The October 2024 Certificate of Amendment amends the Certificate of Designations to, among other things, provide that, except as required by applicable law, the holders of the Series A Preferred Stock will be entitled to vote with holders of the Common Stock on an as converted basis, with the number of votes to which each holder of Series A Preferred Stock is entitled to be calculated assuming a conversion price of $1.414 per share, which was the Minimum Price (as defined in Rule 5635 of the Rule of the Nasdaq Stock Market) applicable immediately before the execution and delivery of the Series A Purchase Agreement, subject to certain beneficial ownership limitations as set forth in the Certificate of Designations. The October 2024 Certificate of Amendment further provides that (i) certain holders of the Series A Preferred Stock will not be subject to certain beneficial ownership limitations as described in the Certificate of Designations, and (ii) stockholder approval will not be required in connection with the payment of dividends in the form of Common Stock to a holder of the Series A Preferred Stock who serves as a director, officer or employee of the Company. The October 2024 Certificate of Amendment was filed with the Secretary of State of the State of Delaware, effective as of October 14, 2024. The holders of the Series A Preferred Stock have no voting rights, other than with respect to certain matters affecting the rights of the Series A Preferred Stock.</w:t>
      </w:r>
      <w:r>
        <w:rPr>
          <w:rFonts w:ascii="Times New Roman" w:hAnsi="Times New Roman"/>
          <w:sz w:val="24"/>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sz w:val="20"/>
        </w:rPr>
        <w:t>On November 25, 2024, the Company entered into an Amendment and Agreement with the Series A Investors (the “November 2024 Amendment Agreement”), pursuant to which, (i) the Series A Investors agreed to amend the Certificate of Designations, as described below, by filing a Certificate of Amendment to the Certificate of Designations with the Secretary of State (the “November 2024 Certificate of Amendment”), and (ii) the Series A Investors and the Company agreed that all payment amounts that have accrued and are unpaid as of November 25, 2024, pursuant to the Certificate of Designations and the August 2024 Amendment will be satisfied by delivery of shares of Common Stock on or prior to November 25, 2024, with each Series A Investor entitled to receive the number of shares of Common Stock specified below such Series A Investor’s name on its respective signature page thereto. The November 2024 Certificate of Amendment amends the Certificate of Designations to provide that upon the occurrence of a Triggering Event (as defined in the Certificate of Designations), the Series A Preferred Stock will accrue dividends compounded monthly at the rate of 20% per annum. The Certificate of Amendment became effective with the Secretary of State on December 6, 2024.</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shd w:fill="FFFFFF" w:val="clear"/>
        </w:rPr>
        <w:t>At the time of issuance, $2,036 of the net proceeds less transaction cost of the Series A Purchase Agreement was allocated to the 10,000 shares of Series A Preferred Stock initially issued. As of December 31, 2024, a total of 1,793 shares of Series A Preferred Stock were converted into approximately 1,468,000 shares of Common Stock. There were no additional conversions for the year ended December 31, 2025.</w:t>
      </w:r>
      <w:r>
        <w:rPr>
          <w:rFonts w:ascii="Times New Roman" w:hAnsi="Times New Roman"/>
          <w:sz w:val="24"/>
          <w:shd w:fill="FFFFFF" w:val="clear"/>
        </w:rPr>
        <w:t xml:space="preserve"> </w:t>
      </w:r>
      <w:r>
        <w:rPr>
          <w:rFonts w:ascii="Times New Roman" w:hAnsi="Times New Roman"/>
          <w:sz w:val="20"/>
          <w:shd w:fill="FFFFFF" w:val="clear"/>
        </w:rPr>
        <w:t>For the year  ended December 31, 2025, the Company authorized and declared dividends totaling $903, of which $492 was paid in shares of the Company’s Common Stock. For the year ended December 31, 2024, authorized and declared dividends totaling $1,218, of which $60 was paid in cash, $1,158 was paid in shares of the Company’s Common Stock.</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F-22</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i/>
          <w:sz w:val="20"/>
          <w:u w:val="single"/>
        </w:rPr>
        <w:t>Series B Preferred Stock</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i/>
          <w:sz w:val="20"/>
        </w:rPr>
      </w:pPr>
      <w:r>
        <w:rPr>
          <w:rFonts w:ascii="Times New Roman" w:hAnsi="Times New Roman"/>
          <w:i/>
          <w:sz w:val="20"/>
        </w:rPr>
        <w:t>Series B Issuance</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sz w:val="20"/>
        </w:rPr>
        <w:t>On August 18, 2025, the Company entered into the Series B Purchase Agreement with the Series B Purchasers, including V4 Global, LLC (an entity controlled by the Company's Chief Executive Officer), for the issuance and sale in a private placement of an aggregate of (i) 4,500 shares of the Company’s Series B Preferred Stock initially convertible into up to 3,000,000 shares of Common Stock, at an initial conversion price of $1.50 per share, and (ii) accompanying Series B Warrants to purchase up to 3,000,000 shares of Common Stock, with an initial exercise price of $1.50 per share, for aggregate gross proceeds of $4,500 before offering expenses. V4 Global, LLC purchased 1,000 shares (22% of the offering) on the same terms as unrelated investors. </w:t>
      </w:r>
      <w:r>
        <w:rPr>
          <w:rFonts w:ascii="TimesNewRoman;Times New Roman;Times;Baskerville;Georgia;serif" w:hAnsi="TimesNewRoman;Times New Roman;Times;Baskerville;Georgia;serif"/>
          <w:sz w:val="20"/>
        </w:rPr>
        <w:t>The Series B Preferred Stock and Series B Warrants were not exercisable or convertible until stockholder approval was obtained on December 12, 2025, pursuant to Nasdaq Stock Market Rule 5635(d) for issuances exceeding 19.99% of outstanding common stock at prices below the Minimum Price.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On August 20, 2025, the Company filed the Series B Certificate of Designations, thereby creating the Series B Preferred Stock. The Series B Certificate of Designations became effective with the Secretary of State of the State of Delaware upon filing. The terms of the Series B Convertible Preferred Stock are as set forth in the Series B Certificate of Designations. The Series B Preferred Stock are convertible into the Series B Conversion Shares at the election of the holders of the Series B Preferred Stock at any time at an initial conversion price of $1.50 per share (3,000,000 shares in aggregate), the conversion price is subject to customary anti-dilution adjustments for stock dividends, stock splits, reclassifications, stock combinations and similar corporate events. </w:t>
      </w:r>
    </w:p>
    <w:p>
      <w:pPr>
        <w:pStyle w:val="TextBody"/>
        <w:bidi w:val="0"/>
        <w:spacing w:before="0" w:after="0"/>
        <w:jc w:val="both"/>
        <w:rPr/>
      </w:pPr>
      <w:r>
        <w:rPr/>
        <w:t xml:space="preserve">  </w:t>
      </w:r>
    </w:p>
    <w:p>
      <w:pPr>
        <w:pStyle w:val="TextBody"/>
        <w:bidi w:val="0"/>
        <w:spacing w:before="0" w:after="0"/>
        <w:jc w:val="both"/>
        <w:rPr>
          <w:rFonts w:ascii="Times New Roman" w:hAnsi="Times New Roman"/>
          <w:i/>
          <w:sz w:val="20"/>
        </w:rPr>
      </w:pPr>
      <w:r>
        <w:rPr>
          <w:rFonts w:ascii="Times New Roman" w:hAnsi="Times New Roman"/>
          <w:i/>
          <w:sz w:val="20"/>
        </w:rPr>
        <w:t>Classification Analysis</w:t>
      </w:r>
    </w:p>
    <w:p>
      <w:pPr>
        <w:pStyle w:val="TextBody"/>
        <w:bidi w:val="0"/>
        <w:ind w:left="0" w:right="0" w:hanging="0"/>
        <w:jc w:val="both"/>
        <w:rPr>
          <w:rFonts w:ascii="TimesNewRoman;Times New Roman;Times;Baskerville;Georgia;serif" w:hAnsi="TimesNewRoman;Times New Roman;Times;Baskerville;Georgia;serif"/>
          <w:spacing w:val="0"/>
          <w:sz w:val="20"/>
          <w:shd w:fill="FFFFFF" w:val="clear"/>
        </w:rPr>
      </w:pPr>
      <w:r>
        <w:rPr>
          <w:rFonts w:ascii="TimesNewRoman;Times New Roman;Times;Baskerville;Georgia;serif" w:hAnsi="TimesNewRoman;Times New Roman;Times;Baskerville;Georgia;serif"/>
          <w:spacing w:val="0"/>
          <w:sz w:val="20"/>
          <w:shd w:fill="FFFFFF" w:val="clear"/>
        </w:rPr>
        <w:t>The Company evaluated the Series B Preferred Stock and Series B Warrants under ASC 480, Distinguishing Liabilities from Equity, and ASC 815-40, Contracts in Entity's Own Equity. Management concluded that both instruments qualify for permanent equity classification from inception because:</w:t>
      </w:r>
    </w:p>
    <w:p>
      <w:pPr>
        <w:pStyle w:val="TextBody"/>
        <w:numPr>
          <w:ilvl w:val="0"/>
          <w:numId w:val="85"/>
        </w:numPr>
        <w:shd w:fill="FFFFFF" w:val="clear"/>
        <w:tabs>
          <w:tab w:val="clear" w:pos="1134"/>
          <w:tab w:val="left" w:pos="814" w:leader="none"/>
        </w:tabs>
        <w:bidi w:val="0"/>
        <w:spacing w:before="0" w:after="0"/>
        <w:ind w:left="814" w:right="0" w:hanging="283"/>
        <w:jc w:val="left"/>
        <w:rPr>
          <w:rFonts w:ascii="TimesNewRoman;Times New Roman;Times;Baskerville;Georgia;serif" w:hAnsi="TimesNewRoman;Times New Roman;Times;Baskerville;Georgia;serif"/>
          <w:color w:val="242424"/>
          <w:spacing w:val="0"/>
          <w:sz w:val="20"/>
        </w:rPr>
      </w:pPr>
      <w:r>
        <w:rPr>
          <w:rFonts w:ascii="TimesNewRoman;Times New Roman;Times;Baskerville;Georgia;serif" w:hAnsi="TimesNewRoman;Times New Roman;Times;Baskerville;Georgia;serif"/>
          <w:color w:val="242424"/>
          <w:spacing w:val="0"/>
          <w:sz w:val="20"/>
        </w:rPr>
        <w:t>Neither instrument contains mandatory redemption provisions requiring liability classification under ASC 480</w:t>
      </w:r>
    </w:p>
    <w:p>
      <w:pPr>
        <w:pStyle w:val="TextBody"/>
        <w:numPr>
          <w:ilvl w:val="0"/>
          <w:numId w:val="85"/>
        </w:numPr>
        <w:shd w:fill="FFFFFF" w:val="clear"/>
        <w:tabs>
          <w:tab w:val="clear" w:pos="1134"/>
          <w:tab w:val="left" w:pos="814" w:leader="none"/>
        </w:tabs>
        <w:bidi w:val="0"/>
        <w:spacing w:before="0" w:after="0"/>
        <w:ind w:left="814" w:right="0" w:hanging="283"/>
        <w:jc w:val="left"/>
        <w:rPr>
          <w:rFonts w:ascii="TimesNewRoman;Times New Roman;Times;Baskerville;Georgia;serif" w:hAnsi="TimesNewRoman;Times New Roman;Times;Baskerville;Georgia;serif"/>
          <w:color w:val="242424"/>
          <w:spacing w:val="0"/>
          <w:sz w:val="20"/>
        </w:rPr>
      </w:pPr>
      <w:r>
        <w:rPr>
          <w:rFonts w:ascii="TimesNewRoman;Times New Roman;Times;Baskerville;Georgia;serif" w:hAnsi="TimesNewRoman;Times New Roman;Times;Baskerville;Georgia;serif"/>
          <w:color w:val="242424"/>
          <w:spacing w:val="0"/>
          <w:sz w:val="20"/>
        </w:rPr>
        <w:t>Both instruments are indexed to the Company's own stock under ASC 815-40-15 (fixed conversion/exercise price with only standard anti-dilution provisions)</w:t>
      </w:r>
    </w:p>
    <w:p>
      <w:pPr>
        <w:pStyle w:val="TextBody"/>
        <w:numPr>
          <w:ilvl w:val="0"/>
          <w:numId w:val="85"/>
        </w:numPr>
        <w:shd w:fill="FFFFFF" w:val="clear"/>
        <w:tabs>
          <w:tab w:val="clear" w:pos="1134"/>
          <w:tab w:val="left" w:pos="814" w:leader="none"/>
        </w:tabs>
        <w:bidi w:val="0"/>
        <w:spacing w:before="0" w:after="0"/>
        <w:ind w:left="814" w:right="0" w:hanging="283"/>
        <w:jc w:val="left"/>
        <w:rPr>
          <w:rFonts w:ascii="TimesNewRoman;Times New Roman;Times;Baskerville;Georgia;serif" w:hAnsi="TimesNewRoman;Times New Roman;Times;Baskerville;Georgia;serif"/>
          <w:color w:val="242424"/>
          <w:spacing w:val="0"/>
          <w:sz w:val="20"/>
        </w:rPr>
      </w:pPr>
      <w:r>
        <w:rPr>
          <w:rFonts w:ascii="TimesNewRoman;Times New Roman;Times;Baskerville;Georgia;serif" w:hAnsi="TimesNewRoman;Times New Roman;Times;Baskerville;Georgia;serif"/>
          <w:color w:val="242424"/>
          <w:spacing w:val="0"/>
          <w:sz w:val="20"/>
        </w:rPr>
        <w:t xml:space="preserve">The Company has sufficient authorized and unissued shares available to settle both instruments </w:t>
      </w:r>
    </w:p>
    <w:p>
      <w:pPr>
        <w:pStyle w:val="TextBody"/>
        <w:numPr>
          <w:ilvl w:val="0"/>
          <w:numId w:val="85"/>
        </w:numPr>
        <w:shd w:fill="FFFFFF" w:val="clear"/>
        <w:tabs>
          <w:tab w:val="clear" w:pos="1134"/>
          <w:tab w:val="left" w:pos="814" w:leader="none"/>
        </w:tabs>
        <w:bidi w:val="0"/>
        <w:spacing w:before="0" w:after="0"/>
        <w:ind w:left="814" w:right="0" w:hanging="283"/>
        <w:jc w:val="left"/>
        <w:rPr>
          <w:rFonts w:ascii="TimesNewRoman;Times New Roman;Times;Baskerville;Georgia;serif" w:hAnsi="TimesNewRoman;Times New Roman;Times;Baskerville;Georgia;serif"/>
          <w:color w:val="242424"/>
          <w:spacing w:val="0"/>
          <w:sz w:val="20"/>
        </w:rPr>
      </w:pPr>
      <w:r>
        <w:rPr>
          <w:rFonts w:ascii="TimesNewRoman;Times New Roman;Times;Baskerville;Georgia;serif" w:hAnsi="TimesNewRoman;Times New Roman;Times;Baskerville;Georgia;serif"/>
          <w:color w:val="242424"/>
          <w:spacing w:val="0"/>
          <w:sz w:val="20"/>
        </w:rPr>
        <w:t>Physical settlement in registered shares only; no net-cash settlement provisions</w:t>
      </w:r>
    </w:p>
    <w:p>
      <w:pPr>
        <w:pStyle w:val="TextBody"/>
        <w:numPr>
          <w:ilvl w:val="0"/>
          <w:numId w:val="85"/>
        </w:numPr>
        <w:shd w:fill="FFFFFF" w:val="clear"/>
        <w:tabs>
          <w:tab w:val="clear" w:pos="1134"/>
          <w:tab w:val="left" w:pos="814" w:leader="none"/>
        </w:tabs>
        <w:bidi w:val="0"/>
        <w:ind w:left="814" w:right="0" w:hanging="283"/>
        <w:jc w:val="left"/>
        <w:rPr>
          <w:rFonts w:ascii="TimesNewRoman;Times New Roman;Times;Baskerville;Georgia;serif" w:hAnsi="TimesNewRoman;Times New Roman;Times;Baskerville;Georgia;serif"/>
          <w:color w:val="242424"/>
          <w:spacing w:val="0"/>
          <w:sz w:val="20"/>
        </w:rPr>
      </w:pPr>
      <w:r>
        <w:rPr>
          <w:rFonts w:ascii="TimesNewRoman;Times New Roman;Times;Baskerville;Georgia;serif" w:hAnsi="TimesNewRoman;Times New Roman;Times;Baskerville;Georgia;serif"/>
          <w:color w:val="242424"/>
          <w:spacing w:val="0"/>
          <w:sz w:val="20"/>
        </w:rPr>
        <w:t>The stockholder approval contingency represents an internal regulatory requirement within the Company's control, not an event outside the issuer's control that would preclude equity classification</w:t>
      </w:r>
    </w:p>
    <w:p>
      <w:pPr>
        <w:pStyle w:val="TextBody"/>
        <w:bidi w:val="0"/>
        <w:spacing w:before="0" w:after="0"/>
        <w:jc w:val="both"/>
        <w:rPr>
          <w:rFonts w:ascii="Times New Roman" w:hAnsi="Times New Roman"/>
          <w:sz w:val="20"/>
        </w:rPr>
      </w:pPr>
      <w:r>
        <w:rPr>
          <w:rFonts w:ascii="Times New Roman" w:hAnsi="Times New Roman"/>
          <w:sz w:val="20"/>
        </w:rPr>
        <w:t>The Series B Preferred Stock has no voting rights except for protective provisions requiring majority holder approval for certain actions that would adversely affect the rights of Series B holders. </w:t>
      </w:r>
    </w:p>
    <w:p>
      <w:pPr>
        <w:pStyle w:val="TextBody"/>
        <w:bidi w:val="0"/>
        <w:spacing w:before="0" w:after="0"/>
        <w:jc w:val="both"/>
        <w:rPr/>
      </w:pPr>
      <w:r>
        <w:rPr/>
        <w:t> </w:t>
      </w:r>
    </w:p>
    <w:p>
      <w:pPr>
        <w:pStyle w:val="TextBody"/>
        <w:bidi w:val="0"/>
        <w:spacing w:before="0" w:after="0"/>
        <w:jc w:val="both"/>
        <w:rPr>
          <w:rFonts w:ascii="Times New Roman" w:hAnsi="Times New Roman"/>
          <w:spacing w:val="0"/>
          <w:sz w:val="20"/>
        </w:rPr>
      </w:pPr>
      <w:r>
        <w:rPr>
          <w:rFonts w:ascii="Times New Roman" w:hAnsi="Times New Roman"/>
          <w:spacing w:val="0"/>
          <w:sz w:val="20"/>
        </w:rPr>
        <w:t>Holders are entitled to receive dividends if and when declared by the Board of Directors, payable in cash, securities, or assets at the Board's determination. The Series B Preferred Stock has no mandatory redemption provisions and is classified within permanent stockholders' equity.</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F-23</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ind w:left="10" w:right="0" w:hanging="0"/>
        <w:jc w:val="left"/>
        <w:rPr>
          <w:rFonts w:ascii="Times New Roman" w:hAnsi="Times New Roman"/>
          <w:sz w:val="24"/>
        </w:rPr>
      </w:pPr>
      <w:r>
        <w:rPr>
          <w:rFonts w:ascii="Times New Roman" w:hAnsi="Times New Roman"/>
          <w:b/>
          <w:color w:val="000000"/>
          <w:sz w:val="20"/>
        </w:rPr>
        <w:t>13. SHARE-BASED COMPENSATION</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On March 28, 2017, the Company adopted, and the Company’s stockholders approved, the Wrap Technologies, Inc. 2017 Equity Incentive Plan (the “2017 Plan”) subject to stockholder approval. Under the 2017 Plan as originally adopted, the Company initially reserved 2,000,000 shares of Common Stock for issuance as awards under the 2017 Plan. The 2017 Plan was amended by the First Amendment to the 2017 Plan to increase the total number of shares of Common Stock for issuance under the 2017 Plan to 4,100,000 shares, which was adopted by the Board on March 16, 2019, and by stockholders on May 23, 2019. The 2017 Plan was also amended by the Second Amendment to the 2017 Plan to increase the total number of shares of Common Stock for issuance under the 2017 Plan to 6,000,000 shares which was adopted by the Board on April 8, 2020, and by stockholders on June 5, 2020. The 2017 Plan was also amended by the Third Amendment to the 2017 Plan to increase the total number of shares of Common Stock for issuance under the 2017 Plan to 7,500,000 shares which was adopted by the Board on April 23, 2021, and by stockholders on June 22, 2021. The 2017 Plan was also amended by the Fourth Amendment to the 2017 Plan to increase the total number of shares of Common Stock for issuance under the 2017 Plan to 9,000,000 shares which was adopted by the Board on April 22, 2022, and by our stockholders on June 23, 2022.The 2017 Plan was amended by the Fifth Amendment to the 2017 Plan to increase the total number of shares of Common Stock for issuance under the 2017 Plan to 16,500,000 shares which was adopted by the Board on November 12, 2024, and by our stockholders on December 23, 2024. The 2017 Plan was amended by the Sixth Amendment to the 2017 Plan to increase the total number of shares of Common Stock for issuance under the 2017 Plan to 20,500,000 shares which was adopted by the Board of Directors on October 20, 2025, and by the Company stockholders on December 12, 2025.</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shd w:fill="FFFFFF" w:val="clear"/>
        </w:rPr>
        <w:t>As of December 31, 2025,</w:t>
      </w:r>
      <w:r>
        <w:rPr>
          <w:rFonts w:ascii="Times New Roman" w:hAnsi="Times New Roman"/>
          <w:sz w:val="24"/>
          <w:shd w:fill="FFFFFF" w:val="clear"/>
        </w:rPr>
        <w:t xml:space="preserve"> </w:t>
      </w:r>
      <w:r>
        <w:rPr>
          <w:rFonts w:ascii="Times New Roman" w:hAnsi="Times New Roman"/>
          <w:sz w:val="20"/>
        </w:rPr>
        <w:t>there</w:t>
      </w:r>
      <w:r>
        <w:rPr>
          <w:rFonts w:ascii="Times New Roman" w:hAnsi="Times New Roman"/>
          <w:sz w:val="20"/>
          <w:shd w:fill="FFFFFF" w:val="clear"/>
        </w:rPr>
        <w:t xml:space="preserve"> were 8,011,625 shar</w:t>
      </w:r>
      <w:r>
        <w:rPr>
          <w:rFonts w:ascii="Times New Roman" w:hAnsi="Times New Roman"/>
          <w:sz w:val="20"/>
        </w:rPr>
        <w:t>es of Common Stock remaining available for grant under the 2017 Plan.</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Stock Options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following table summarizes stock option activity for the year en</w:t>
      </w:r>
      <w:r>
        <w:rPr>
          <w:rFonts w:ascii="Times New Roman" w:hAnsi="Times New Roman"/>
          <w:sz w:val="20"/>
          <w:shd w:fill="FFFFFF" w:val="clear"/>
        </w:rPr>
        <w:t>ded December 31, 2025:</w:t>
      </w:r>
      <w:r>
        <w:rPr>
          <w:rFonts w:ascii="Times New Roman" w:hAnsi="Times New Roman"/>
          <w:sz w:val="24"/>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29"/>
        <w:gridCol w:w="90"/>
        <w:gridCol w:w="1896"/>
        <w:gridCol w:w="155"/>
        <w:gridCol w:w="90"/>
        <w:gridCol w:w="155"/>
        <w:gridCol w:w="1108"/>
        <w:gridCol w:w="90"/>
        <w:gridCol w:w="90"/>
        <w:gridCol w:w="90"/>
        <w:gridCol w:w="2051"/>
        <w:gridCol w:w="90"/>
        <w:gridCol w:w="90"/>
        <w:gridCol w:w="155"/>
        <w:gridCol w:w="1788"/>
        <w:gridCol w:w="138"/>
      </w:tblGrid>
      <w:tr>
        <w:trPr/>
        <w:tc>
          <w:tcPr>
            <w:tcW w:w="2129"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2051"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r>
      <w:tr>
        <w:trPr/>
        <w:tc>
          <w:tcPr>
            <w:tcW w:w="212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74" w:type="dxa"/>
            <w:gridSpan w:val="7"/>
            <w:tcBorders>
              <w:bottom w:val="single" w:sz="2" w:space="0" w:color="000000"/>
            </w:tcBorders>
            <w:tcMar>
              <w:bottom w:w="28" w:type="dxa"/>
            </w:tcMar>
            <w:vAlign w:val="center"/>
          </w:tcPr>
          <w:p>
            <w:pPr>
              <w:pStyle w:val="TableContents"/>
              <w:bidi w:val="0"/>
              <w:spacing w:before="0" w:after="283"/>
              <w:jc w:val="center"/>
              <w:rPr>
                <w:b/>
                <w:sz w:val="20"/>
              </w:rPr>
            </w:pPr>
            <w:r>
              <w:rPr>
                <w:b/>
                <w:sz w:val="20"/>
              </w:rPr>
              <w:t>Weighted Average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788"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r>
      <w:tr>
        <w:trPr/>
        <w:tc>
          <w:tcPr>
            <w:tcW w:w="2129"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896"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Options on Common Shares</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1108"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Exercise Price</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2051"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Remaining Contractual Term</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1788"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Aggregate Intrinsic Value</w:t>
            </w:r>
          </w:p>
        </w:tc>
        <w:tc>
          <w:tcPr>
            <w:tcW w:w="138"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29" w:type="dxa"/>
            <w:tcBorders/>
            <w:shd w:fill="CCEEFF" w:val="clear"/>
            <w:vAlign w:val="center"/>
          </w:tcPr>
          <w:p>
            <w:pPr>
              <w:pStyle w:val="TableContents"/>
              <w:bidi w:val="0"/>
              <w:spacing w:before="0" w:after="283"/>
              <w:jc w:val="left"/>
              <w:rPr>
                <w:sz w:val="20"/>
              </w:rPr>
            </w:pPr>
            <w:r>
              <w:rPr>
                <w:sz w:val="20"/>
              </w:rPr>
              <w:t>Outstanding January 1, 2025</w:t>
            </w:r>
          </w:p>
        </w:tc>
        <w:tc>
          <w:tcPr>
            <w:tcW w:w="90"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sz w:val="20"/>
              </w:rPr>
            </w:pPr>
            <w:r>
              <w:rPr>
                <w:sz w:val="20"/>
              </w:rPr>
              <w:t>3,944,284</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1108" w:type="dxa"/>
            <w:tcBorders/>
            <w:shd w:fill="CCEEFF" w:val="clear"/>
            <w:vAlign w:val="center"/>
          </w:tcPr>
          <w:p>
            <w:pPr>
              <w:pStyle w:val="TableContents"/>
              <w:bidi w:val="0"/>
              <w:spacing w:before="0" w:after="283"/>
              <w:jc w:val="right"/>
              <w:rPr>
                <w:sz w:val="20"/>
              </w:rPr>
            </w:pPr>
            <w:r>
              <w:rPr>
                <w:sz w:val="20"/>
              </w:rPr>
              <w:t>2.12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1" w:type="dxa"/>
            <w:tcBorders/>
            <w:shd w:fill="CCEEFF" w:val="clear"/>
            <w:vAlign w:val="center"/>
          </w:tcPr>
          <w:p>
            <w:pPr>
              <w:pStyle w:val="TableContents"/>
              <w:bidi w:val="0"/>
              <w:spacing w:before="0" w:after="283"/>
              <w:jc w:val="right"/>
              <w:rPr>
                <w:sz w:val="20"/>
              </w:rPr>
            </w:pPr>
            <w:r>
              <w:rPr>
                <w:sz w:val="20"/>
              </w:rPr>
              <w:t>8.30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1788" w:type="dxa"/>
            <w:tcBorders/>
            <w:shd w:fill="CCEEFF" w:val="clear"/>
            <w:vAlign w:val="center"/>
          </w:tcPr>
          <w:p>
            <w:pPr>
              <w:pStyle w:val="TableContents"/>
              <w:bidi w:val="0"/>
              <w:spacing w:before="0" w:after="283"/>
              <w:jc w:val="right"/>
              <w:rPr>
                <w:sz w:val="20"/>
              </w:rPr>
            </w:pPr>
            <w:r>
              <w:rPr>
                <w:sz w:val="20"/>
              </w:rPr>
              <w:t>1,486</w:t>
            </w:r>
          </w:p>
        </w:tc>
        <w:tc>
          <w:tcPr>
            <w:tcW w:w="138" w:type="dxa"/>
            <w:tcBorders/>
            <w:shd w:fill="CCEEFF" w:val="clear"/>
            <w:vAlign w:val="center"/>
          </w:tcPr>
          <w:p>
            <w:pPr>
              <w:pStyle w:val="TableContents"/>
              <w:bidi w:val="0"/>
              <w:spacing w:before="0" w:after="283"/>
              <w:jc w:val="left"/>
              <w:rPr/>
            </w:pPr>
            <w:r>
              <w:rPr/>
              <w:t> </w:t>
            </w:r>
          </w:p>
        </w:tc>
      </w:tr>
      <w:tr>
        <w:trPr/>
        <w:tc>
          <w:tcPr>
            <w:tcW w:w="2129" w:type="dxa"/>
            <w:tcBorders/>
            <w:vAlign w:val="center"/>
          </w:tcPr>
          <w:p>
            <w:pPr>
              <w:pStyle w:val="TableContents"/>
              <w:bidi w:val="0"/>
              <w:spacing w:before="0" w:after="283"/>
              <w:jc w:val="left"/>
              <w:rPr>
                <w:sz w:val="20"/>
              </w:rPr>
            </w:pPr>
            <w:r>
              <w:rPr>
                <w:sz w:val="20"/>
              </w:rPr>
              <w:t>Granted</w:t>
            </w:r>
          </w:p>
        </w:tc>
        <w:tc>
          <w:tcPr>
            <w:tcW w:w="90" w:type="dxa"/>
            <w:tcBorders/>
            <w:vAlign w:val="center"/>
          </w:tcPr>
          <w:p>
            <w:pPr>
              <w:pStyle w:val="TableContents"/>
              <w:bidi w:val="0"/>
              <w:spacing w:before="0" w:after="283"/>
              <w:jc w:val="left"/>
              <w:rPr/>
            </w:pPr>
            <w:r>
              <w:rPr/>
              <w:t> </w:t>
            </w:r>
          </w:p>
        </w:tc>
        <w:tc>
          <w:tcPr>
            <w:tcW w:w="1896" w:type="dxa"/>
            <w:tcBorders/>
            <w:vAlign w:val="center"/>
          </w:tcPr>
          <w:p>
            <w:pPr>
              <w:pStyle w:val="TableContents"/>
              <w:bidi w:val="0"/>
              <w:spacing w:before="0" w:after="283"/>
              <w:jc w:val="right"/>
              <w:rPr>
                <w:sz w:val="20"/>
              </w:rPr>
            </w:pPr>
            <w:r>
              <w:rPr>
                <w:sz w:val="20"/>
              </w:rPr>
              <w:t>5,273,927</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sz w:val="20"/>
              </w:rPr>
            </w:pPr>
            <w:r>
              <w:rPr>
                <w:sz w:val="20"/>
              </w:rPr>
              <w:t>1.98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1"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788" w:type="dxa"/>
            <w:tcBorders/>
            <w:vAlign w:val="center"/>
          </w:tcPr>
          <w:p>
            <w:pPr>
              <w:pStyle w:val="TableContents"/>
              <w:bidi w:val="0"/>
              <w:spacing w:before="0" w:after="283"/>
              <w:jc w:val="right"/>
              <w:rPr>
                <w:sz w:val="20"/>
              </w:rPr>
            </w:pPr>
            <w:r>
              <w:rPr>
                <w:sz w:val="20"/>
              </w:rPr>
              <w:t>-</w:t>
            </w:r>
          </w:p>
        </w:tc>
        <w:tc>
          <w:tcPr>
            <w:tcW w:w="138" w:type="dxa"/>
            <w:tcBorders/>
            <w:vAlign w:val="center"/>
          </w:tcPr>
          <w:p>
            <w:pPr>
              <w:pStyle w:val="TableContents"/>
              <w:bidi w:val="0"/>
              <w:spacing w:before="0" w:after="283"/>
              <w:jc w:val="left"/>
              <w:rPr/>
            </w:pPr>
            <w:r>
              <w:rPr/>
              <w:t> </w:t>
            </w:r>
          </w:p>
        </w:tc>
      </w:tr>
      <w:tr>
        <w:trPr/>
        <w:tc>
          <w:tcPr>
            <w:tcW w:w="2129" w:type="dxa"/>
            <w:tcBorders/>
            <w:shd w:fill="CCEEFF" w:val="clear"/>
            <w:vAlign w:val="center"/>
          </w:tcPr>
          <w:p>
            <w:pPr>
              <w:pStyle w:val="TableContents"/>
              <w:bidi w:val="0"/>
              <w:spacing w:before="0" w:after="283"/>
              <w:jc w:val="left"/>
              <w:rPr>
                <w:sz w:val="20"/>
              </w:rPr>
            </w:pPr>
            <w:r>
              <w:rPr>
                <w:sz w:val="20"/>
              </w:rPr>
              <w:t>Exercised</w:t>
            </w:r>
          </w:p>
        </w:tc>
        <w:tc>
          <w:tcPr>
            <w:tcW w:w="90" w:type="dxa"/>
            <w:tcBorders/>
            <w:shd w:fill="CCEEFF" w:val="clear"/>
            <w:vAlign w:val="center"/>
          </w:tcPr>
          <w:p>
            <w:pPr>
              <w:pStyle w:val="TableContents"/>
              <w:bidi w:val="0"/>
              <w:spacing w:before="0" w:after="283"/>
              <w:jc w:val="left"/>
              <w:rPr/>
            </w:pPr>
            <w:r>
              <w:rPr/>
              <w:t> </w:t>
            </w:r>
          </w:p>
        </w:tc>
        <w:tc>
          <w:tcPr>
            <w:tcW w:w="1896" w:type="dxa"/>
            <w:tcBorders/>
            <w:shd w:fill="CCEEFF" w:val="clear"/>
            <w:vAlign w:val="center"/>
          </w:tcPr>
          <w:p>
            <w:pPr>
              <w:pStyle w:val="TableContents"/>
              <w:bidi w:val="0"/>
              <w:spacing w:before="0" w:after="283"/>
              <w:jc w:val="right"/>
              <w:rPr>
                <w:sz w:val="20"/>
              </w:rPr>
            </w:pPr>
            <w:r>
              <w:rPr>
                <w:sz w:val="20"/>
              </w:rPr>
              <w:t>(171,415</w:t>
            </w:r>
          </w:p>
        </w:tc>
        <w:tc>
          <w:tcPr>
            <w:tcW w:w="155" w:type="dxa"/>
            <w:tcBorders/>
            <w:shd w:fill="CCEEFF" w:val="clear"/>
            <w:vAlign w:val="center"/>
          </w:tcPr>
          <w:p>
            <w:pPr>
              <w:pStyle w:val="TableContents"/>
              <w:bidi w:val="0"/>
              <w:spacing w:before="0" w:after="283"/>
              <w:jc w:val="left"/>
              <w:rPr>
                <w:sz w:val="20"/>
              </w:rPr>
            </w:pPr>
            <w:r>
              <w:rPr>
                <w:sz w:val="20"/>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08" w:type="dxa"/>
            <w:tcBorders/>
            <w:shd w:fill="CCEEFF" w:val="clear"/>
            <w:vAlign w:val="center"/>
          </w:tcPr>
          <w:p>
            <w:pPr>
              <w:pStyle w:val="TableContents"/>
              <w:bidi w:val="0"/>
              <w:spacing w:before="0" w:after="283"/>
              <w:jc w:val="right"/>
              <w:rPr>
                <w:sz w:val="20"/>
              </w:rPr>
            </w:pPr>
            <w:r>
              <w:rPr>
                <w:sz w:val="20"/>
              </w:rPr>
              <w:t>1.43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1" w:type="dxa"/>
            <w:tcBorders/>
            <w:shd w:fill="CCEEFF" w:val="clear"/>
            <w:vAlign w:val="center"/>
          </w:tcPr>
          <w:p>
            <w:pPr>
              <w:pStyle w:val="TableContents"/>
              <w:bidi w:val="0"/>
              <w:spacing w:before="0" w:after="283"/>
              <w:jc w:val="right"/>
              <w:rPr>
                <w:sz w:val="20"/>
              </w:rPr>
            </w:pPr>
            <w:r>
              <w:rPr>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788" w:type="dxa"/>
            <w:tcBorders/>
            <w:shd w:fill="CCEEFF" w:val="clear"/>
            <w:vAlign w:val="center"/>
          </w:tcPr>
          <w:p>
            <w:pPr>
              <w:pStyle w:val="TableContents"/>
              <w:bidi w:val="0"/>
              <w:spacing w:before="0" w:after="283"/>
              <w:jc w:val="right"/>
              <w:rPr>
                <w:sz w:val="20"/>
              </w:rPr>
            </w:pPr>
            <w:r>
              <w:rPr>
                <w:sz w:val="20"/>
              </w:rPr>
              <w:t>-</w:t>
            </w:r>
          </w:p>
        </w:tc>
        <w:tc>
          <w:tcPr>
            <w:tcW w:w="138" w:type="dxa"/>
            <w:tcBorders/>
            <w:shd w:fill="CCEEFF" w:val="clear"/>
            <w:vAlign w:val="center"/>
          </w:tcPr>
          <w:p>
            <w:pPr>
              <w:pStyle w:val="TableContents"/>
              <w:bidi w:val="0"/>
              <w:spacing w:before="0" w:after="283"/>
              <w:jc w:val="left"/>
              <w:rPr/>
            </w:pPr>
            <w:r>
              <w:rPr/>
              <w:t> </w:t>
            </w:r>
          </w:p>
        </w:tc>
      </w:tr>
      <w:tr>
        <w:trPr/>
        <w:tc>
          <w:tcPr>
            <w:tcW w:w="2129" w:type="dxa"/>
            <w:tcBorders/>
            <w:vAlign w:val="center"/>
          </w:tcPr>
          <w:p>
            <w:pPr>
              <w:pStyle w:val="TableContents"/>
              <w:bidi w:val="0"/>
              <w:spacing w:before="0" w:after="283"/>
              <w:jc w:val="left"/>
              <w:rPr>
                <w:sz w:val="20"/>
              </w:rPr>
            </w:pPr>
            <w:r>
              <w:rPr>
                <w:sz w:val="20"/>
              </w:rPr>
              <w:t>Forfeited, cancelled, expired</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896" w:type="dxa"/>
            <w:tcBorders>
              <w:bottom w:val="single" w:sz="2" w:space="0" w:color="000000"/>
            </w:tcBorders>
            <w:tcMar>
              <w:bottom w:w="28" w:type="dxa"/>
            </w:tcMar>
            <w:vAlign w:val="center"/>
          </w:tcPr>
          <w:p>
            <w:pPr>
              <w:pStyle w:val="TableContents"/>
              <w:bidi w:val="0"/>
              <w:spacing w:before="0" w:after="283"/>
              <w:jc w:val="right"/>
              <w:rPr>
                <w:sz w:val="20"/>
              </w:rPr>
            </w:pPr>
            <w:r>
              <w:rPr>
                <w:sz w:val="20"/>
              </w:rPr>
              <w:t>(2,597,262</w:t>
            </w:r>
          </w:p>
        </w:tc>
        <w:tc>
          <w:tcPr>
            <w:tcW w:w="155" w:type="dxa"/>
            <w:tcBorders>
              <w:bottom w:val="single" w:sz="2" w:space="0" w:color="000000"/>
            </w:tcBorders>
            <w:tcMar>
              <w:bottom w:w="28" w:type="dxa"/>
            </w:tcMar>
            <w:vAlign w:val="center"/>
          </w:tcPr>
          <w:p>
            <w:pPr>
              <w:pStyle w:val="TableContents"/>
              <w:bidi w:val="0"/>
              <w:spacing w:before="0" w:after="283"/>
              <w:jc w:val="left"/>
              <w:rPr>
                <w:sz w:val="20"/>
              </w:rPr>
            </w:pPr>
            <w:r>
              <w:rPr>
                <w:sz w:val="20"/>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1108" w:type="dxa"/>
            <w:tcBorders>
              <w:bottom w:val="single" w:sz="2" w:space="0" w:color="000000"/>
            </w:tcBorders>
            <w:tcMar>
              <w:bottom w:w="28" w:type="dxa"/>
            </w:tcMar>
            <w:vAlign w:val="center"/>
          </w:tcPr>
          <w:p>
            <w:pPr>
              <w:pStyle w:val="TableContents"/>
              <w:bidi w:val="0"/>
              <w:spacing w:before="0" w:after="283"/>
              <w:jc w:val="right"/>
              <w:rPr>
                <w:sz w:val="20"/>
              </w:rPr>
            </w:pPr>
            <w:r>
              <w:rPr>
                <w:sz w:val="20"/>
              </w:rPr>
              <w:t>2.05</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2051" w:type="dxa"/>
            <w:tcBorders>
              <w:bottom w:val="single" w:sz="2" w:space="0" w:color="000000"/>
            </w:tcBorders>
            <w:tcMar>
              <w:bottom w:w="28" w:type="dxa"/>
            </w:tcMar>
            <w:vAlign w:val="center"/>
          </w:tcPr>
          <w:p>
            <w:pPr>
              <w:pStyle w:val="TableContents"/>
              <w:bidi w:val="0"/>
              <w:spacing w:before="0" w:after="283"/>
              <w:jc w:val="right"/>
              <w:rPr>
                <w:sz w:val="20"/>
              </w:rPr>
            </w:pPr>
            <w:r>
              <w:rPr>
                <w:sz w:val="20"/>
              </w:rPr>
              <w:t>-</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1788" w:type="dxa"/>
            <w:tcBorders>
              <w:bottom w:val="single" w:sz="2" w:space="0" w:color="000000"/>
            </w:tcBorders>
            <w:tcMar>
              <w:bottom w:w="28" w:type="dxa"/>
            </w:tcMar>
            <w:vAlign w:val="center"/>
          </w:tcPr>
          <w:p>
            <w:pPr>
              <w:pStyle w:val="TableContents"/>
              <w:bidi w:val="0"/>
              <w:spacing w:before="0" w:after="283"/>
              <w:jc w:val="right"/>
              <w:rPr>
                <w:sz w:val="20"/>
              </w:rPr>
            </w:pPr>
            <w:r>
              <w:rPr>
                <w:sz w:val="20"/>
              </w:rPr>
              <w:t>-</w:t>
            </w:r>
          </w:p>
        </w:tc>
        <w:tc>
          <w:tcPr>
            <w:tcW w:w="138"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29" w:type="dxa"/>
            <w:tcBorders/>
            <w:shd w:fill="CCEEFF" w:val="clear"/>
            <w:vAlign w:val="center"/>
          </w:tcPr>
          <w:p>
            <w:pPr>
              <w:pStyle w:val="TableContents"/>
              <w:bidi w:val="0"/>
              <w:spacing w:before="0" w:after="283"/>
              <w:jc w:val="left"/>
              <w:rPr>
                <w:sz w:val="20"/>
              </w:rPr>
            </w:pPr>
            <w:r>
              <w:rPr>
                <w:sz w:val="20"/>
              </w:rPr>
              <w:t>Outstanding December 31, 2025</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96"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6,449,534</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10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2.05</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051"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8.56</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788"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3,469</w:t>
            </w:r>
          </w:p>
        </w:tc>
        <w:tc>
          <w:tcPr>
            <w:tcW w:w="13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2129" w:type="dxa"/>
            <w:tcBorders/>
            <w:vAlign w:val="center"/>
          </w:tcPr>
          <w:p>
            <w:pPr>
              <w:pStyle w:val="TableContents"/>
              <w:bidi w:val="0"/>
              <w:spacing w:before="0" w:after="283"/>
              <w:jc w:val="left"/>
              <w:rPr>
                <w:sz w:val="20"/>
              </w:rPr>
            </w:pPr>
            <w:r>
              <w:rPr>
                <w:sz w:val="20"/>
              </w:rPr>
              <w:t>Exercisable December 31, 2025</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896" w:type="dxa"/>
            <w:tcBorders>
              <w:bottom w:val="double" w:sz="6" w:space="0" w:color="000000"/>
            </w:tcBorders>
            <w:tcMar>
              <w:bottom w:w="28" w:type="dxa"/>
            </w:tcMar>
            <w:vAlign w:val="center"/>
          </w:tcPr>
          <w:p>
            <w:pPr>
              <w:pStyle w:val="TableContents"/>
              <w:bidi w:val="0"/>
              <w:spacing w:before="0" w:after="283"/>
              <w:jc w:val="right"/>
              <w:rPr>
                <w:sz w:val="20"/>
              </w:rPr>
            </w:pPr>
            <w:r>
              <w:rPr>
                <w:sz w:val="20"/>
              </w:rPr>
              <w:t>1,713,774</w:t>
            </w:r>
          </w:p>
        </w:tc>
        <w:tc>
          <w:tcPr>
            <w:tcW w:w="155"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6" w:space="0" w:color="000000"/>
            </w:tcBorders>
            <w:tcMar>
              <w:bottom w:w="28" w:type="dxa"/>
            </w:tcMar>
            <w:vAlign w:val="center"/>
          </w:tcPr>
          <w:p>
            <w:pPr>
              <w:pStyle w:val="TableContents"/>
              <w:bidi w:val="0"/>
              <w:spacing w:before="0" w:after="283"/>
              <w:jc w:val="left"/>
              <w:rPr>
                <w:sz w:val="20"/>
              </w:rPr>
            </w:pPr>
            <w:r>
              <w:rPr>
                <w:sz w:val="20"/>
              </w:rPr>
              <w:t>$</w:t>
            </w:r>
          </w:p>
        </w:tc>
        <w:tc>
          <w:tcPr>
            <w:tcW w:w="1108" w:type="dxa"/>
            <w:tcBorders>
              <w:bottom w:val="double" w:sz="6" w:space="0" w:color="000000"/>
            </w:tcBorders>
            <w:tcMar>
              <w:bottom w:w="28" w:type="dxa"/>
            </w:tcMar>
            <w:vAlign w:val="center"/>
          </w:tcPr>
          <w:p>
            <w:pPr>
              <w:pStyle w:val="TableContents"/>
              <w:bidi w:val="0"/>
              <w:spacing w:before="0" w:after="283"/>
              <w:jc w:val="right"/>
              <w:rPr>
                <w:sz w:val="20"/>
              </w:rPr>
            </w:pPr>
            <w:r>
              <w:rPr>
                <w:sz w:val="20"/>
              </w:rPr>
              <w:t>2.41</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2051" w:type="dxa"/>
            <w:tcBorders>
              <w:bottom w:val="double" w:sz="6" w:space="0" w:color="000000"/>
            </w:tcBorders>
            <w:tcMar>
              <w:bottom w:w="28" w:type="dxa"/>
            </w:tcMar>
            <w:vAlign w:val="center"/>
          </w:tcPr>
          <w:p>
            <w:pPr>
              <w:pStyle w:val="TableContents"/>
              <w:bidi w:val="0"/>
              <w:spacing w:before="0" w:after="283"/>
              <w:jc w:val="right"/>
              <w:rPr>
                <w:sz w:val="20"/>
              </w:rPr>
            </w:pPr>
            <w:r>
              <w:rPr>
                <w:sz w:val="20"/>
              </w:rPr>
              <w:t>7.37</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6" w:space="0" w:color="000000"/>
            </w:tcBorders>
            <w:tcMar>
              <w:bottom w:w="28" w:type="dxa"/>
            </w:tcMar>
            <w:vAlign w:val="center"/>
          </w:tcPr>
          <w:p>
            <w:pPr>
              <w:pStyle w:val="TableContents"/>
              <w:bidi w:val="0"/>
              <w:spacing w:before="0" w:after="283"/>
              <w:jc w:val="left"/>
              <w:rPr>
                <w:sz w:val="20"/>
              </w:rPr>
            </w:pPr>
            <w:r>
              <w:rPr>
                <w:sz w:val="20"/>
              </w:rPr>
              <w:t>$</w:t>
            </w:r>
          </w:p>
        </w:tc>
        <w:tc>
          <w:tcPr>
            <w:tcW w:w="1788" w:type="dxa"/>
            <w:tcBorders>
              <w:bottom w:val="double" w:sz="6" w:space="0" w:color="000000"/>
            </w:tcBorders>
            <w:tcMar>
              <w:bottom w:w="28" w:type="dxa"/>
            </w:tcMar>
            <w:vAlign w:val="center"/>
          </w:tcPr>
          <w:p>
            <w:pPr>
              <w:pStyle w:val="TableContents"/>
              <w:bidi w:val="0"/>
              <w:spacing w:before="0" w:after="283"/>
              <w:jc w:val="right"/>
              <w:rPr>
                <w:sz w:val="20"/>
              </w:rPr>
            </w:pPr>
            <w:r>
              <w:rPr>
                <w:sz w:val="20"/>
              </w:rPr>
              <w:t>936</w:t>
            </w:r>
          </w:p>
        </w:tc>
        <w:tc>
          <w:tcPr>
            <w:tcW w:w="138"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0"/>
        </w:rPr>
        <w:t>At December 31, 2025, there wer</w:t>
      </w:r>
      <w:r>
        <w:rPr>
          <w:rFonts w:ascii="Times New Roman" w:hAnsi="Times New Roman"/>
          <w:sz w:val="20"/>
          <w:shd w:fill="FFFFFF" w:val="clear"/>
        </w:rPr>
        <w:t>e 5,159,368</w:t>
      </w:r>
      <w:r>
        <w:rPr>
          <w:rFonts w:ascii="Times New Roman" w:hAnsi="Times New Roman"/>
          <w:sz w:val="24"/>
          <w:shd w:fill="FFFFFF" w:val="clear"/>
        </w:rPr>
        <w:t xml:space="preserve"> </w:t>
      </w:r>
      <w:r>
        <w:rPr>
          <w:rFonts w:ascii="Times New Roman" w:hAnsi="Times New Roman"/>
          <w:sz w:val="20"/>
          <w:shd w:fill="FFFFFF" w:val="clear"/>
        </w:rPr>
        <w:t>se</w:t>
      </w:r>
      <w:r>
        <w:rPr>
          <w:rFonts w:ascii="Times New Roman" w:hAnsi="Times New Roman"/>
          <w:sz w:val="20"/>
        </w:rPr>
        <w:t>rvice-based stock options outstanding, and 1,290,166 performance-based stock options outstanding which were granted in October 2023 to the Company’s current Chief Executive Officer, subject to vesting based on future market capitalization targets.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Company uses the Black-Scholes option pricing model to determine the fair value of service-based options granted. The following table summarizes the assumptions used to compute the fair value of options granted to employees and non-employees:</w:t>
      </w:r>
      <w:r>
        <w:rPr>
          <w:rFonts w:ascii="Times New Roman" w:hAnsi="Times New Roman"/>
          <w:sz w:val="24"/>
        </w:rPr>
        <w:t xml:space="preserve"> </w:t>
      </w:r>
    </w:p>
    <w:p>
      <w:pPr>
        <w:pStyle w:val="TextBody"/>
        <w:bidi w:val="0"/>
        <w:spacing w:before="0" w:after="0"/>
        <w:jc w:val="left"/>
        <w:rPr/>
      </w:pPr>
      <w:r>
        <w:rPr/>
        <w:t> </w:t>
      </w:r>
    </w:p>
    <w:tbl>
      <w:tblPr>
        <w:tblW w:w="590" w:type="dxa"/>
        <w:jc w:val="left"/>
        <w:tblInd w:w="0" w:type="dxa"/>
        <w:tblLayout w:type="fixed"/>
        <w:tblCellMar>
          <w:top w:w="0" w:type="dxa"/>
          <w:left w:w="0" w:type="dxa"/>
          <w:bottom w:w="0" w:type="dxa"/>
          <w:right w:w="0" w:type="dxa"/>
        </w:tblCellMar>
      </w:tblPr>
      <w:tblGrid>
        <w:gridCol w:w="68"/>
        <w:gridCol w:w="53"/>
        <w:gridCol w:w="53"/>
        <w:gridCol w:w="53"/>
        <w:gridCol w:w="53"/>
        <w:gridCol w:w="53"/>
        <w:gridCol w:w="53"/>
        <w:gridCol w:w="53"/>
        <w:gridCol w:w="53"/>
        <w:gridCol w:w="98"/>
      </w:tblGrid>
      <w:tr>
        <w:trPr/>
        <w:tc>
          <w:tcPr>
            <w:tcW w:w="68"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53" w:type="dxa"/>
            <w:tcBorders/>
            <w:vAlign w:val="center"/>
          </w:tcPr>
          <w:p>
            <w:pPr>
              <w:pStyle w:val="TableContents"/>
              <w:bidi w:val="0"/>
              <w:spacing w:before="0" w:after="283"/>
              <w:jc w:val="left"/>
              <w:rPr>
                <w:sz w:val="4"/>
                <w:szCs w:val="4"/>
              </w:rPr>
            </w:pPr>
            <w:r>
              <w:rPr>
                <w:sz w:val="4"/>
                <w:szCs w:val="4"/>
              </w:rPr>
            </w:r>
          </w:p>
        </w:tc>
        <w:tc>
          <w:tcPr>
            <w:tcW w:w="98" w:type="dxa"/>
            <w:tcBorders/>
            <w:vAlign w:val="center"/>
          </w:tcPr>
          <w:p>
            <w:pPr>
              <w:pStyle w:val="TableContents"/>
              <w:bidi w:val="0"/>
              <w:spacing w:before="0" w:after="283"/>
              <w:jc w:val="left"/>
              <w:rPr>
                <w:sz w:val="4"/>
                <w:szCs w:val="4"/>
              </w:rPr>
            </w:pPr>
            <w:r>
              <w:rPr>
                <w:sz w:val="4"/>
                <w:szCs w:val="4"/>
              </w:rPr>
            </w:r>
          </w:p>
        </w:tc>
      </w:tr>
    </w:tbl>
    <w:tbl>
      <w:tblPr>
        <w:tblW w:w="6846" w:type="dxa"/>
        <w:jc w:val="left"/>
        <w:tblInd w:w="0" w:type="dxa"/>
        <w:tblLayout w:type="fixed"/>
        <w:tblCellMar>
          <w:top w:w="0" w:type="dxa"/>
          <w:left w:w="0" w:type="dxa"/>
          <w:bottom w:w="0" w:type="dxa"/>
          <w:right w:w="0" w:type="dxa"/>
        </w:tblCellMar>
      </w:tblPr>
      <w:tblGrid>
        <w:gridCol w:w="3890"/>
        <w:gridCol w:w="252"/>
        <w:gridCol w:w="766"/>
        <w:gridCol w:w="350"/>
        <w:gridCol w:w="146"/>
        <w:gridCol w:w="252"/>
        <w:gridCol w:w="766"/>
        <w:gridCol w:w="424"/>
      </w:tblGrid>
      <w:tr>
        <w:trPr/>
        <w:tc>
          <w:tcPr>
            <w:tcW w:w="389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3890" w:type="dxa"/>
            <w:tcBorders/>
            <w:vAlign w:val="center"/>
          </w:tcPr>
          <w:p>
            <w:pPr>
              <w:pStyle w:val="TableContents"/>
              <w:bidi w:val="0"/>
              <w:spacing w:before="0" w:after="283"/>
              <w:jc w:val="left"/>
              <w:rPr/>
            </w:pPr>
            <w:r>
              <w:rPr/>
              <w:t> </w:t>
            </w:r>
          </w:p>
        </w:tc>
        <w:tc>
          <w:tcPr>
            <w:tcW w:w="2956" w:type="dxa"/>
            <w:gridSpan w:val="7"/>
            <w:tcBorders>
              <w:bottom w:val="single" w:sz="2" w:space="0" w:color="000000"/>
            </w:tcBorders>
            <w:tcMar>
              <w:bottom w:w="28" w:type="dxa"/>
            </w:tcMar>
            <w:vAlign w:val="center"/>
          </w:tcPr>
          <w:p>
            <w:pPr>
              <w:pStyle w:val="TableContents"/>
              <w:bidi w:val="0"/>
              <w:spacing w:before="0" w:after="283"/>
              <w:jc w:val="center"/>
              <w:rPr>
                <w:b/>
                <w:sz w:val="20"/>
              </w:rPr>
            </w:pPr>
            <w:r>
              <w:rPr>
                <w:b/>
                <w:sz w:val="20"/>
              </w:rPr>
              <w:t>For the Year Ended December 31,</w:t>
            </w:r>
          </w:p>
        </w:tc>
      </w:tr>
      <w:tr>
        <w:trPr/>
        <w:tc>
          <w:tcPr>
            <w:tcW w:w="3890" w:type="dxa"/>
            <w:tcBorders/>
            <w:vAlign w:val="center"/>
          </w:tcPr>
          <w:p>
            <w:pPr>
              <w:pStyle w:val="TableContents"/>
              <w:bidi w:val="0"/>
              <w:spacing w:before="0" w:after="283"/>
              <w:jc w:val="left"/>
              <w:rPr/>
            </w:pPr>
            <w:r>
              <w:rPr/>
              <w:t> </w:t>
            </w:r>
          </w:p>
        </w:tc>
        <w:tc>
          <w:tcPr>
            <w:tcW w:w="252" w:type="dxa"/>
            <w:tcBorders>
              <w:bottom w:val="single" w:sz="2" w:space="0" w:color="000000"/>
            </w:tcBorders>
            <w:tcMar>
              <w:bottom w:w="28" w:type="dxa"/>
            </w:tcMar>
            <w:vAlign w:val="center"/>
          </w:tcPr>
          <w:p>
            <w:pPr>
              <w:pStyle w:val="TableContents"/>
              <w:bidi w:val="0"/>
              <w:spacing w:before="0" w:after="283"/>
              <w:jc w:val="left"/>
              <w:rPr/>
            </w:pPr>
            <w:r>
              <w:rPr/>
              <w:t> </w:t>
            </w:r>
          </w:p>
        </w:tc>
        <w:tc>
          <w:tcPr>
            <w:tcW w:w="766"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2025</w:t>
            </w:r>
          </w:p>
        </w:tc>
        <w:tc>
          <w:tcPr>
            <w:tcW w:w="350" w:type="dxa"/>
            <w:tcBorders>
              <w:bottom w:val="single" w:sz="2" w:space="0" w:color="000000"/>
            </w:tcBorders>
            <w:tcMar>
              <w:bottom w:w="28" w:type="dxa"/>
            </w:tcMar>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2" w:type="dxa"/>
            <w:tcBorders>
              <w:bottom w:val="single" w:sz="2" w:space="0" w:color="000000"/>
            </w:tcBorders>
            <w:tcMar>
              <w:bottom w:w="28" w:type="dxa"/>
            </w:tcMar>
            <w:vAlign w:val="center"/>
          </w:tcPr>
          <w:p>
            <w:pPr>
              <w:pStyle w:val="TableContents"/>
              <w:bidi w:val="0"/>
              <w:spacing w:before="0" w:after="283"/>
              <w:jc w:val="left"/>
              <w:rPr/>
            </w:pPr>
            <w:r>
              <w:rPr/>
              <w:t> </w:t>
            </w:r>
          </w:p>
        </w:tc>
        <w:tc>
          <w:tcPr>
            <w:tcW w:w="766"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2024</w:t>
            </w:r>
          </w:p>
        </w:tc>
        <w:tc>
          <w:tcPr>
            <w:tcW w:w="42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sz w:val="20"/>
              </w:rPr>
            </w:pPr>
            <w:r>
              <w:rPr>
                <w:sz w:val="20"/>
              </w:rPr>
              <w:t>Expected stock price volatility</w:t>
            </w:r>
          </w:p>
        </w:tc>
        <w:tc>
          <w:tcPr>
            <w:tcW w:w="252"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sz w:val="20"/>
              </w:rPr>
            </w:pPr>
            <w:r>
              <w:rPr>
                <w:sz w:val="20"/>
              </w:rPr>
              <w:t>76</w:t>
            </w:r>
          </w:p>
        </w:tc>
        <w:tc>
          <w:tcPr>
            <w:tcW w:w="350" w:type="dxa"/>
            <w:tcBorders/>
            <w:shd w:fill="CCEEFF" w:val="clear"/>
            <w:vAlign w:val="center"/>
          </w:tcPr>
          <w:p>
            <w:pPr>
              <w:pStyle w:val="TableContents"/>
              <w:bidi w:val="0"/>
              <w:spacing w:before="0" w:after="283"/>
              <w:jc w:val="left"/>
              <w:rPr>
                <w:sz w:val="20"/>
              </w:rPr>
            </w:pPr>
            <w:r>
              <w:rPr>
                <w:sz w:val="20"/>
              </w:rPr>
              <w:t>%</w:t>
            </w:r>
          </w:p>
        </w:tc>
        <w:tc>
          <w:tcPr>
            <w:tcW w:w="14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sz w:val="20"/>
              </w:rPr>
            </w:pPr>
            <w:r>
              <w:rPr>
                <w:sz w:val="20"/>
              </w:rPr>
              <w:t>76</w:t>
            </w:r>
          </w:p>
        </w:tc>
        <w:tc>
          <w:tcPr>
            <w:tcW w:w="424" w:type="dxa"/>
            <w:tcBorders/>
            <w:shd w:fill="CCEEFF" w:val="clear"/>
            <w:vAlign w:val="center"/>
          </w:tcPr>
          <w:p>
            <w:pPr>
              <w:pStyle w:val="TableContents"/>
              <w:bidi w:val="0"/>
              <w:spacing w:before="0" w:after="283"/>
              <w:jc w:val="left"/>
              <w:rPr>
                <w:sz w:val="20"/>
              </w:rPr>
            </w:pPr>
            <w:r>
              <w:rPr>
                <w:sz w:val="20"/>
              </w:rPr>
              <w:t>%</w:t>
            </w:r>
          </w:p>
        </w:tc>
      </w:tr>
      <w:tr>
        <w:trPr/>
        <w:tc>
          <w:tcPr>
            <w:tcW w:w="3890" w:type="dxa"/>
            <w:tcBorders/>
            <w:vAlign w:val="center"/>
          </w:tcPr>
          <w:p>
            <w:pPr>
              <w:pStyle w:val="TableContents"/>
              <w:bidi w:val="0"/>
              <w:spacing w:before="0" w:after="283"/>
              <w:jc w:val="left"/>
              <w:rPr>
                <w:sz w:val="20"/>
              </w:rPr>
            </w:pPr>
            <w:r>
              <w:rPr>
                <w:sz w:val="20"/>
              </w:rPr>
              <w:t>Risk-free interest rate</w:t>
            </w:r>
          </w:p>
        </w:tc>
        <w:tc>
          <w:tcPr>
            <w:tcW w:w="252"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sz w:val="20"/>
              </w:rPr>
            </w:pPr>
            <w:r>
              <w:rPr>
                <w:sz w:val="20"/>
              </w:rPr>
              <w:t>4.06</w:t>
            </w:r>
          </w:p>
        </w:tc>
        <w:tc>
          <w:tcPr>
            <w:tcW w:w="350" w:type="dxa"/>
            <w:tcBorders/>
            <w:vAlign w:val="center"/>
          </w:tcPr>
          <w:p>
            <w:pPr>
              <w:pStyle w:val="TableContents"/>
              <w:bidi w:val="0"/>
              <w:spacing w:before="0" w:after="283"/>
              <w:jc w:val="left"/>
              <w:rPr>
                <w:sz w:val="20"/>
              </w:rPr>
            </w:pPr>
            <w:r>
              <w:rPr>
                <w:sz w:val="20"/>
              </w:rPr>
              <w:t>%</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sz w:val="20"/>
              </w:rPr>
            </w:pPr>
            <w:r>
              <w:rPr>
                <w:sz w:val="20"/>
              </w:rPr>
              <w:t>3.82</w:t>
            </w:r>
          </w:p>
        </w:tc>
        <w:tc>
          <w:tcPr>
            <w:tcW w:w="424" w:type="dxa"/>
            <w:tcBorders/>
            <w:vAlign w:val="center"/>
          </w:tcPr>
          <w:p>
            <w:pPr>
              <w:pStyle w:val="TableContents"/>
              <w:bidi w:val="0"/>
              <w:spacing w:before="0" w:after="283"/>
              <w:jc w:val="left"/>
              <w:rPr>
                <w:sz w:val="20"/>
              </w:rPr>
            </w:pPr>
            <w:r>
              <w:rPr>
                <w:sz w:val="20"/>
              </w:rPr>
              <w:t>%</w:t>
            </w:r>
          </w:p>
        </w:tc>
      </w:tr>
      <w:tr>
        <w:trPr/>
        <w:tc>
          <w:tcPr>
            <w:tcW w:w="3890" w:type="dxa"/>
            <w:tcBorders/>
            <w:shd w:fill="CCEEFF" w:val="clear"/>
            <w:vAlign w:val="center"/>
          </w:tcPr>
          <w:p>
            <w:pPr>
              <w:pStyle w:val="TableContents"/>
              <w:bidi w:val="0"/>
              <w:spacing w:before="0" w:after="283"/>
              <w:jc w:val="left"/>
              <w:rPr>
                <w:sz w:val="20"/>
              </w:rPr>
            </w:pPr>
            <w:r>
              <w:rPr>
                <w:sz w:val="20"/>
              </w:rPr>
              <w:t>Expected dividend yield</w:t>
            </w:r>
          </w:p>
        </w:tc>
        <w:tc>
          <w:tcPr>
            <w:tcW w:w="252"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sz w:val="20"/>
              </w:rPr>
            </w:pPr>
            <w:r>
              <w:rPr>
                <w:sz w:val="20"/>
              </w:rPr>
              <w:t>0</w:t>
            </w:r>
          </w:p>
        </w:tc>
        <w:tc>
          <w:tcPr>
            <w:tcW w:w="350" w:type="dxa"/>
            <w:tcBorders/>
            <w:shd w:fill="CCEEFF" w:val="clear"/>
            <w:vAlign w:val="center"/>
          </w:tcPr>
          <w:p>
            <w:pPr>
              <w:pStyle w:val="TableContents"/>
              <w:bidi w:val="0"/>
              <w:spacing w:before="0" w:after="283"/>
              <w:jc w:val="left"/>
              <w:rPr>
                <w:sz w:val="20"/>
              </w:rPr>
            </w:pPr>
            <w:r>
              <w:rPr>
                <w:sz w:val="20"/>
              </w:rPr>
              <w:t>%</w:t>
            </w:r>
          </w:p>
        </w:tc>
        <w:tc>
          <w:tcPr>
            <w:tcW w:w="146"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sz w:val="20"/>
              </w:rPr>
            </w:pPr>
            <w:r>
              <w:rPr>
                <w:sz w:val="20"/>
              </w:rPr>
              <w:t>0</w:t>
            </w:r>
          </w:p>
        </w:tc>
        <w:tc>
          <w:tcPr>
            <w:tcW w:w="424" w:type="dxa"/>
            <w:tcBorders/>
            <w:shd w:fill="CCEEFF" w:val="clear"/>
            <w:vAlign w:val="center"/>
          </w:tcPr>
          <w:p>
            <w:pPr>
              <w:pStyle w:val="TableContents"/>
              <w:bidi w:val="0"/>
              <w:spacing w:before="0" w:after="283"/>
              <w:jc w:val="left"/>
              <w:rPr>
                <w:sz w:val="20"/>
              </w:rPr>
            </w:pPr>
            <w:r>
              <w:rPr>
                <w:sz w:val="20"/>
              </w:rPr>
              <w:t>%</w:t>
            </w:r>
          </w:p>
        </w:tc>
      </w:tr>
      <w:tr>
        <w:trPr/>
        <w:tc>
          <w:tcPr>
            <w:tcW w:w="3890" w:type="dxa"/>
            <w:tcBorders/>
            <w:vAlign w:val="center"/>
          </w:tcPr>
          <w:p>
            <w:pPr>
              <w:pStyle w:val="TableContents"/>
              <w:bidi w:val="0"/>
              <w:spacing w:before="0" w:after="283"/>
              <w:jc w:val="left"/>
              <w:rPr>
                <w:sz w:val="20"/>
              </w:rPr>
            </w:pPr>
            <w:r>
              <w:rPr>
                <w:sz w:val="20"/>
              </w:rPr>
              <w:t>Expected life of options</w:t>
            </w:r>
          </w:p>
        </w:tc>
        <w:tc>
          <w:tcPr>
            <w:tcW w:w="252"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sz w:val="20"/>
              </w:rPr>
            </w:pPr>
            <w:r>
              <w:rPr>
                <w:sz w:val="20"/>
              </w:rPr>
              <w:t>6</w:t>
            </w:r>
          </w:p>
        </w:tc>
        <w:tc>
          <w:tcPr>
            <w:tcW w:w="35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52"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sz w:val="20"/>
              </w:rPr>
            </w:pPr>
            <w:r>
              <w:rPr>
                <w:sz w:val="20"/>
              </w:rPr>
              <w:t>6</w:t>
            </w:r>
          </w:p>
        </w:tc>
        <w:tc>
          <w:tcPr>
            <w:tcW w:w="424"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sz w:val="20"/>
              </w:rPr>
            </w:pPr>
            <w:r>
              <w:rPr>
                <w:sz w:val="20"/>
              </w:rPr>
              <w:t>Weighted-average fair value of options granted</w:t>
            </w:r>
          </w:p>
        </w:tc>
        <w:tc>
          <w:tcPr>
            <w:tcW w:w="252"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66"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1.38</w:t>
            </w:r>
          </w:p>
        </w:tc>
        <w:tc>
          <w:tcPr>
            <w:tcW w:w="3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252" w:type="dxa"/>
            <w:tcBorders>
              <w:bottom w:val="single" w:sz="2"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766" w:type="dxa"/>
            <w:tcBorders>
              <w:bottom w:val="single" w:sz="2" w:space="0" w:color="000000"/>
            </w:tcBorders>
            <w:shd w:fill="CCEEFF" w:val="clear"/>
            <w:tcMar>
              <w:bottom w:w="28" w:type="dxa"/>
            </w:tcMar>
            <w:vAlign w:val="center"/>
          </w:tcPr>
          <w:p>
            <w:pPr>
              <w:pStyle w:val="TableContents"/>
              <w:bidi w:val="0"/>
              <w:spacing w:before="0" w:after="283"/>
              <w:jc w:val="right"/>
              <w:rPr>
                <w:sz w:val="20"/>
              </w:rPr>
            </w:pPr>
            <w:r>
              <w:rPr>
                <w:sz w:val="20"/>
              </w:rPr>
              <w:t>1.44</w:t>
            </w:r>
          </w:p>
        </w:tc>
        <w:tc>
          <w:tcPr>
            <w:tcW w:w="42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F-24</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sz w:val="20"/>
        </w:rPr>
        <w:t>Estimated volatility is a measure of the amount by which the Company’s stock price is expected to fluctuate each year during the expected life of awards. The Company’s estimated volatility was based on an average of the historical volatility of peer entities whose stock prices were publicly available. The Company’s calculation of estimated volatility is based on historical stock prices of these peer entities over a period equal to the expected life of the awards. The Company uses the historical volatility of peer entities due to the lack of sufficient historical data of its stock price. The Company records forfeitures as they are incurred.</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risk-free interest rate assumption is based upon observed interest rates on zero coupon U.S. Treasury bonds whose maturity period is appropriate for the term of the options. The dividend yield of zero is based on the fact that the Company has never paid cash dividends and has no present intention to pay cash dividends. The Company calculates the expected life of the options using the "simplified method," whereby the expected term is calculated as the average of the vesting term and the contractual term of the option, as the Company does not have sufficient historical exercise data to provide a reasonable basis upon which to estimate expected term.</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Stock option expense was</w:t>
      </w:r>
      <w:r>
        <w:rPr>
          <w:rFonts w:ascii="Times New Roman" w:hAnsi="Times New Roman"/>
          <w:sz w:val="20"/>
          <w:shd w:fill="FFFFFF" w:val="clear"/>
        </w:rPr>
        <w:t xml:space="preserve"> $1,759</w:t>
      </w:r>
      <w:r>
        <w:rPr>
          <w:rFonts w:ascii="Times New Roman" w:hAnsi="Times New Roman"/>
          <w:sz w:val="24"/>
          <w:shd w:fill="FFFFFF" w:val="clear"/>
        </w:rPr>
        <w:t xml:space="preserve"> </w:t>
      </w:r>
      <w:r>
        <w:rPr>
          <w:rFonts w:ascii="Times New Roman" w:hAnsi="Times New Roman"/>
          <w:sz w:val="20"/>
          <w:shd w:fill="FFFFFF" w:val="clear"/>
        </w:rPr>
        <w:t>a</w:t>
      </w:r>
      <w:r>
        <w:rPr>
          <w:rFonts w:ascii="Times New Roman" w:hAnsi="Times New Roman"/>
          <w:sz w:val="20"/>
        </w:rPr>
        <w:t>nd $1,132 for the years ended December 31, 2025 and 2024, respectively.</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following table summarizes information about stock options outstanding at</w:t>
      </w:r>
      <w:r>
        <w:rPr>
          <w:rFonts w:ascii="Times New Roman" w:hAnsi="Times New Roman"/>
          <w:sz w:val="20"/>
          <w:shd w:fill="FFFFFF" w:val="clear"/>
        </w:rPr>
        <w:t xml:space="preserve"> December 31, 2025:</w:t>
      </w:r>
      <w:r>
        <w:rPr>
          <w:rFonts w:ascii="Times New Roman" w:hAnsi="Times New Roman"/>
          <w:sz w:val="24"/>
        </w:rPr>
        <w:t xml:space="preserve"> </w:t>
      </w:r>
    </w:p>
    <w:p>
      <w:pPr>
        <w:pStyle w:val="TextBody"/>
        <w:bidi w:val="0"/>
        <w:spacing w:before="0" w:after="0"/>
        <w:jc w:val="left"/>
        <w:rPr/>
      </w:pPr>
      <w:r>
        <w:rPr/>
        <w:t xml:space="preserve">  </w:t>
      </w:r>
    </w:p>
    <w:tbl>
      <w:tblPr>
        <w:tblW w:w="9799" w:type="dxa"/>
        <w:jc w:val="left"/>
        <w:tblInd w:w="0" w:type="dxa"/>
        <w:tblLayout w:type="fixed"/>
        <w:tblCellMar>
          <w:top w:w="28" w:type="dxa"/>
          <w:left w:w="28" w:type="dxa"/>
          <w:bottom w:w="28" w:type="dxa"/>
          <w:right w:w="28" w:type="dxa"/>
        </w:tblCellMar>
      </w:tblPr>
      <w:tblGrid>
        <w:gridCol w:w="721"/>
        <w:gridCol w:w="286"/>
        <w:gridCol w:w="706"/>
        <w:gridCol w:w="146"/>
        <w:gridCol w:w="146"/>
        <w:gridCol w:w="171"/>
        <w:gridCol w:w="1254"/>
        <w:gridCol w:w="146"/>
        <w:gridCol w:w="146"/>
        <w:gridCol w:w="300"/>
        <w:gridCol w:w="1095"/>
        <w:gridCol w:w="146"/>
        <w:gridCol w:w="146"/>
        <w:gridCol w:w="341"/>
        <w:gridCol w:w="799"/>
        <w:gridCol w:w="146"/>
        <w:gridCol w:w="146"/>
        <w:gridCol w:w="188"/>
        <w:gridCol w:w="1147"/>
        <w:gridCol w:w="146"/>
        <w:gridCol w:w="146"/>
        <w:gridCol w:w="341"/>
        <w:gridCol w:w="799"/>
        <w:gridCol w:w="191"/>
      </w:tblGrid>
      <w:tr>
        <w:trPr/>
        <w:tc>
          <w:tcPr>
            <w:tcW w:w="721"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tcMar>
              <w:top w:w="0" w:type="dxa"/>
              <w:left w:w="0" w:type="dxa"/>
              <w:bottom w:w="0" w:type="dxa"/>
              <w:right w:w="0" w:type="dxa"/>
            </w:tcMar>
            <w:vAlign w:val="center"/>
          </w:tcPr>
          <w:p>
            <w:pPr>
              <w:pStyle w:val="TableContents"/>
              <w:bidi w:val="0"/>
              <w:spacing w:before="0" w:after="283"/>
              <w:jc w:val="center"/>
              <w:rPr/>
            </w:pPr>
            <w:r>
              <w:rPr>
                <w:b/>
              </w:rPr>
              <w:t>Weighted</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tcMar>
              <w:top w:w="0" w:type="dxa"/>
              <w:left w:w="0" w:type="dxa"/>
              <w:bottom w:w="0" w:type="dxa"/>
              <w:right w:w="0" w:type="dxa"/>
            </w:tcMar>
            <w:vAlign w:val="center"/>
          </w:tcPr>
          <w:p>
            <w:pPr>
              <w:pStyle w:val="TableContents"/>
              <w:bidi w:val="0"/>
              <w:spacing w:before="0" w:after="283"/>
              <w:jc w:val="center"/>
              <w:rPr/>
            </w:pPr>
            <w:r>
              <w:rPr>
                <w:b/>
              </w:rPr>
              <w:t>Average</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tcMar>
              <w:top w:w="0" w:type="dxa"/>
              <w:left w:w="0" w:type="dxa"/>
              <w:bottom w:w="0" w:type="dxa"/>
              <w:right w:w="0" w:type="dxa"/>
            </w:tcMar>
            <w:vAlign w:val="center"/>
          </w:tcPr>
          <w:p>
            <w:pPr>
              <w:pStyle w:val="TableContents"/>
              <w:bidi w:val="0"/>
              <w:spacing w:before="0" w:after="283"/>
              <w:jc w:val="center"/>
              <w:rPr/>
            </w:pPr>
            <w:r>
              <w:rPr>
                <w:b/>
              </w:rPr>
              <w:t>Weighted</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tcMar>
              <w:top w:w="0" w:type="dxa"/>
              <w:left w:w="0" w:type="dxa"/>
              <w:bottom w:w="0" w:type="dxa"/>
              <w:right w:w="0" w:type="dxa"/>
            </w:tcMar>
            <w:vAlign w:val="center"/>
          </w:tcPr>
          <w:p>
            <w:pPr>
              <w:pStyle w:val="TableContents"/>
              <w:bidi w:val="0"/>
              <w:spacing w:before="0" w:after="283"/>
              <w:jc w:val="center"/>
              <w:rPr/>
            </w:pPr>
            <w:r>
              <w:rPr>
                <w:b/>
              </w:rPr>
              <w:t>Weighted</w:t>
            </w:r>
            <w:r>
              <w:rPr/>
              <w:t xml:space="preserve">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tcMar>
              <w:top w:w="0" w:type="dxa"/>
              <w:left w:w="0" w:type="dxa"/>
              <w:bottom w:w="0" w:type="dxa"/>
              <w:right w:w="0" w:type="dxa"/>
            </w:tcMar>
            <w:vAlign w:val="center"/>
          </w:tcPr>
          <w:p>
            <w:pPr>
              <w:pStyle w:val="TableContents"/>
              <w:bidi w:val="0"/>
              <w:spacing w:before="0" w:after="283"/>
              <w:jc w:val="center"/>
              <w:rPr/>
            </w:pPr>
            <w:r>
              <w:rPr>
                <w:b/>
              </w:rPr>
              <w:t>Remaining</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tcMar>
              <w:top w:w="0" w:type="dxa"/>
              <w:left w:w="0" w:type="dxa"/>
              <w:bottom w:w="0" w:type="dxa"/>
              <w:right w:w="0" w:type="dxa"/>
            </w:tcMar>
            <w:vAlign w:val="center"/>
          </w:tcPr>
          <w:p>
            <w:pPr>
              <w:pStyle w:val="TableContents"/>
              <w:bidi w:val="0"/>
              <w:spacing w:before="0" w:after="283"/>
              <w:jc w:val="center"/>
              <w:rPr/>
            </w:pPr>
            <w:r>
              <w:rPr>
                <w:b/>
              </w:rPr>
              <w:t>Average</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tcMar>
              <w:top w:w="0" w:type="dxa"/>
              <w:left w:w="0" w:type="dxa"/>
              <w:bottom w:w="0" w:type="dxa"/>
              <w:right w:w="0" w:type="dxa"/>
            </w:tcMar>
            <w:vAlign w:val="center"/>
          </w:tcPr>
          <w:p>
            <w:pPr>
              <w:pStyle w:val="TableContents"/>
              <w:bidi w:val="0"/>
              <w:spacing w:before="0" w:after="283"/>
              <w:jc w:val="center"/>
              <w:rPr/>
            </w:pPr>
            <w:r>
              <w:rPr>
                <w:b/>
              </w:rPr>
              <w:t>Average</w:t>
            </w:r>
            <w:r>
              <w:rPr/>
              <w:t xml:space="preserve">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3" w:type="dxa"/>
            <w:gridSpan w:val="3"/>
            <w:tcBorders/>
            <w:tcMar>
              <w:top w:w="0" w:type="dxa"/>
              <w:left w:w="0" w:type="dxa"/>
              <w:bottom w:w="0" w:type="dxa"/>
              <w:right w:w="0" w:type="dxa"/>
            </w:tcMar>
            <w:vAlign w:val="center"/>
          </w:tcPr>
          <w:p>
            <w:pPr>
              <w:pStyle w:val="TableContents"/>
              <w:bidi w:val="0"/>
              <w:spacing w:before="0" w:after="283"/>
              <w:jc w:val="center"/>
              <w:rPr/>
            </w:pPr>
            <w:r>
              <w:rPr>
                <w:b/>
              </w:rPr>
              <w:t>Range of</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tcMar>
              <w:top w:w="0" w:type="dxa"/>
              <w:left w:w="0" w:type="dxa"/>
              <w:bottom w:w="0" w:type="dxa"/>
              <w:right w:w="0" w:type="dxa"/>
            </w:tcMar>
            <w:vAlign w:val="center"/>
          </w:tcPr>
          <w:p>
            <w:pPr>
              <w:pStyle w:val="TableContents"/>
              <w:bidi w:val="0"/>
              <w:spacing w:before="0" w:after="283"/>
              <w:jc w:val="center"/>
              <w:rPr/>
            </w:pPr>
            <w:r>
              <w:rPr>
                <w:b/>
              </w:rPr>
              <w:t>Number</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tcMar>
              <w:top w:w="0" w:type="dxa"/>
              <w:left w:w="0" w:type="dxa"/>
              <w:bottom w:w="0" w:type="dxa"/>
              <w:right w:w="0" w:type="dxa"/>
            </w:tcMar>
            <w:vAlign w:val="center"/>
          </w:tcPr>
          <w:p>
            <w:pPr>
              <w:pStyle w:val="TableContents"/>
              <w:bidi w:val="0"/>
              <w:spacing w:before="0" w:after="283"/>
              <w:jc w:val="center"/>
              <w:rPr/>
            </w:pPr>
            <w:r>
              <w:rPr>
                <w:b/>
              </w:rPr>
              <w:t>Contractual</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tcMar>
              <w:top w:w="0" w:type="dxa"/>
              <w:left w:w="0" w:type="dxa"/>
              <w:bottom w:w="0" w:type="dxa"/>
              <w:right w:w="0" w:type="dxa"/>
            </w:tcMar>
            <w:vAlign w:val="center"/>
          </w:tcPr>
          <w:p>
            <w:pPr>
              <w:pStyle w:val="TableContents"/>
              <w:bidi w:val="0"/>
              <w:spacing w:before="0" w:after="283"/>
              <w:jc w:val="center"/>
              <w:rPr/>
            </w:pPr>
            <w:r>
              <w:rPr>
                <w:b/>
              </w:rPr>
              <w:t>Exercise</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tcMar>
              <w:top w:w="0" w:type="dxa"/>
              <w:left w:w="0" w:type="dxa"/>
              <w:bottom w:w="0" w:type="dxa"/>
              <w:right w:w="0" w:type="dxa"/>
            </w:tcMar>
            <w:vAlign w:val="center"/>
          </w:tcPr>
          <w:p>
            <w:pPr>
              <w:pStyle w:val="TableContents"/>
              <w:bidi w:val="0"/>
              <w:spacing w:before="0" w:after="283"/>
              <w:jc w:val="center"/>
              <w:rPr/>
            </w:pPr>
            <w:r>
              <w:rPr>
                <w:b/>
              </w:rPr>
              <w:t>Number</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tcMar>
              <w:top w:w="0" w:type="dxa"/>
              <w:left w:w="0" w:type="dxa"/>
              <w:bottom w:w="0" w:type="dxa"/>
              <w:right w:w="0" w:type="dxa"/>
            </w:tcMar>
            <w:vAlign w:val="center"/>
          </w:tcPr>
          <w:p>
            <w:pPr>
              <w:pStyle w:val="TableContents"/>
              <w:bidi w:val="0"/>
              <w:spacing w:before="0" w:after="283"/>
              <w:jc w:val="center"/>
              <w:rPr/>
            </w:pPr>
            <w:r>
              <w:rPr>
                <w:b/>
              </w:rPr>
              <w:t>Exercise</w:t>
            </w:r>
            <w:r>
              <w:rPr/>
              <w:t xml:space="preserve">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3" w:type="dxa"/>
            <w:gridSpan w:val="3"/>
            <w:tcBorders>
              <w:bottom w:val="single" w:sz="8" w:space="0" w:color="000000"/>
            </w:tcBorders>
            <w:tcMar>
              <w:top w:w="0" w:type="dxa"/>
              <w:left w:w="0" w:type="dxa"/>
              <w:right w:w="0" w:type="dxa"/>
            </w:tcMar>
            <w:vAlign w:val="center"/>
          </w:tcPr>
          <w:p>
            <w:pPr>
              <w:pStyle w:val="TableContents"/>
              <w:bidi w:val="0"/>
              <w:spacing w:before="0" w:after="283"/>
              <w:jc w:val="center"/>
              <w:rPr/>
            </w:pPr>
            <w:r>
              <w:rPr>
                <w:b/>
              </w:rPr>
              <w:t>Exercise Prices</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b/>
              </w:rPr>
              <w:t>Outstanding</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b/>
              </w:rPr>
              <w:t>Life (Years)</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b/>
              </w:rPr>
              <w:t>Price</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b/>
              </w:rPr>
              <w:t>Exercisable</w:t>
            </w:r>
            <w:r>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8" w:space="0" w:color="000000"/>
            </w:tcBorders>
            <w:tcMar>
              <w:top w:w="0" w:type="dxa"/>
              <w:left w:w="0" w:type="dxa"/>
              <w:right w:w="0" w:type="dxa"/>
            </w:tcMar>
            <w:vAlign w:val="center"/>
          </w:tcPr>
          <w:p>
            <w:pPr>
              <w:pStyle w:val="TableContents"/>
              <w:bidi w:val="0"/>
              <w:spacing w:before="0" w:after="283"/>
              <w:jc w:val="center"/>
              <w:rPr/>
            </w:pPr>
            <w:r>
              <w:rPr>
                <w:b/>
              </w:rPr>
              <w:t>Price</w:t>
            </w:r>
            <w:r>
              <w:rPr/>
              <w:t xml:space="preserve">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pPr>
            <w:r>
              <w:rPr/>
              <w:t xml:space="preserve">$1.00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 </w:t>
            </w:r>
          </w:p>
        </w:tc>
        <w:tc>
          <w:tcPr>
            <w:tcW w:w="706"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$2.00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CEEFF" w:val="clear"/>
            <w:tcMar>
              <w:top w:w="0" w:type="dxa"/>
              <w:left w:w="0" w:type="dxa"/>
              <w:bottom w:w="0" w:type="dxa"/>
              <w:right w:w="0" w:type="dxa"/>
            </w:tcMar>
            <w:vAlign w:val="center"/>
          </w:tcPr>
          <w:p>
            <w:pPr>
              <w:pStyle w:val="TableContents"/>
              <w:bidi w:val="0"/>
              <w:spacing w:before="0" w:after="283"/>
              <w:jc w:val="right"/>
              <w:rPr/>
            </w:pPr>
            <w:r>
              <w:rPr/>
              <w:t>4,282,059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CEEFF" w:val="clear"/>
            <w:tcMar>
              <w:top w:w="0" w:type="dxa"/>
              <w:left w:w="0" w:type="dxa"/>
              <w:bottom w:w="0" w:type="dxa"/>
              <w:right w:w="0" w:type="dxa"/>
            </w:tcMar>
            <w:vAlign w:val="center"/>
          </w:tcPr>
          <w:p>
            <w:pPr>
              <w:pStyle w:val="TableContents"/>
              <w:bidi w:val="0"/>
              <w:spacing w:before="0" w:after="283"/>
              <w:jc w:val="right"/>
              <w:rPr/>
            </w:pPr>
            <w:r>
              <w:rPr/>
              <w:t>8.60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 </w:t>
            </w:r>
          </w:p>
        </w:tc>
        <w:tc>
          <w:tcPr>
            <w:tcW w:w="799" w:type="dxa"/>
            <w:tcBorders/>
            <w:shd w:fill="CCEEFF" w:val="clear"/>
            <w:tcMar>
              <w:top w:w="0" w:type="dxa"/>
              <w:left w:w="0" w:type="dxa"/>
              <w:bottom w:w="0" w:type="dxa"/>
              <w:right w:w="0" w:type="dxa"/>
            </w:tcMar>
            <w:vAlign w:val="center"/>
          </w:tcPr>
          <w:p>
            <w:pPr>
              <w:pStyle w:val="TableContents"/>
              <w:bidi w:val="0"/>
              <w:spacing w:before="0" w:after="283"/>
              <w:jc w:val="right"/>
              <w:rPr/>
            </w:pPr>
            <w:r>
              <w:rPr/>
              <w:t>1.58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CCEEFF" w:val="clear"/>
            <w:tcMar>
              <w:top w:w="0" w:type="dxa"/>
              <w:left w:w="0" w:type="dxa"/>
              <w:bottom w:w="0" w:type="dxa"/>
              <w:right w:w="0" w:type="dxa"/>
            </w:tcMar>
            <w:vAlign w:val="center"/>
          </w:tcPr>
          <w:p>
            <w:pPr>
              <w:pStyle w:val="TableContents"/>
              <w:bidi w:val="0"/>
              <w:spacing w:before="0" w:after="283"/>
              <w:jc w:val="right"/>
              <w:rPr/>
            </w:pPr>
            <w:r>
              <w:rPr/>
              <w:t>982,542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 </w:t>
            </w:r>
          </w:p>
        </w:tc>
        <w:tc>
          <w:tcPr>
            <w:tcW w:w="799" w:type="dxa"/>
            <w:tcBorders/>
            <w:shd w:fill="CCEEFF" w:val="clear"/>
            <w:tcMar>
              <w:top w:w="0" w:type="dxa"/>
              <w:left w:w="0" w:type="dxa"/>
              <w:bottom w:w="0" w:type="dxa"/>
              <w:right w:w="0" w:type="dxa"/>
            </w:tcMar>
            <w:vAlign w:val="center"/>
          </w:tcPr>
          <w:p>
            <w:pPr>
              <w:pStyle w:val="TableContents"/>
              <w:bidi w:val="0"/>
              <w:spacing w:before="0" w:after="283"/>
              <w:jc w:val="right"/>
              <w:rPr/>
            </w:pPr>
            <w:r>
              <w:rPr/>
              <w:t>1.43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tcMar>
              <w:top w:w="0" w:type="dxa"/>
              <w:left w:w="0" w:type="dxa"/>
              <w:bottom w:w="0" w:type="dxa"/>
              <w:right w:w="0" w:type="dxa"/>
            </w:tcMar>
            <w:vAlign w:val="center"/>
          </w:tcPr>
          <w:p>
            <w:pPr>
              <w:pStyle w:val="TableContents"/>
              <w:bidi w:val="0"/>
              <w:spacing w:before="0" w:after="283"/>
              <w:jc w:val="right"/>
              <w:rPr/>
            </w:pPr>
            <w:r>
              <w:rPr/>
              <w:t xml:space="preserve">$2.01 </w:t>
            </w:r>
          </w:p>
        </w:tc>
        <w:tc>
          <w:tcPr>
            <w:tcW w:w="286" w:type="dxa"/>
            <w:tcBorders/>
            <w:tcMar>
              <w:top w:w="0" w:type="dxa"/>
              <w:left w:w="0" w:type="dxa"/>
              <w:bottom w:w="0" w:type="dxa"/>
              <w:right w:w="0" w:type="dxa"/>
            </w:tcMar>
            <w:vAlign w:val="center"/>
          </w:tcPr>
          <w:p>
            <w:pPr>
              <w:pStyle w:val="TableContents"/>
              <w:bidi w:val="0"/>
              <w:spacing w:before="0" w:after="283"/>
              <w:jc w:val="center"/>
              <w:rPr/>
            </w:pPr>
            <w:r>
              <w:rPr/>
              <w:t xml:space="preserve">– </w:t>
            </w:r>
          </w:p>
        </w:tc>
        <w:tc>
          <w:tcPr>
            <w:tcW w:w="706" w:type="dxa"/>
            <w:tcBorders/>
            <w:tcMar>
              <w:top w:w="0" w:type="dxa"/>
              <w:left w:w="0" w:type="dxa"/>
              <w:bottom w:w="0" w:type="dxa"/>
              <w:right w:w="0" w:type="dxa"/>
            </w:tcMar>
            <w:vAlign w:val="center"/>
          </w:tcPr>
          <w:p>
            <w:pPr>
              <w:pStyle w:val="TableContents"/>
              <w:bidi w:val="0"/>
              <w:spacing w:before="0" w:after="0"/>
              <w:jc w:val="left"/>
              <w:rPr/>
            </w:pPr>
            <w:r>
              <w:rPr/>
              <w:t xml:space="preserve">$3.00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tcMar>
              <w:top w:w="0" w:type="dxa"/>
              <w:left w:w="0" w:type="dxa"/>
              <w:bottom w:w="0" w:type="dxa"/>
              <w:right w:w="0" w:type="dxa"/>
            </w:tcMar>
            <w:vAlign w:val="center"/>
          </w:tcPr>
          <w:p>
            <w:pPr>
              <w:pStyle w:val="TableContents"/>
              <w:bidi w:val="0"/>
              <w:spacing w:before="0" w:after="283"/>
              <w:jc w:val="right"/>
              <w:rPr/>
            </w:pPr>
            <w:r>
              <w:rPr/>
              <w:t>1,735,000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tcMar>
              <w:top w:w="0" w:type="dxa"/>
              <w:left w:w="0" w:type="dxa"/>
              <w:bottom w:w="0" w:type="dxa"/>
              <w:right w:w="0" w:type="dxa"/>
            </w:tcMar>
            <w:vAlign w:val="center"/>
          </w:tcPr>
          <w:p>
            <w:pPr>
              <w:pStyle w:val="TableContents"/>
              <w:bidi w:val="0"/>
              <w:spacing w:before="0" w:after="283"/>
              <w:jc w:val="right"/>
              <w:rPr/>
            </w:pPr>
            <w:r>
              <w:rPr/>
              <w:t>9.26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9" w:type="dxa"/>
            <w:tcBorders/>
            <w:tcMar>
              <w:top w:w="0" w:type="dxa"/>
              <w:left w:w="0" w:type="dxa"/>
              <w:bottom w:w="0" w:type="dxa"/>
              <w:right w:w="0" w:type="dxa"/>
            </w:tcMar>
            <w:vAlign w:val="center"/>
          </w:tcPr>
          <w:p>
            <w:pPr>
              <w:pStyle w:val="TableContents"/>
              <w:bidi w:val="0"/>
              <w:spacing w:before="0" w:after="283"/>
              <w:jc w:val="right"/>
              <w:rPr/>
            </w:pPr>
            <w:r>
              <w:rPr/>
              <w:t>2.48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tcMar>
              <w:top w:w="0" w:type="dxa"/>
              <w:left w:w="0" w:type="dxa"/>
              <w:bottom w:w="0" w:type="dxa"/>
              <w:right w:w="0" w:type="dxa"/>
            </w:tcMar>
            <w:vAlign w:val="center"/>
          </w:tcPr>
          <w:p>
            <w:pPr>
              <w:pStyle w:val="TableContents"/>
              <w:bidi w:val="0"/>
              <w:spacing w:before="0" w:after="283"/>
              <w:jc w:val="right"/>
              <w:rPr/>
            </w:pPr>
            <w:r>
              <w:rPr/>
              <w:t>398,758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tcMar>
              <w:top w:w="0" w:type="dxa"/>
              <w:left w:w="0" w:type="dxa"/>
              <w:bottom w:w="0" w:type="dxa"/>
              <w:right w:w="0" w:type="dxa"/>
            </w:tcMar>
            <w:vAlign w:val="center"/>
          </w:tcPr>
          <w:p>
            <w:pPr>
              <w:pStyle w:val="TableContents"/>
              <w:bidi w:val="0"/>
              <w:spacing w:before="0" w:after="0"/>
              <w:jc w:val="left"/>
              <w:rPr/>
            </w:pPr>
            <w:r>
              <w:rPr/>
              <w:t xml:space="preserve">$ </w:t>
            </w:r>
          </w:p>
        </w:tc>
        <w:tc>
          <w:tcPr>
            <w:tcW w:w="799" w:type="dxa"/>
            <w:tcBorders/>
            <w:tcMar>
              <w:top w:w="0" w:type="dxa"/>
              <w:left w:w="0" w:type="dxa"/>
              <w:bottom w:w="0" w:type="dxa"/>
              <w:right w:w="0" w:type="dxa"/>
            </w:tcMar>
            <w:vAlign w:val="center"/>
          </w:tcPr>
          <w:p>
            <w:pPr>
              <w:pStyle w:val="TableContents"/>
              <w:bidi w:val="0"/>
              <w:spacing w:before="0" w:after="283"/>
              <w:jc w:val="right"/>
              <w:rPr/>
            </w:pPr>
            <w:r>
              <w:rPr/>
              <w:t xml:space="preserve">2.45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pPr>
            <w:r>
              <w:rPr/>
              <w:t xml:space="preserve">$3.01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 </w:t>
            </w:r>
          </w:p>
        </w:tc>
        <w:tc>
          <w:tcPr>
            <w:tcW w:w="706"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$4.00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CEEFF" w:val="clear"/>
            <w:tcMar>
              <w:top w:w="0" w:type="dxa"/>
              <w:left w:w="0" w:type="dxa"/>
              <w:bottom w:w="0" w:type="dxa"/>
              <w:right w:w="0" w:type="dxa"/>
            </w:tcMar>
            <w:vAlign w:val="center"/>
          </w:tcPr>
          <w:p>
            <w:pPr>
              <w:pStyle w:val="TableContents"/>
              <w:bidi w:val="0"/>
              <w:spacing w:before="0" w:after="283"/>
              <w:jc w:val="right"/>
              <w:rPr/>
            </w:pPr>
            <w:r>
              <w:rPr/>
              <w:t xml:space="preserve">150,000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CEEFF" w:val="clear"/>
            <w:tcMar>
              <w:top w:w="0" w:type="dxa"/>
              <w:left w:w="0" w:type="dxa"/>
              <w:bottom w:w="0" w:type="dxa"/>
              <w:right w:w="0" w:type="dxa"/>
            </w:tcMar>
            <w:vAlign w:val="center"/>
          </w:tcPr>
          <w:p>
            <w:pPr>
              <w:pStyle w:val="TableContents"/>
              <w:bidi w:val="0"/>
              <w:spacing w:before="0" w:after="283"/>
              <w:jc w:val="right"/>
              <w:rPr/>
            </w:pPr>
            <w:r>
              <w:rPr/>
              <w:t>8.09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 </w:t>
            </w:r>
          </w:p>
        </w:tc>
        <w:tc>
          <w:tcPr>
            <w:tcW w:w="799" w:type="dxa"/>
            <w:tcBorders/>
            <w:shd w:fill="CCEEFF" w:val="clear"/>
            <w:tcMar>
              <w:top w:w="0" w:type="dxa"/>
              <w:left w:w="0" w:type="dxa"/>
              <w:bottom w:w="0" w:type="dxa"/>
              <w:right w:w="0" w:type="dxa"/>
            </w:tcMar>
            <w:vAlign w:val="center"/>
          </w:tcPr>
          <w:p>
            <w:pPr>
              <w:pStyle w:val="TableContents"/>
              <w:bidi w:val="0"/>
              <w:spacing w:before="0" w:after="283"/>
              <w:jc w:val="right"/>
              <w:rPr/>
            </w:pPr>
            <w:r>
              <w:rPr/>
              <w:t>3.88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CCEEFF" w:val="clear"/>
            <w:tcMar>
              <w:top w:w="0" w:type="dxa"/>
              <w:left w:w="0" w:type="dxa"/>
              <w:bottom w:w="0" w:type="dxa"/>
              <w:right w:w="0" w:type="dxa"/>
            </w:tcMar>
            <w:vAlign w:val="center"/>
          </w:tcPr>
          <w:p>
            <w:pPr>
              <w:pStyle w:val="TableContents"/>
              <w:bidi w:val="0"/>
              <w:spacing w:before="0" w:after="283"/>
              <w:jc w:val="right"/>
              <w:rPr/>
            </w:pPr>
            <w:r>
              <w:rPr/>
              <w:t>49,999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 </w:t>
            </w:r>
          </w:p>
        </w:tc>
        <w:tc>
          <w:tcPr>
            <w:tcW w:w="799" w:type="dxa"/>
            <w:tcBorders/>
            <w:shd w:fill="CCEEFF" w:val="clear"/>
            <w:tcMar>
              <w:top w:w="0" w:type="dxa"/>
              <w:left w:w="0" w:type="dxa"/>
              <w:bottom w:w="0" w:type="dxa"/>
              <w:right w:w="0" w:type="dxa"/>
            </w:tcMar>
            <w:vAlign w:val="center"/>
          </w:tcPr>
          <w:p>
            <w:pPr>
              <w:pStyle w:val="TableContents"/>
              <w:bidi w:val="0"/>
              <w:spacing w:before="0" w:after="283"/>
              <w:jc w:val="right"/>
              <w:rPr/>
            </w:pPr>
            <w:r>
              <w:rPr/>
              <w:t>3.88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1" w:type="dxa"/>
            <w:tcBorders/>
            <w:vAlign w:val="center"/>
          </w:tcPr>
          <w:p>
            <w:pPr>
              <w:pStyle w:val="TableContents"/>
              <w:bidi w:val="0"/>
              <w:spacing w:before="0" w:after="283"/>
              <w:jc w:val="right"/>
              <w:rPr>
                <w:spacing w:val="0"/>
              </w:rPr>
            </w:pPr>
            <w:r>
              <w:rPr>
                <w:spacing w:val="0"/>
              </w:rPr>
              <w:t>$4.01</w:t>
            </w:r>
          </w:p>
        </w:tc>
        <w:tc>
          <w:tcPr>
            <w:tcW w:w="286" w:type="dxa"/>
            <w:tcBorders/>
            <w:vAlign w:val="center"/>
          </w:tcPr>
          <w:p>
            <w:pPr>
              <w:pStyle w:val="TableContents"/>
              <w:bidi w:val="0"/>
              <w:spacing w:before="0" w:after="283"/>
              <w:jc w:val="center"/>
              <w:rPr>
                <w:spacing w:val="0"/>
              </w:rPr>
            </w:pPr>
            <w:r>
              <w:rPr>
                <w:spacing w:val="0"/>
              </w:rPr>
              <w:t>–</w:t>
            </w:r>
          </w:p>
        </w:tc>
        <w:tc>
          <w:tcPr>
            <w:tcW w:w="706" w:type="dxa"/>
            <w:tcBorders/>
            <w:vAlign w:val="center"/>
          </w:tcPr>
          <w:p>
            <w:pPr>
              <w:pStyle w:val="TableContents"/>
              <w:bidi w:val="0"/>
              <w:spacing w:before="0" w:after="283"/>
              <w:jc w:val="left"/>
              <w:rPr>
                <w:spacing w:val="0"/>
              </w:rPr>
            </w:pPr>
            <w:r>
              <w:rPr>
                <w:spacing w:val="0"/>
              </w:rPr>
              <w:t>$5.00</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54" w:type="dxa"/>
            <w:tcBorders/>
            <w:vAlign w:val="center"/>
          </w:tcPr>
          <w:p>
            <w:pPr>
              <w:pStyle w:val="TableContents"/>
              <w:bidi w:val="0"/>
              <w:spacing w:before="0" w:after="283"/>
              <w:jc w:val="right"/>
              <w:rPr/>
            </w:pPr>
            <w:r>
              <w:rPr/>
              <w:t>83,975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right"/>
              <w:rPr>
                <w:spacing w:val="0"/>
              </w:rPr>
            </w:pPr>
            <w:r>
              <w:rPr>
                <w:spacing w:val="0"/>
              </w:rPr>
              <w:t>5.02</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spacing w:val="0"/>
              </w:rPr>
            </w:pPr>
            <w:r>
              <w:rPr>
                <w:spacing w:val="0"/>
              </w:rPr>
              <w:t>$</w:t>
            </w:r>
          </w:p>
        </w:tc>
        <w:tc>
          <w:tcPr>
            <w:tcW w:w="799" w:type="dxa"/>
            <w:tcBorders/>
            <w:vAlign w:val="center"/>
          </w:tcPr>
          <w:p>
            <w:pPr>
              <w:pStyle w:val="TableContents"/>
              <w:bidi w:val="0"/>
              <w:spacing w:before="0" w:after="283"/>
              <w:jc w:val="right"/>
              <w:rPr>
                <w:spacing w:val="0"/>
              </w:rPr>
            </w:pPr>
            <w:r>
              <w:rPr>
                <w:spacing w:val="0"/>
              </w:rPr>
              <w:t>4.37</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1147" w:type="dxa"/>
            <w:tcBorders/>
            <w:vAlign w:val="center"/>
          </w:tcPr>
          <w:p>
            <w:pPr>
              <w:pStyle w:val="TableContents"/>
              <w:bidi w:val="0"/>
              <w:spacing w:before="0" w:after="283"/>
              <w:jc w:val="right"/>
              <w:rPr>
                <w:spacing w:val="0"/>
              </w:rPr>
            </w:pPr>
            <w:r>
              <w:rPr>
                <w:spacing w:val="0"/>
              </w:rPr>
              <w:t>83,975</w:t>
            </w:r>
          </w:p>
        </w:tc>
        <w:tc>
          <w:tcPr>
            <w:tcW w:w="1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spacing w:val="0"/>
              </w:rPr>
            </w:pPr>
            <w:r>
              <w:rPr>
                <w:spacing w:val="0"/>
              </w:rPr>
              <w:t>$</w:t>
            </w:r>
          </w:p>
        </w:tc>
        <w:tc>
          <w:tcPr>
            <w:tcW w:w="799" w:type="dxa"/>
            <w:tcBorders/>
            <w:vAlign w:val="center"/>
          </w:tcPr>
          <w:p>
            <w:pPr>
              <w:pStyle w:val="TableContents"/>
              <w:bidi w:val="0"/>
              <w:spacing w:before="0" w:after="283"/>
              <w:jc w:val="right"/>
              <w:rPr>
                <w:spacing w:val="0"/>
              </w:rPr>
            </w:pPr>
            <w:r>
              <w:rPr>
                <w:spacing w:val="0"/>
              </w:rPr>
              <w:t>4.37</w:t>
            </w:r>
          </w:p>
        </w:tc>
        <w:tc>
          <w:tcPr>
            <w:tcW w:w="191" w:type="dxa"/>
            <w:tcBorders/>
            <w:vAlign w:val="center"/>
          </w:tcPr>
          <w:p>
            <w:pPr>
              <w:pStyle w:val="TableContents"/>
              <w:bidi w:val="0"/>
              <w:spacing w:before="0" w:after="283"/>
              <w:jc w:val="left"/>
              <w:rPr/>
            </w:pPr>
            <w:r>
              <w:rPr/>
              <w:t> </w:t>
            </w:r>
          </w:p>
        </w:tc>
      </w:tr>
      <w:tr>
        <w:trPr/>
        <w:tc>
          <w:tcPr>
            <w:tcW w:w="721" w:type="dxa"/>
            <w:tcBorders/>
            <w:shd w:fill="CCEEFF" w:val="clear"/>
            <w:tcMar>
              <w:top w:w="0" w:type="dxa"/>
              <w:left w:w="0" w:type="dxa"/>
              <w:bottom w:w="0" w:type="dxa"/>
              <w:right w:w="0" w:type="dxa"/>
            </w:tcMar>
            <w:vAlign w:val="center"/>
          </w:tcPr>
          <w:p>
            <w:pPr>
              <w:pStyle w:val="TableContents"/>
              <w:bidi w:val="0"/>
              <w:spacing w:before="0" w:after="283"/>
              <w:jc w:val="right"/>
              <w:rPr/>
            </w:pPr>
            <w:r>
              <w:rPr/>
              <w:t>$5.01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center"/>
              <w:rPr/>
            </w:pPr>
            <w:r>
              <w:rPr/>
              <w:t xml:space="preserve">– </w:t>
            </w:r>
          </w:p>
        </w:tc>
        <w:tc>
          <w:tcPr>
            <w:tcW w:w="706" w:type="dxa"/>
            <w:tcBorders/>
            <w:shd w:fill="CCEEFF" w:val="clear"/>
            <w:tcMar>
              <w:top w:w="0" w:type="dxa"/>
              <w:left w:w="0" w:type="dxa"/>
              <w:bottom w:w="0" w:type="dxa"/>
              <w:right w:w="0" w:type="dxa"/>
            </w:tcMar>
            <w:vAlign w:val="center"/>
          </w:tcPr>
          <w:p>
            <w:pPr>
              <w:pStyle w:val="TableContents"/>
              <w:bidi w:val="0"/>
              <w:spacing w:before="0" w:after="0"/>
              <w:jc w:val="left"/>
              <w:rPr/>
            </w:pPr>
            <w:r>
              <w:rPr/>
              <w:t>$6.58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254" w:type="dxa"/>
            <w:tcBorders/>
            <w:shd w:fill="CCEEFF" w:val="clear"/>
            <w:tcMar>
              <w:top w:w="0" w:type="dxa"/>
              <w:left w:w="0" w:type="dxa"/>
              <w:bottom w:w="0" w:type="dxa"/>
              <w:right w:w="0" w:type="dxa"/>
            </w:tcMar>
            <w:vAlign w:val="center"/>
          </w:tcPr>
          <w:p>
            <w:pPr>
              <w:pStyle w:val="TableContents"/>
              <w:bidi w:val="0"/>
              <w:spacing w:before="0" w:after="283"/>
              <w:jc w:val="right"/>
              <w:rPr/>
            </w:pPr>
            <w:r>
              <w:rPr/>
              <w:t>198,500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tcBorders/>
            <w:shd w:fill="CCEEFF" w:val="clear"/>
            <w:tcMar>
              <w:top w:w="0" w:type="dxa"/>
              <w:left w:w="0" w:type="dxa"/>
              <w:bottom w:w="0" w:type="dxa"/>
              <w:right w:w="0" w:type="dxa"/>
            </w:tcMar>
            <w:vAlign w:val="center"/>
          </w:tcPr>
          <w:p>
            <w:pPr>
              <w:pStyle w:val="TableContents"/>
              <w:bidi w:val="0"/>
              <w:spacing w:before="0" w:after="283"/>
              <w:jc w:val="right"/>
              <w:rPr/>
            </w:pPr>
            <w:r>
              <w:rPr/>
              <w:t>3.54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 </w:t>
            </w:r>
          </w:p>
        </w:tc>
        <w:tc>
          <w:tcPr>
            <w:tcW w:w="799" w:type="dxa"/>
            <w:tcBorders/>
            <w:shd w:fill="CCEEFF" w:val="clear"/>
            <w:tcMar>
              <w:top w:w="0" w:type="dxa"/>
              <w:left w:w="0" w:type="dxa"/>
              <w:bottom w:w="0" w:type="dxa"/>
              <w:right w:w="0" w:type="dxa"/>
            </w:tcMar>
            <w:vAlign w:val="center"/>
          </w:tcPr>
          <w:p>
            <w:pPr>
              <w:pStyle w:val="TableContents"/>
              <w:bidi w:val="0"/>
              <w:spacing w:before="0" w:after="283"/>
              <w:jc w:val="right"/>
              <w:rPr/>
            </w:pPr>
            <w:r>
              <w:rPr/>
              <w:t>5.96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147" w:type="dxa"/>
            <w:tcBorders/>
            <w:shd w:fill="CCEEFF" w:val="clear"/>
            <w:tcMar>
              <w:top w:w="0" w:type="dxa"/>
              <w:left w:w="0" w:type="dxa"/>
              <w:bottom w:w="0" w:type="dxa"/>
              <w:right w:w="0" w:type="dxa"/>
            </w:tcMar>
            <w:vAlign w:val="center"/>
          </w:tcPr>
          <w:p>
            <w:pPr>
              <w:pStyle w:val="TableContents"/>
              <w:bidi w:val="0"/>
              <w:spacing w:before="0" w:after="283"/>
              <w:jc w:val="right"/>
              <w:rPr/>
            </w:pPr>
            <w:r>
              <w:rPr/>
              <w:t>198,500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CEEFF" w:val="clear"/>
            <w:tcMar>
              <w:top w:w="0" w:type="dxa"/>
              <w:left w:w="0" w:type="dxa"/>
              <w:bottom w:w="0" w:type="dxa"/>
              <w:right w:w="0" w:type="dxa"/>
            </w:tcMar>
            <w:vAlign w:val="center"/>
          </w:tcPr>
          <w:p>
            <w:pPr>
              <w:pStyle w:val="TableContents"/>
              <w:bidi w:val="0"/>
              <w:spacing w:before="0" w:after="0"/>
              <w:jc w:val="left"/>
              <w:rPr/>
            </w:pPr>
            <w:r>
              <w:rPr/>
              <w:t xml:space="preserve">$ </w:t>
            </w:r>
          </w:p>
        </w:tc>
        <w:tc>
          <w:tcPr>
            <w:tcW w:w="799" w:type="dxa"/>
            <w:tcBorders/>
            <w:shd w:fill="CCEEFF" w:val="clear"/>
            <w:tcMar>
              <w:top w:w="0" w:type="dxa"/>
              <w:left w:w="0" w:type="dxa"/>
              <w:bottom w:w="0" w:type="dxa"/>
              <w:right w:w="0" w:type="dxa"/>
            </w:tcMar>
            <w:vAlign w:val="center"/>
          </w:tcPr>
          <w:p>
            <w:pPr>
              <w:pStyle w:val="TableContents"/>
              <w:bidi w:val="0"/>
              <w:spacing w:before="0" w:after="283"/>
              <w:jc w:val="right"/>
              <w:rPr/>
            </w:pPr>
            <w:r>
              <w:rPr/>
              <w:t>5.96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Restricted Stock Units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2017 Plan provides for the grant of restricted stock units (“</w:t>
      </w:r>
      <w:r>
        <w:rPr>
          <w:rFonts w:ascii="Times New Roman" w:hAnsi="Times New Roman"/>
          <w:i/>
          <w:sz w:val="20"/>
        </w:rPr>
        <w:t>RSUs</w:t>
      </w:r>
      <w:r>
        <w:rPr>
          <w:rFonts w:ascii="Times New Roman" w:hAnsi="Times New Roman"/>
          <w:sz w:val="24"/>
        </w:rPr>
        <w:t>”</w:t>
      </w:r>
      <w:r>
        <w:rPr>
          <w:rFonts w:ascii="Times New Roman" w:hAnsi="Times New Roman"/>
          <w:sz w:val="20"/>
        </w:rPr>
        <w:t>). RSUs are settled in shares of the Company’s Common Stock as the RSUs become vested. The following table summarizes RSU activity for the years ended December 31, 2025 and 2024:</w:t>
      </w:r>
      <w:r>
        <w:rPr>
          <w:rFonts w:ascii="Times New Roman" w:hAnsi="Times New Roman"/>
          <w:sz w:val="24"/>
        </w:rPr>
        <w:t xml:space="preserve"> </w:t>
      </w:r>
    </w:p>
    <w:p>
      <w:pPr>
        <w:pStyle w:val="TextBody"/>
        <w:bidi w:val="0"/>
        <w:spacing w:before="0" w:after="0"/>
        <w:jc w:val="left"/>
        <w:rPr/>
      </w:pPr>
      <w:r>
        <w:rPr/>
        <w:t xml:space="preserve">  </w:t>
      </w:r>
    </w:p>
    <w:tbl>
      <w:tblPr>
        <w:tblW w:w="7635" w:type="dxa"/>
        <w:jc w:val="left"/>
        <w:tblInd w:w="0" w:type="dxa"/>
        <w:tblLayout w:type="fixed"/>
        <w:tblCellMar>
          <w:top w:w="0" w:type="dxa"/>
          <w:left w:w="0" w:type="dxa"/>
          <w:bottom w:w="0" w:type="dxa"/>
          <w:right w:w="0" w:type="dxa"/>
        </w:tblCellMar>
      </w:tblPr>
      <w:tblGrid>
        <w:gridCol w:w="2645"/>
        <w:gridCol w:w="90"/>
        <w:gridCol w:w="1250"/>
        <w:gridCol w:w="155"/>
        <w:gridCol w:w="90"/>
        <w:gridCol w:w="155"/>
        <w:gridCol w:w="1400"/>
        <w:gridCol w:w="90"/>
        <w:gridCol w:w="90"/>
        <w:gridCol w:w="90"/>
        <w:gridCol w:w="1445"/>
        <w:gridCol w:w="135"/>
      </w:tblGrid>
      <w:tr>
        <w:trPr/>
        <w:tc>
          <w:tcPr>
            <w:tcW w:w="264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b/>
                <w:sz w:val="20"/>
              </w:rPr>
            </w:pPr>
            <w:r>
              <w:rPr>
                <w:b/>
                <w:sz w:val="20"/>
              </w:rPr>
              <w:t>Weighted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b/>
                <w:sz w:val="20"/>
              </w:rPr>
            </w:pPr>
            <w:r>
              <w:rPr>
                <w:b/>
                <w:sz w:val="20"/>
              </w:rPr>
              <w:t xml:space="preserve">Weighted </w:t>
            </w:r>
          </w:p>
        </w:tc>
        <w:tc>
          <w:tcPr>
            <w:tcW w:w="13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center"/>
              <w:rPr>
                <w:b/>
                <w:sz w:val="20"/>
              </w:rPr>
            </w:pPr>
            <w:r>
              <w:rPr>
                <w:b/>
                <w:sz w:val="20"/>
              </w:rPr>
              <w:t>Service-Based</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center"/>
              <w:rPr>
                <w:b/>
                <w:sz w:val="20"/>
              </w:rPr>
            </w:pPr>
            <w:r>
              <w:rPr>
                <w:b/>
                <w:sz w:val="20"/>
              </w:rPr>
              <w:t>Average Grant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center"/>
              <w:rPr>
                <w:b/>
                <w:sz w:val="20"/>
              </w:rPr>
            </w:pPr>
            <w:r>
              <w:rPr>
                <w:b/>
                <w:sz w:val="20"/>
              </w:rPr>
              <w:t>Average Vesting</w:t>
            </w:r>
          </w:p>
        </w:tc>
        <w:tc>
          <w:tcPr>
            <w:tcW w:w="13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RSU's</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1400"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Date Fair Value</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445"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Period (Years)</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sz w:val="20"/>
              </w:rPr>
            </w:pPr>
            <w:r>
              <w:rPr>
                <w:sz w:val="20"/>
              </w:rPr>
              <w:t>Unvested at December 31, 2023</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sz w:val="20"/>
              </w:rPr>
            </w:pPr>
            <w:r>
              <w:rPr>
                <w:sz w:val="20"/>
              </w:rPr>
              <w:t>810,588</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sz w:val="20"/>
              </w:rPr>
            </w:pPr>
            <w:r>
              <w:rPr>
                <w:sz w:val="20"/>
              </w:rPr>
              <w:t>1.73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sz w:val="20"/>
              </w:rPr>
            </w:pPr>
            <w:r>
              <w:rPr>
                <w:sz w:val="20"/>
              </w:rPr>
              <w:t>2.52</w:t>
            </w:r>
          </w:p>
        </w:tc>
        <w:tc>
          <w:tcPr>
            <w:tcW w:w="13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20"/>
              </w:rPr>
            </w:pPr>
            <w:r>
              <w:rPr>
                <w:sz w:val="20"/>
              </w:rPr>
              <w:t>Granted-service based</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sz w:val="20"/>
              </w:rPr>
            </w:pPr>
            <w:r>
              <w:rPr>
                <w:sz w:val="20"/>
              </w:rPr>
              <w:t>881,004</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sz w:val="20"/>
              </w:rPr>
            </w:pPr>
            <w:r>
              <w:rPr>
                <w:sz w:val="20"/>
              </w:rPr>
              <w:t>2.60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sz w:val="20"/>
              </w:rPr>
            </w:pPr>
            <w:r>
              <w:rPr>
                <w:sz w:val="20"/>
              </w:rPr>
              <w:t>Vested</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sz w:val="20"/>
              </w:rPr>
            </w:pPr>
            <w:r>
              <w:rPr>
                <w:sz w:val="20"/>
              </w:rPr>
              <w:t>(465,763</w:t>
            </w:r>
          </w:p>
        </w:tc>
        <w:tc>
          <w:tcPr>
            <w:tcW w:w="155" w:type="dxa"/>
            <w:tcBorders/>
            <w:shd w:fill="CCEEFF" w:val="clear"/>
            <w:vAlign w:val="center"/>
          </w:tcPr>
          <w:p>
            <w:pPr>
              <w:pStyle w:val="TableContents"/>
              <w:bidi w:val="0"/>
              <w:spacing w:before="0" w:after="283"/>
              <w:jc w:val="left"/>
              <w:rPr>
                <w:sz w:val="20"/>
              </w:rPr>
            </w:pPr>
            <w:r>
              <w:rPr>
                <w:sz w:val="20"/>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sz w:val="20"/>
              </w:rPr>
            </w:pPr>
            <w:r>
              <w:rPr>
                <w:sz w:val="20"/>
              </w:rPr>
              <w:t>2.03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left"/>
              <w:rPr>
                <w:sz w:val="4"/>
                <w:szCs w:val="4"/>
              </w:rPr>
            </w:pPr>
            <w:r>
              <w:rPr>
                <w:sz w:val="4"/>
                <w:szCs w:val="4"/>
              </w:rPr>
            </w:r>
          </w:p>
        </w:tc>
        <w:tc>
          <w:tcPr>
            <w:tcW w:w="13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20"/>
              </w:rPr>
            </w:pPr>
            <w:r>
              <w:rPr>
                <w:sz w:val="20"/>
              </w:rPr>
              <w:t>Forfeited and cancelled</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2" w:space="0" w:color="000000"/>
            </w:tcBorders>
            <w:tcMar>
              <w:bottom w:w="28" w:type="dxa"/>
            </w:tcMar>
            <w:vAlign w:val="center"/>
          </w:tcPr>
          <w:p>
            <w:pPr>
              <w:pStyle w:val="TableContents"/>
              <w:bidi w:val="0"/>
              <w:spacing w:before="0" w:after="283"/>
              <w:jc w:val="right"/>
              <w:rPr>
                <w:sz w:val="20"/>
              </w:rPr>
            </w:pPr>
            <w:r>
              <w:rPr>
                <w:sz w:val="20"/>
              </w:rPr>
              <w:t>(237,727</w:t>
            </w:r>
          </w:p>
        </w:tc>
        <w:tc>
          <w:tcPr>
            <w:tcW w:w="155" w:type="dxa"/>
            <w:tcBorders>
              <w:bottom w:val="single" w:sz="2" w:space="0" w:color="000000"/>
            </w:tcBorders>
            <w:tcMar>
              <w:bottom w:w="28" w:type="dxa"/>
            </w:tcMar>
            <w:vAlign w:val="center"/>
          </w:tcPr>
          <w:p>
            <w:pPr>
              <w:pStyle w:val="TableContents"/>
              <w:bidi w:val="0"/>
              <w:spacing w:before="0" w:after="283"/>
              <w:jc w:val="left"/>
              <w:rPr>
                <w:sz w:val="20"/>
              </w:rPr>
            </w:pPr>
            <w:r>
              <w:rPr>
                <w:sz w:val="20"/>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sz w:val="20"/>
              </w:rPr>
            </w:pPr>
            <w:r>
              <w:rPr>
                <w:sz w:val="20"/>
              </w:rPr>
              <w:t>2.26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sz w:val="20"/>
              </w:rPr>
            </w:pPr>
            <w:r>
              <w:rPr>
                <w:sz w:val="20"/>
              </w:rPr>
              <w:t>Unvested at December 31, 2024</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sz w:val="20"/>
              </w:rPr>
            </w:pPr>
            <w:r>
              <w:rPr>
                <w:sz w:val="20"/>
              </w:rPr>
              <w:t>988,102</w:t>
            </w:r>
          </w:p>
        </w:tc>
        <w:tc>
          <w:tcPr>
            <w:tcW w:w="1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1400" w:type="dxa"/>
            <w:tcBorders/>
            <w:shd w:fill="CCEEFF" w:val="clear"/>
            <w:vAlign w:val="center"/>
          </w:tcPr>
          <w:p>
            <w:pPr>
              <w:pStyle w:val="TableContents"/>
              <w:bidi w:val="0"/>
              <w:spacing w:before="0" w:after="283"/>
              <w:jc w:val="right"/>
              <w:rPr>
                <w:sz w:val="20"/>
              </w:rPr>
            </w:pPr>
            <w:r>
              <w:rPr>
                <w:sz w:val="20"/>
              </w:rPr>
              <w:t>2.25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sz w:val="20"/>
              </w:rPr>
            </w:pPr>
            <w:r>
              <w:rPr>
                <w:sz w:val="20"/>
              </w:rPr>
              <w:t>3.67</w:t>
            </w:r>
          </w:p>
        </w:tc>
        <w:tc>
          <w:tcPr>
            <w:tcW w:w="13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20"/>
              </w:rPr>
            </w:pPr>
            <w:r>
              <w:rPr>
                <w:sz w:val="20"/>
              </w:rPr>
              <w:t>Granted-service based</w:t>
            </w:r>
          </w:p>
        </w:tc>
        <w:tc>
          <w:tcPr>
            <w:tcW w:w="9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right"/>
              <w:rPr>
                <w:sz w:val="20"/>
              </w:rPr>
            </w:pPr>
            <w:r>
              <w:rPr>
                <w:sz w:val="20"/>
              </w:rPr>
              <w:t>897,225</w:t>
            </w:r>
          </w:p>
        </w:tc>
        <w:tc>
          <w:tcPr>
            <w:tcW w:w="1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sz w:val="20"/>
              </w:rPr>
            </w:pPr>
            <w:r>
              <w:rPr>
                <w:sz w:val="20"/>
              </w:rPr>
              <w:t>1.88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sz w:val="20"/>
              </w:rPr>
            </w:pPr>
            <w:r>
              <w:rPr>
                <w:sz w:val="20"/>
              </w:rPr>
              <w:t>-</w:t>
            </w:r>
          </w:p>
        </w:tc>
        <w:tc>
          <w:tcPr>
            <w:tcW w:w="13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sz w:val="20"/>
              </w:rPr>
            </w:pPr>
            <w:r>
              <w:rPr>
                <w:sz w:val="20"/>
              </w:rPr>
              <w:t>Vested</w:t>
            </w:r>
          </w:p>
        </w:tc>
        <w:tc>
          <w:tcPr>
            <w:tcW w:w="9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right"/>
              <w:rPr>
                <w:sz w:val="20"/>
              </w:rPr>
            </w:pPr>
            <w:r>
              <w:rPr>
                <w:sz w:val="20"/>
              </w:rPr>
              <w:t>(870,794</w:t>
            </w:r>
          </w:p>
        </w:tc>
        <w:tc>
          <w:tcPr>
            <w:tcW w:w="155" w:type="dxa"/>
            <w:tcBorders/>
            <w:shd w:fill="CCEEFF" w:val="clear"/>
            <w:vAlign w:val="center"/>
          </w:tcPr>
          <w:p>
            <w:pPr>
              <w:pStyle w:val="TableContents"/>
              <w:bidi w:val="0"/>
              <w:spacing w:before="0" w:after="283"/>
              <w:jc w:val="left"/>
              <w:rPr>
                <w:sz w:val="20"/>
              </w:rPr>
            </w:pPr>
            <w:r>
              <w:rPr>
                <w:sz w:val="20"/>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sz w:val="20"/>
              </w:rPr>
            </w:pPr>
            <w:r>
              <w:rPr>
                <w:sz w:val="20"/>
              </w:rPr>
              <w:t>1.89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sz w:val="20"/>
              </w:rPr>
            </w:pPr>
            <w:r>
              <w:rPr>
                <w:sz w:val="20"/>
              </w:rPr>
              <w:t>-</w:t>
            </w:r>
          </w:p>
        </w:tc>
        <w:tc>
          <w:tcPr>
            <w:tcW w:w="135" w:type="dxa"/>
            <w:tcBorders/>
            <w:shd w:fill="CCEEFF" w:val="clear"/>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20"/>
              </w:rPr>
            </w:pPr>
            <w:r>
              <w:rPr>
                <w:sz w:val="20"/>
              </w:rPr>
              <w:t>Forfeited and cancelled</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1250" w:type="dxa"/>
            <w:tcBorders>
              <w:bottom w:val="single" w:sz="2" w:space="0" w:color="000000"/>
            </w:tcBorders>
            <w:tcMar>
              <w:bottom w:w="28" w:type="dxa"/>
            </w:tcMar>
            <w:vAlign w:val="center"/>
          </w:tcPr>
          <w:p>
            <w:pPr>
              <w:pStyle w:val="TableContents"/>
              <w:bidi w:val="0"/>
              <w:spacing w:before="0" w:after="283"/>
              <w:jc w:val="right"/>
              <w:rPr>
                <w:sz w:val="20"/>
              </w:rPr>
            </w:pPr>
            <w:r>
              <w:rPr>
                <w:sz w:val="20"/>
              </w:rPr>
              <w:t>-</w:t>
            </w:r>
          </w:p>
        </w:tc>
        <w:tc>
          <w:tcPr>
            <w:tcW w:w="15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right"/>
              <w:rPr>
                <w:sz w:val="20"/>
              </w:rPr>
            </w:pPr>
            <w:r>
              <w:rPr>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right"/>
              <w:rPr>
                <w:sz w:val="20"/>
              </w:rPr>
            </w:pPr>
            <w:r>
              <w:rPr>
                <w:sz w:val="20"/>
              </w:rPr>
              <w:t>-</w:t>
            </w:r>
          </w:p>
        </w:tc>
        <w:tc>
          <w:tcPr>
            <w:tcW w:w="13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sz w:val="20"/>
              </w:rPr>
            </w:pPr>
            <w:r>
              <w:rPr>
                <w:sz w:val="20"/>
              </w:rPr>
              <w:t>Unvested at December 31, 2025</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50"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1,014,563</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1400" w:type="dxa"/>
            <w:tcBorders/>
            <w:shd w:fill="CCEEFF" w:val="clear"/>
            <w:vAlign w:val="center"/>
          </w:tcPr>
          <w:p>
            <w:pPr>
              <w:pStyle w:val="TableContents"/>
              <w:bidi w:val="0"/>
              <w:spacing w:before="0" w:after="283"/>
              <w:jc w:val="right"/>
              <w:rPr>
                <w:sz w:val="20"/>
              </w:rPr>
            </w:pPr>
            <w:r>
              <w:rPr>
                <w:sz w:val="20"/>
              </w:rPr>
              <w:t>2.23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45" w:type="dxa"/>
            <w:tcBorders/>
            <w:shd w:fill="CCEEFF" w:val="clear"/>
            <w:vAlign w:val="center"/>
          </w:tcPr>
          <w:p>
            <w:pPr>
              <w:pStyle w:val="TableContents"/>
              <w:bidi w:val="0"/>
              <w:spacing w:before="0" w:after="283"/>
              <w:jc w:val="right"/>
              <w:rPr>
                <w:sz w:val="20"/>
              </w:rPr>
            </w:pPr>
            <w:r>
              <w:rPr>
                <w:sz w:val="20"/>
              </w:rPr>
              <w:t>3.62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0"/>
        </w:rPr>
        <w:t xml:space="preserve">The Company used the Monte Carlo Simulation Model to value at the grant date the aggregate </w:t>
      </w:r>
      <w:r>
        <w:rPr>
          <w:rFonts w:ascii="Times New Roman" w:hAnsi="Times New Roman"/>
          <w:sz w:val="20"/>
          <w:shd w:fill="FFFFFF" w:val="clear"/>
        </w:rPr>
        <w:t>of 632,911</w:t>
      </w:r>
      <w:r>
        <w:rPr>
          <w:rFonts w:ascii="Times New Roman" w:hAnsi="Times New Roman"/>
          <w:sz w:val="24"/>
          <w:shd w:fill="FFFFFF" w:val="clear"/>
        </w:rPr>
        <w:t xml:space="preserve"> </w:t>
      </w:r>
      <w:r>
        <w:rPr>
          <w:rFonts w:ascii="Times New Roman" w:hAnsi="Times New Roman"/>
          <w:sz w:val="20"/>
          <w:shd w:fill="FFFFFF" w:val="clear"/>
        </w:rPr>
        <w:t>market condition performance RSUs granted in January 2024</w:t>
      </w:r>
      <w:r>
        <w:rPr>
          <w:rFonts w:ascii="Times New Roman" w:hAnsi="Times New Roman"/>
          <w:sz w:val="24"/>
          <w:shd w:fill="FFFFFF" w:val="clear"/>
        </w:rPr>
        <w:t xml:space="preserve"> </w:t>
      </w:r>
      <w:r>
        <w:rPr>
          <w:rFonts w:ascii="Times New Roman" w:hAnsi="Times New Roman"/>
          <w:sz w:val="20"/>
          <w:shd w:fill="FFFFFF" w:val="clear"/>
        </w:rPr>
        <w:t>to the Company’s Chief Executive Officer. The assumptions used in the Monte Carlo Simulation were stock price on the date of grant equal to $3.40,</w:t>
      </w:r>
      <w:r>
        <w:rPr>
          <w:rFonts w:ascii="Times New Roman" w:hAnsi="Times New Roman"/>
          <w:sz w:val="24"/>
          <w:shd w:fill="FFFFFF" w:val="clear"/>
        </w:rPr>
        <w:t xml:space="preserve"> </w:t>
      </w:r>
      <w:r>
        <w:rPr>
          <w:rFonts w:ascii="Times New Roman" w:hAnsi="Times New Roman"/>
          <w:sz w:val="20"/>
          <w:shd w:fill="FFFFFF" w:val="clear"/>
        </w:rPr>
        <w:t>a contract term of 10 years, expected volatility of 78%</w:t>
      </w:r>
      <w:r>
        <w:rPr>
          <w:rFonts w:ascii="Times New Roman" w:hAnsi="Times New Roman"/>
          <w:sz w:val="24"/>
          <w:shd w:fill="FFFFFF" w:val="clear"/>
        </w:rPr>
        <w:t xml:space="preserve"> </w:t>
      </w:r>
      <w:r>
        <w:rPr>
          <w:rFonts w:ascii="Times New Roman" w:hAnsi="Times New Roman"/>
          <w:sz w:val="20"/>
          <w:shd w:fill="FFFFFF" w:val="clear"/>
        </w:rPr>
        <w:t>and risk-free interest rate of 4.10%. Vesting is based on sustained market capitalization of $1,000,000 in consecutive two months, and the derived service period is 4.3 years.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RSU exp</w:t>
      </w:r>
      <w:r>
        <w:rPr>
          <w:rFonts w:ascii="Times New Roman" w:hAnsi="Times New Roman"/>
          <w:sz w:val="20"/>
          <w:shd w:fill="FFFFFF" w:val="clear"/>
        </w:rPr>
        <w:t>ense was $2,317</w:t>
      </w:r>
      <w:r>
        <w:rPr>
          <w:rFonts w:ascii="Times New Roman" w:hAnsi="Times New Roman"/>
          <w:sz w:val="24"/>
          <w:shd w:fill="FFFFFF" w:val="clear"/>
        </w:rPr>
        <w:t xml:space="preserve"> </w:t>
      </w:r>
      <w:r>
        <w:rPr>
          <w:rFonts w:ascii="Times New Roman" w:hAnsi="Times New Roman"/>
          <w:sz w:val="20"/>
          <w:shd w:fill="FFFFFF" w:val="clear"/>
        </w:rPr>
        <w:t>and $</w:t>
      </w:r>
      <w:r>
        <w:rPr>
          <w:rFonts w:ascii="Times New Roman" w:hAnsi="Times New Roman"/>
          <w:sz w:val="20"/>
        </w:rPr>
        <w:t>1,301 for the years ended December 31, 2025 and 2024, respectively.</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F-25</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sz w:val="20"/>
          <w:u w:val="single"/>
        </w:rPr>
        <w:t>Share-Based Compensation Expense</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Company recorded share-based compensation in its statements of operations for the relevant periods for options and RSUs as follows:</w:t>
      </w:r>
      <w:r>
        <w:rPr>
          <w:rFonts w:ascii="Times New Roman" w:hAnsi="Times New Roman"/>
          <w:sz w:val="24"/>
        </w:rPr>
        <w:t xml:space="preserve"> </w:t>
      </w:r>
    </w:p>
    <w:p>
      <w:pPr>
        <w:pStyle w:val="TextBody"/>
        <w:bidi w:val="0"/>
        <w:spacing w:before="0" w:after="0"/>
        <w:jc w:val="left"/>
        <w:rPr/>
      </w:pPr>
      <w:r>
        <w:rPr/>
        <w:t xml:space="preserve">  </w:t>
      </w:r>
    </w:p>
    <w:tbl>
      <w:tblPr>
        <w:tblW w:w="5858" w:type="dxa"/>
        <w:jc w:val="left"/>
        <w:tblInd w:w="0" w:type="dxa"/>
        <w:tblLayout w:type="fixed"/>
        <w:tblCellMar>
          <w:top w:w="0" w:type="dxa"/>
          <w:left w:w="0" w:type="dxa"/>
          <w:bottom w:w="0" w:type="dxa"/>
          <w:right w:w="0" w:type="dxa"/>
        </w:tblCellMar>
      </w:tblPr>
      <w:tblGrid>
        <w:gridCol w:w="2945"/>
        <w:gridCol w:w="273"/>
        <w:gridCol w:w="907"/>
        <w:gridCol w:w="158"/>
        <w:gridCol w:w="158"/>
        <w:gridCol w:w="273"/>
        <w:gridCol w:w="907"/>
        <w:gridCol w:w="237"/>
      </w:tblGrid>
      <w:tr>
        <w:trPr/>
        <w:tc>
          <w:tcPr>
            <w:tcW w:w="2945"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945" w:type="dxa"/>
            <w:tcBorders/>
            <w:vAlign w:val="center"/>
          </w:tcPr>
          <w:p>
            <w:pPr>
              <w:pStyle w:val="TableContents"/>
              <w:bidi w:val="0"/>
              <w:spacing w:before="0" w:after="283"/>
              <w:jc w:val="left"/>
              <w:rPr/>
            </w:pPr>
            <w:r>
              <w:rPr/>
              <w:t> </w:t>
            </w:r>
          </w:p>
        </w:tc>
        <w:tc>
          <w:tcPr>
            <w:tcW w:w="2913" w:type="dxa"/>
            <w:gridSpan w:val="7"/>
            <w:tcBorders>
              <w:bottom w:val="single" w:sz="2" w:space="0" w:color="000000"/>
            </w:tcBorders>
            <w:tcMar>
              <w:bottom w:w="28" w:type="dxa"/>
            </w:tcMar>
            <w:vAlign w:val="center"/>
          </w:tcPr>
          <w:p>
            <w:pPr>
              <w:pStyle w:val="TableContents"/>
              <w:bidi w:val="0"/>
              <w:spacing w:before="0" w:after="283"/>
              <w:jc w:val="center"/>
              <w:rPr>
                <w:b/>
                <w:sz w:val="20"/>
              </w:rPr>
            </w:pPr>
            <w:r>
              <w:rPr>
                <w:b/>
                <w:sz w:val="20"/>
              </w:rPr>
              <w:t>For the Year ended December 31,</w:t>
            </w:r>
          </w:p>
        </w:tc>
      </w:tr>
      <w:tr>
        <w:trPr/>
        <w:tc>
          <w:tcPr>
            <w:tcW w:w="2945" w:type="dxa"/>
            <w:tcBorders/>
            <w:vAlign w:val="center"/>
          </w:tcPr>
          <w:p>
            <w:pPr>
              <w:pStyle w:val="TableContents"/>
              <w:bidi w:val="0"/>
              <w:spacing w:before="0" w:after="283"/>
              <w:jc w:val="left"/>
              <w:rPr/>
            </w:pPr>
            <w:r>
              <w:rPr/>
              <w:t> </w:t>
            </w:r>
          </w:p>
        </w:tc>
        <w:tc>
          <w:tcPr>
            <w:tcW w:w="273" w:type="dxa"/>
            <w:tcBorders>
              <w:bottom w:val="single" w:sz="2" w:space="0" w:color="000000"/>
            </w:tcBorders>
            <w:tcMar>
              <w:bottom w:w="28" w:type="dxa"/>
            </w:tcMar>
            <w:vAlign w:val="center"/>
          </w:tcPr>
          <w:p>
            <w:pPr>
              <w:pStyle w:val="TableContents"/>
              <w:bidi w:val="0"/>
              <w:spacing w:before="0" w:after="283"/>
              <w:jc w:val="left"/>
              <w:rPr/>
            </w:pPr>
            <w:r>
              <w:rPr/>
              <w:t> </w:t>
            </w:r>
          </w:p>
        </w:tc>
        <w:tc>
          <w:tcPr>
            <w:tcW w:w="907"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2025</w:t>
            </w:r>
          </w:p>
        </w:tc>
        <w:tc>
          <w:tcPr>
            <w:tcW w:w="158" w:type="dxa"/>
            <w:tcBorders>
              <w:bottom w:val="single" w:sz="2" w:space="0" w:color="000000"/>
            </w:tcBorders>
            <w:tcMar>
              <w:bottom w:w="28" w:type="dxa"/>
            </w:tcMar>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73" w:type="dxa"/>
            <w:tcBorders>
              <w:bottom w:val="single" w:sz="2" w:space="0" w:color="000000"/>
            </w:tcBorders>
            <w:tcMar>
              <w:bottom w:w="28" w:type="dxa"/>
            </w:tcMar>
            <w:vAlign w:val="center"/>
          </w:tcPr>
          <w:p>
            <w:pPr>
              <w:pStyle w:val="TableContents"/>
              <w:bidi w:val="0"/>
              <w:spacing w:before="0" w:after="283"/>
              <w:jc w:val="left"/>
              <w:rPr/>
            </w:pPr>
            <w:r>
              <w:rPr/>
              <w:t> </w:t>
            </w:r>
          </w:p>
        </w:tc>
        <w:tc>
          <w:tcPr>
            <w:tcW w:w="907" w:type="dxa"/>
            <w:tcBorders>
              <w:bottom w:val="single" w:sz="2" w:space="0" w:color="000000"/>
            </w:tcBorders>
            <w:tcMar>
              <w:bottom w:w="28" w:type="dxa"/>
            </w:tcMar>
            <w:vAlign w:val="center"/>
          </w:tcPr>
          <w:p>
            <w:pPr>
              <w:pStyle w:val="TableContents"/>
              <w:bidi w:val="0"/>
              <w:spacing w:before="0" w:after="283"/>
              <w:jc w:val="center"/>
              <w:rPr>
                <w:b/>
                <w:sz w:val="20"/>
              </w:rPr>
            </w:pPr>
            <w:r>
              <w:rPr>
                <w:b/>
                <w:sz w:val="20"/>
              </w:rPr>
              <w:t>2024</w:t>
            </w:r>
          </w:p>
        </w:tc>
        <w:tc>
          <w:tcPr>
            <w:tcW w:w="23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sz w:val="20"/>
              </w:rPr>
            </w:pPr>
            <w:r>
              <w:rPr>
                <w:sz w:val="20"/>
              </w:rPr>
              <w:t>Selling, general, and administrative</w:t>
            </w:r>
          </w:p>
        </w:tc>
        <w:tc>
          <w:tcPr>
            <w:tcW w:w="273" w:type="dxa"/>
            <w:tcBorders/>
            <w:shd w:fill="CCEEFF" w:val="clear"/>
            <w:vAlign w:val="center"/>
          </w:tcPr>
          <w:p>
            <w:pPr>
              <w:pStyle w:val="TableContents"/>
              <w:bidi w:val="0"/>
              <w:spacing w:before="0" w:after="283"/>
              <w:jc w:val="left"/>
              <w:rPr>
                <w:sz w:val="20"/>
              </w:rPr>
            </w:pPr>
            <w:r>
              <w:rPr>
                <w:sz w:val="20"/>
              </w:rPr>
              <w:t>$</w:t>
            </w:r>
          </w:p>
        </w:tc>
        <w:tc>
          <w:tcPr>
            <w:tcW w:w="907" w:type="dxa"/>
            <w:tcBorders/>
            <w:shd w:fill="CCEEFF" w:val="clear"/>
            <w:vAlign w:val="center"/>
          </w:tcPr>
          <w:p>
            <w:pPr>
              <w:pStyle w:val="TableContents"/>
              <w:bidi w:val="0"/>
              <w:spacing w:before="0" w:after="283"/>
              <w:jc w:val="right"/>
              <w:rPr>
                <w:sz w:val="20"/>
              </w:rPr>
            </w:pPr>
            <w:r>
              <w:rPr>
                <w:sz w:val="20"/>
              </w:rPr>
              <w:t>4,076</w:t>
            </w:r>
          </w:p>
        </w:tc>
        <w:tc>
          <w:tcPr>
            <w:tcW w:w="158"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sz w:val="20"/>
              </w:rPr>
            </w:pPr>
            <w:r>
              <w:rPr>
                <w:sz w:val="20"/>
              </w:rPr>
              <w:t>$</w:t>
            </w:r>
          </w:p>
        </w:tc>
        <w:tc>
          <w:tcPr>
            <w:tcW w:w="907" w:type="dxa"/>
            <w:tcBorders/>
            <w:shd w:fill="CCEEFF" w:val="clear"/>
            <w:vAlign w:val="center"/>
          </w:tcPr>
          <w:p>
            <w:pPr>
              <w:pStyle w:val="TableContents"/>
              <w:bidi w:val="0"/>
              <w:spacing w:before="0" w:after="283"/>
              <w:jc w:val="right"/>
              <w:rPr>
                <w:sz w:val="20"/>
              </w:rPr>
            </w:pPr>
            <w:r>
              <w:rPr>
                <w:sz w:val="20"/>
              </w:rPr>
              <w:t>2,296</w:t>
            </w:r>
          </w:p>
        </w:tc>
        <w:tc>
          <w:tcPr>
            <w:tcW w:w="237" w:type="dxa"/>
            <w:tcBorders/>
            <w:shd w:fill="CCEEFF" w:val="clear"/>
            <w:vAlign w:val="center"/>
          </w:tcPr>
          <w:p>
            <w:pPr>
              <w:pStyle w:val="TableContents"/>
              <w:bidi w:val="0"/>
              <w:spacing w:before="0" w:after="283"/>
              <w:jc w:val="left"/>
              <w:rPr/>
            </w:pPr>
            <w:r>
              <w:rPr/>
              <w:t> </w:t>
            </w:r>
          </w:p>
        </w:tc>
      </w:tr>
      <w:tr>
        <w:trPr/>
        <w:tc>
          <w:tcPr>
            <w:tcW w:w="2945" w:type="dxa"/>
            <w:tcBorders/>
            <w:vAlign w:val="center"/>
          </w:tcPr>
          <w:p>
            <w:pPr>
              <w:pStyle w:val="TableContents"/>
              <w:bidi w:val="0"/>
              <w:spacing w:before="0" w:after="283"/>
              <w:jc w:val="left"/>
              <w:rPr>
                <w:sz w:val="20"/>
              </w:rPr>
            </w:pPr>
            <w:r>
              <w:rPr>
                <w:sz w:val="20"/>
              </w:rPr>
              <w:t>Research and development</w:t>
            </w:r>
          </w:p>
        </w:tc>
        <w:tc>
          <w:tcPr>
            <w:tcW w:w="273" w:type="dxa"/>
            <w:tcBorders>
              <w:bottom w:val="single" w:sz="2" w:space="0" w:color="000000"/>
            </w:tcBorders>
            <w:tcMar>
              <w:bottom w:w="28" w:type="dxa"/>
            </w:tcMar>
            <w:vAlign w:val="center"/>
          </w:tcPr>
          <w:p>
            <w:pPr>
              <w:pStyle w:val="TableContents"/>
              <w:bidi w:val="0"/>
              <w:spacing w:before="0" w:after="283"/>
              <w:jc w:val="left"/>
              <w:rPr/>
            </w:pPr>
            <w:r>
              <w:rPr/>
              <w:t> </w:t>
            </w:r>
          </w:p>
        </w:tc>
        <w:tc>
          <w:tcPr>
            <w:tcW w:w="907" w:type="dxa"/>
            <w:tcBorders>
              <w:bottom w:val="single" w:sz="2" w:space="0" w:color="000000"/>
            </w:tcBorders>
            <w:tcMar>
              <w:bottom w:w="28" w:type="dxa"/>
            </w:tcMar>
            <w:vAlign w:val="center"/>
          </w:tcPr>
          <w:p>
            <w:pPr>
              <w:pStyle w:val="TableContents"/>
              <w:bidi w:val="0"/>
              <w:spacing w:before="0" w:after="283"/>
              <w:jc w:val="right"/>
              <w:rPr>
                <w:sz w:val="20"/>
              </w:rPr>
            </w:pPr>
            <w:r>
              <w:rPr>
                <w:sz w:val="20"/>
              </w:rPr>
              <w:t>-</w:t>
            </w:r>
          </w:p>
        </w:tc>
        <w:tc>
          <w:tcPr>
            <w:tcW w:w="158" w:type="dxa"/>
            <w:tcBorders>
              <w:bottom w:val="single" w:sz="2" w:space="0" w:color="000000"/>
            </w:tcBorders>
            <w:tcMar>
              <w:bottom w:w="28" w:type="dxa"/>
            </w:tcMar>
            <w:vAlign w:val="center"/>
          </w:tcPr>
          <w:p>
            <w:pPr>
              <w:pStyle w:val="TableContents"/>
              <w:bidi w:val="0"/>
              <w:spacing w:before="0" w:after="283"/>
              <w:jc w:val="left"/>
              <w:rPr/>
            </w:pPr>
            <w:r>
              <w:rPr/>
              <w:t> </w:t>
            </w:r>
          </w:p>
        </w:tc>
        <w:tc>
          <w:tcPr>
            <w:tcW w:w="158" w:type="dxa"/>
            <w:tcBorders/>
            <w:vAlign w:val="center"/>
          </w:tcPr>
          <w:p>
            <w:pPr>
              <w:pStyle w:val="TableContents"/>
              <w:bidi w:val="0"/>
              <w:spacing w:before="0" w:after="283"/>
              <w:jc w:val="left"/>
              <w:rPr/>
            </w:pPr>
            <w:r>
              <w:rPr/>
              <w:t> </w:t>
            </w:r>
          </w:p>
        </w:tc>
        <w:tc>
          <w:tcPr>
            <w:tcW w:w="273" w:type="dxa"/>
            <w:tcBorders>
              <w:bottom w:val="single" w:sz="2" w:space="0" w:color="000000"/>
            </w:tcBorders>
            <w:tcMar>
              <w:bottom w:w="28" w:type="dxa"/>
            </w:tcMar>
            <w:vAlign w:val="center"/>
          </w:tcPr>
          <w:p>
            <w:pPr>
              <w:pStyle w:val="TableContents"/>
              <w:bidi w:val="0"/>
              <w:spacing w:before="0" w:after="283"/>
              <w:jc w:val="left"/>
              <w:rPr/>
            </w:pPr>
            <w:r>
              <w:rPr/>
              <w:t> </w:t>
            </w:r>
          </w:p>
        </w:tc>
        <w:tc>
          <w:tcPr>
            <w:tcW w:w="907" w:type="dxa"/>
            <w:tcBorders>
              <w:bottom w:val="single" w:sz="2" w:space="0" w:color="000000"/>
            </w:tcBorders>
            <w:tcMar>
              <w:bottom w:w="28" w:type="dxa"/>
            </w:tcMar>
            <w:vAlign w:val="center"/>
          </w:tcPr>
          <w:p>
            <w:pPr>
              <w:pStyle w:val="TableContents"/>
              <w:bidi w:val="0"/>
              <w:spacing w:before="0" w:after="283"/>
              <w:jc w:val="right"/>
              <w:rPr>
                <w:sz w:val="20"/>
              </w:rPr>
            </w:pPr>
            <w:r>
              <w:rPr>
                <w:sz w:val="20"/>
              </w:rPr>
              <w:t>137</w:t>
            </w:r>
          </w:p>
        </w:tc>
        <w:tc>
          <w:tcPr>
            <w:tcW w:w="237"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sz w:val="20"/>
              </w:rPr>
            </w:pPr>
            <w:r>
              <w:rPr>
                <w:sz w:val="20"/>
              </w:rPr>
              <w:t>Total share-based expense</w:t>
            </w:r>
          </w:p>
        </w:tc>
        <w:tc>
          <w:tcPr>
            <w:tcW w:w="27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4,076</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273"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2,433</w:t>
            </w:r>
          </w:p>
        </w:tc>
        <w:tc>
          <w:tcPr>
            <w:tcW w:w="23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0"/>
        </w:rPr>
        <w:t>As of December 31, 2025, total estimated compensation cost of stock options granted and outstanding but not yet vested w</w:t>
      </w:r>
      <w:r>
        <w:rPr>
          <w:rFonts w:ascii="Times New Roman" w:hAnsi="Times New Roman"/>
          <w:sz w:val="20"/>
          <w:shd w:fill="FFFFFF" w:val="clear"/>
        </w:rPr>
        <w:t>as $4,847</w:t>
      </w:r>
      <w:r>
        <w:rPr>
          <w:rFonts w:ascii="Times New Roman" w:hAnsi="Times New Roman"/>
          <w:sz w:val="24"/>
          <w:shd w:fill="FFFFFF" w:val="clear"/>
        </w:rPr>
        <w:t> </w:t>
      </w:r>
      <w:r>
        <w:rPr>
          <w:rFonts w:ascii="Times New Roman" w:hAnsi="Times New Roman"/>
          <w:sz w:val="20"/>
          <w:shd w:fill="FFFFFF" w:val="clear"/>
        </w:rPr>
        <w:t>w</w:t>
      </w:r>
      <w:r>
        <w:rPr>
          <w:rFonts w:ascii="Times New Roman" w:hAnsi="Times New Roman"/>
          <w:sz w:val="20"/>
        </w:rPr>
        <w:t>hich is expected to be recognized over the weighted average period of 3.08 years.</w:t>
      </w:r>
      <w:r>
        <w:rPr>
          <w:rFonts w:ascii="Times New Roman" w:hAnsi="Times New Roman"/>
          <w:sz w:val="24"/>
        </w:rPr>
        <w:t xml:space="preserve"> </w:t>
      </w:r>
    </w:p>
    <w:p>
      <w:pPr>
        <w:pStyle w:val="TextBody"/>
        <w:bidi w:val="0"/>
        <w:spacing w:before="0" w:after="0"/>
        <w:jc w:val="both"/>
        <w:rPr/>
      </w:pPr>
      <w:r>
        <w:rPr/>
        <w:t> </w:t>
      </w:r>
    </w:p>
    <w:p>
      <w:pPr>
        <w:pStyle w:val="TextBody"/>
        <w:bidi w:val="0"/>
        <w:spacing w:before="0" w:after="0"/>
        <w:jc w:val="both"/>
        <w:rPr>
          <w:rFonts w:ascii="Times New Roman" w:hAnsi="Times New Roman"/>
          <w:sz w:val="24"/>
        </w:rPr>
      </w:pPr>
      <w:r>
        <w:rPr>
          <w:rFonts w:ascii="Times New Roman" w:hAnsi="Times New Roman"/>
          <w:sz w:val="20"/>
        </w:rPr>
        <w:t>As of December 31, 2025, total estimated compensation cost of RSUs granted and outstanding but not yet vested w</w:t>
      </w:r>
      <w:r>
        <w:rPr>
          <w:rFonts w:ascii="Times New Roman" w:hAnsi="Times New Roman"/>
          <w:sz w:val="20"/>
          <w:shd w:fill="FFFFFF" w:val="clear"/>
        </w:rPr>
        <w:t>as $1,112</w:t>
      </w:r>
      <w:r>
        <w:rPr>
          <w:rFonts w:ascii="Times New Roman" w:hAnsi="Times New Roman"/>
          <w:sz w:val="24"/>
          <w:shd w:fill="FFFFFF" w:val="clear"/>
        </w:rPr>
        <w:t> </w:t>
      </w:r>
      <w:r>
        <w:rPr>
          <w:rFonts w:ascii="Times New Roman" w:hAnsi="Times New Roman"/>
          <w:sz w:val="20"/>
          <w:shd w:fill="FFFFFF" w:val="clear"/>
        </w:rPr>
        <w:t>w</w:t>
      </w:r>
      <w:r>
        <w:rPr>
          <w:rFonts w:ascii="Times New Roman" w:hAnsi="Times New Roman"/>
          <w:sz w:val="20"/>
        </w:rPr>
        <w:t>hich is expected to be recognized over the weighted average period of 2.12 years.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ind w:left="10" w:right="0" w:hanging="0"/>
        <w:jc w:val="left"/>
        <w:rPr>
          <w:rFonts w:ascii="Times New Roman" w:hAnsi="Times New Roman"/>
          <w:sz w:val="24"/>
        </w:rPr>
      </w:pPr>
      <w:r>
        <w:rPr>
          <w:rFonts w:ascii="Times New Roman" w:hAnsi="Times New Roman"/>
          <w:b/>
          <w:color w:val="000000"/>
          <w:sz w:val="20"/>
        </w:rPr>
        <w:t>14. DEFINED CONTRIBUTION PLAN</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Company has a defined contribution savings plan for all eligible U.S. employees established under the provisions of Section 401(k) of the Internal Revenue Code. This plan was formed on January 1, 2022. Eligible employees may contribute a percentage of their salary subject to certain limitations. The Company’s contributions for the years ended December 31, 2025 and 2024, was $23 and $0, respectively.</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ind w:left="10" w:right="0" w:hanging="0"/>
        <w:jc w:val="left"/>
        <w:rPr>
          <w:rFonts w:ascii="Times New Roman" w:hAnsi="Times New Roman"/>
          <w:sz w:val="24"/>
        </w:rPr>
      </w:pPr>
      <w:r>
        <w:rPr>
          <w:rFonts w:ascii="Times New Roman" w:hAnsi="Times New Roman"/>
          <w:b/>
          <w:color w:val="000000"/>
          <w:sz w:val="20"/>
        </w:rPr>
        <w:t>15. COMMITMENTS AND CONTINGENCIES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Facility lease</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The Company entered into a facility lease agreement for its new production facility based in Norton, Virginia. The initial term of the agreement is for five years and commenced on October 1, 2025 (the "Term"). The Company was granted early occupancy of the facility for use beginning on August 18, 2025. The total cash payments to the lessor during the Term are $600. In March 2026, the Company entered into a month-to-month service agreement for a business address located in Miami, Florida, at an approximate monthly cost of less than $1.</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Purchase Commitments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4"/>
        </w:rPr>
      </w:pPr>
      <w:r>
        <w:rPr>
          <w:rFonts w:ascii="Times New Roman" w:hAnsi="Times New Roman"/>
          <w:sz w:val="20"/>
        </w:rPr>
        <w:t>As of December 31, 2025, the Company was committed for approximate</w:t>
      </w:r>
      <w:r>
        <w:rPr>
          <w:rFonts w:ascii="Times New Roman" w:hAnsi="Times New Roman"/>
          <w:sz w:val="20"/>
          <w:shd w:fill="FFFFFF" w:val="clear"/>
        </w:rPr>
        <w:t>ly $338 for futu</w:t>
      </w:r>
      <w:r>
        <w:rPr>
          <w:rFonts w:ascii="Times New Roman" w:hAnsi="Times New Roman"/>
          <w:sz w:val="20"/>
        </w:rPr>
        <w:t>re component deliveries that are generally subject to modification or rescheduling in the normal course of business.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Indemnifications and Guarantees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Our officers and directors are indemnified as to personal liability as provided by the Delaware law and the Company’s articles and bylaws. The Company may also undertake indemnification obligations in the ordinary course of business related to its operations. The Company is unable to estimate with any reasonable accuracy the liability that may be incurred pursuant to any such indemnification obligations now or in the future. Because of the uncertainty surrounding these circumstances, the Company’s current or future indemnification obligations could range from immaterial to having a material adverse impact on its financial position and its ability to continue in the ordinary course of business. The Company has no liabilities recorded for such indemnities.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Regulatory Agencies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Company is subject to oversight from regulatory agencies regarding firearms that arises in the ordinary course of its business.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F-26</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4"/>
        </w:rPr>
      </w:pPr>
      <w:r>
        <w:rPr>
          <w:rFonts w:ascii="Times New Roman" w:hAnsi="Times New Roman"/>
          <w:sz w:val="20"/>
          <w:u w:val="single"/>
        </w:rPr>
        <w:t>Litigation</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 xml:space="preserve">The Company is subject to litigation and other claims in the ordinary course of business. The Company records a provision for a liability relating to legal matters when it is both probable that a liability has been incurred and the amount of the loss can be reasonably estimated. These provisions are reviewed and adjusted to include the impacts of negotiations, estimated settlements, legal rulings, advice of legal counsel, and other information and events pertaining to a particular matter. </w:t>
      </w:r>
    </w:p>
    <w:p>
      <w:pPr>
        <w:pStyle w:val="TextBody"/>
        <w:bidi w:val="0"/>
        <w:spacing w:before="0" w:after="0"/>
        <w:jc w:val="left"/>
        <w:rPr/>
      </w:pPr>
      <w:r>
        <w:rPr/>
        <w:t xml:space="preserve">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 xml:space="preserve">16. RELATED PARTY TRANSACTIONS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Consulting Services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Commencing in October 2017, the Company began reimbursing Mr. Elwood Norris, a former officer, current 5% stockholder and consultant of the Company, $1.5 per month on a month-to-month basis for laboratory facility costs and $7.5 per month on a month-to month basis for invention consulting services, for an aggregate of $17 for the years ended December 31, 2024. The Company terminated the contract in February 2024.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The Company is obligated to pay royalties and development and patent costs pursuant to an exclusive Amended and Restated Intellectual Property License Agreement dated September 30, 2016, with Syzygy Licensing, LLC (“Syzygy”), a company owned and controlled by a 5% stockholder of the Company, Mr. Elwood Norris, and a former officer of the Company, Mr. James Barnes. The agreement provides for royalty payments of 4% of revenue from products employing the licensed ensnarement device technology up to an aggregate of $1,000 in royalties or until September 30, 2026, whichever occurs earlier. During the years ended December 31, 2025 and 2024, the Company incurred royalties to Syzygy of $18 and $66, respectively.</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i/>
          <w:sz w:val="20"/>
        </w:rPr>
        <w:t>Series A Preferred Stock</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On June 29, 2023, the Company entered into the Series A Purchase Agreement with certain investors, including Scot Cohen, the Company’s Chief Executive Officer, and V4 Global LLC (“V4”). Mr. Cohen has voting and dispositive control with respect to the securities as is deemed to be the beneficial owner of the securities held by V4. Pursuant to the Series A Purchase Agreement, the Company issued Mr. Cohen and V4 an aggregate of 3,000 shares of Series A Preferred Stock and Series A Warrants to purchase up to an aggregate of 2,068,966 shares of Common Stock for aggregate gross proceeds of $3,000. For the year ended December 31, 2025, Mr. Cohen and  V4 earned dividends totalin</w:t>
      </w:r>
      <w:r>
        <w:rPr>
          <w:rFonts w:ascii="Times New Roman" w:hAnsi="Times New Roman"/>
          <w:sz w:val="20"/>
          <w:shd w:fill="FFFFFF" w:val="clear"/>
        </w:rPr>
        <w:t>g $330</w:t>
      </w:r>
      <w:r>
        <w:rPr>
          <w:rFonts w:ascii="Times New Roman" w:hAnsi="Times New Roman"/>
          <w:sz w:val="24"/>
          <w:shd w:fill="FFFFFF" w:val="clear"/>
        </w:rPr>
        <w:t> </w:t>
      </w:r>
      <w:r>
        <w:rPr>
          <w:rFonts w:ascii="Times New Roman" w:hAnsi="Times New Roman"/>
          <w:sz w:val="20"/>
          <w:shd w:fill="FFFFFF" w:val="clear"/>
        </w:rPr>
        <w:t>on</w:t>
      </w:r>
      <w:r>
        <w:rPr>
          <w:rFonts w:ascii="Times New Roman" w:hAnsi="Times New Roman"/>
          <w:sz w:val="20"/>
        </w:rPr>
        <w:t xml:space="preserve"> the Series A Preferred Stock.</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i/>
          <w:sz w:val="20"/>
        </w:rPr>
        <w:t>PIPE Financing</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On February 24, 2025, the Company entered into the PIPE Purchase Agreement with certain accredited including: V4, an entity controlled by Mr. Cohen, the Company’s Chief Executive Officer; Continuum Ventures, LLC (“Continuum”), an entity controlled by Jared Novick, the Company’s President and Chief Operating Officer; and Savbo Investments LLC (“Savbo”), an entity controlled by Marc Savas, a member of the Company’s Board, pursuant to which, the Company issued and sold in a private placement an aggregate of 3,216,666 shares of Common Stock and PIPE Warrants with an exercise price of $1.80 per share, to purchase up to 3,216,666 shares of Common Stock (the “Private Placement”). Pursuant to the PIPE Private Placement, the Company sold to (i) V4 1,100,000 shares of Common Stock and PIPE Warrants to purchase up to an aggregate of 1,100,000 shares of Common Stock, for aggregate gross proceeds of $1,980, (ii) Continuum an aggregate of 275,000 shares of Common stock and PIPE Warrants to purchase up to an aggregate of 275,000 shares of Common Stock for aggregate gross proceeds of $495 and (iii) Savbo an aggregate of 50,000 shares of Common stock and PIPE Warrants to purchase up to an aggregate of 50,000 shares of Common Stock for aggregate gross proceeds of $90.</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On August 18, 2025, the Company entered into the Series B Purchase Agreement with the Series B Purchasers, including V4, pursuant to which, the Company issued and sold in a private placement an aggregate of (i) 4,500 shares of the Company’s Series B Preferred Stock initially convertible into up to 3,000,000 shares of Common Stock, at an initial conversion price of $1.50 per share, and (ii) accompanying Series B Warrants to purchase up to 3,000,000 shares of Common Stock, with an initial exercise price of $1.50 per share. Pursuant to the Series B Private Placement, the Company sold to V4 1,000 shares of Series B Preferred Stock and 666,667 Series B Warrants for aggregate gross proceeds of $1,000.</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shd w:fill="FFFFFF" w:val="clear"/>
        </w:rPr>
        <w:t>See Note 8 for additional information on related party transactions and obligations.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F-27</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ind w:left="10" w:right="0" w:hanging="0"/>
        <w:jc w:val="left"/>
        <w:rPr>
          <w:rFonts w:ascii="Times New Roman" w:hAnsi="Times New Roman"/>
          <w:b/>
          <w:color w:val="000000"/>
          <w:sz w:val="20"/>
        </w:rPr>
      </w:pPr>
      <w:r>
        <w:rPr>
          <w:rFonts w:ascii="Times New Roman" w:hAnsi="Times New Roman"/>
          <w:b/>
          <w:color w:val="000000"/>
          <w:sz w:val="20"/>
        </w:rPr>
        <w:t>17. INCOME TAXES</w:t>
      </w:r>
    </w:p>
    <w:p>
      <w:pPr>
        <w:pStyle w:val="TextBody"/>
        <w:bidi w:val="0"/>
        <w:spacing w:before="0" w:after="0"/>
        <w:ind w:left="10" w:right="0" w:hanging="0"/>
        <w:jc w:val="left"/>
        <w:rPr/>
      </w:pPr>
      <w:r>
        <w:rPr/>
        <w:t> </w:t>
      </w:r>
    </w:p>
    <w:p>
      <w:pPr>
        <w:pStyle w:val="TextBody"/>
        <w:bidi w:val="0"/>
        <w:spacing w:lineRule="auto" w:line="276" w:before="0" w:after="160"/>
        <w:ind w:left="0"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Until its reverse recapitalization on March 31, 2017, the Company was treated as a partnership for federal and state income tax purposes and did not incur income taxes. The Company accounts for income taxes under ASC 740. Deferred income tax assets and liabilities are determined based upon differences between the financial reporting and tax bases of assets and liabilities and are measured using the enacted tax rates and laws that will be in effect when the differences are expected to reverse. Accounting standards require the consideration of a valuation allowance for deferred tax assets if it is "more likely than not" that some component or all of the benefits of deferred tax assets will not be realized.</w:t>
      </w:r>
    </w:p>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0"/>
        </w:rPr>
        <w:t>The following table summarizes income (loss) before income taxes:</w:t>
      </w:r>
      <w:r>
        <w:rPr>
          <w:rFonts w:ascii="Times New Roman" w:hAnsi="Times New Roman"/>
          <w:sz w:val="24"/>
        </w:rPr>
        <w:t xml:space="preserve"> </w:t>
      </w:r>
    </w:p>
    <w:p>
      <w:pPr>
        <w:pStyle w:val="TextBody"/>
        <w:bidi w:val="0"/>
        <w:spacing w:before="0" w:after="0"/>
        <w:jc w:val="left"/>
        <w:rPr/>
      </w:pPr>
      <w:r>
        <w:rPr/>
        <w:t> </w:t>
      </w:r>
    </w:p>
    <w:tbl>
      <w:tblPr>
        <w:tblW w:w="3440" w:type="dxa"/>
        <w:jc w:val="left"/>
        <w:tblInd w:w="0" w:type="dxa"/>
        <w:tblLayout w:type="fixed"/>
        <w:tblCellMar>
          <w:top w:w="0" w:type="dxa"/>
          <w:left w:w="0" w:type="dxa"/>
          <w:bottom w:w="0" w:type="dxa"/>
          <w:right w:w="0" w:type="dxa"/>
        </w:tblCellMar>
      </w:tblPr>
      <w:tblGrid>
        <w:gridCol w:w="965"/>
        <w:gridCol w:w="90"/>
        <w:gridCol w:w="170"/>
        <w:gridCol w:w="1985"/>
        <w:gridCol w:w="230"/>
      </w:tblGrid>
      <w:tr>
        <w:trPr/>
        <w:tc>
          <w:tcPr>
            <w:tcW w:w="96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b/>
              </w:rPr>
            </w:pPr>
            <w:r>
              <w:rPr>
                <w:b/>
              </w:rPr>
              <w:t>Year Ended</w:t>
            </w:r>
          </w:p>
        </w:tc>
        <w:tc>
          <w:tcPr>
            <w:tcW w:w="230" w:type="dxa"/>
            <w:tcBorders/>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985" w:type="dxa"/>
            <w:tcBorders>
              <w:bottom w:val="single" w:sz="2" w:space="0" w:color="000000"/>
            </w:tcBorders>
            <w:tcMar>
              <w:bottom w:w="28" w:type="dxa"/>
            </w:tcMar>
            <w:vAlign w:val="center"/>
          </w:tcPr>
          <w:p>
            <w:pPr>
              <w:pStyle w:val="TableContents"/>
              <w:bidi w:val="0"/>
              <w:spacing w:before="0" w:after="283"/>
              <w:jc w:val="center"/>
              <w:rPr>
                <w:b/>
              </w:rPr>
            </w:pPr>
            <w:r>
              <w:rPr>
                <w:b/>
              </w:rPr>
              <w:t>December 31, 2025</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283"/>
              <w:jc w:val="left"/>
              <w:rPr/>
            </w:pPr>
            <w:r>
              <w:rPr/>
              <w:t>Domestic</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85" w:type="dxa"/>
            <w:tcBorders/>
            <w:shd w:fill="CCEEFF" w:val="clear"/>
            <w:vAlign w:val="center"/>
          </w:tcPr>
          <w:p>
            <w:pPr>
              <w:pStyle w:val="TableContents"/>
              <w:bidi w:val="0"/>
              <w:spacing w:before="0" w:after="283"/>
              <w:jc w:val="right"/>
              <w:rPr/>
            </w:pPr>
            <w:r>
              <w:rPr/>
              <w:t>(10,335</w:t>
            </w:r>
          </w:p>
        </w:tc>
        <w:tc>
          <w:tcPr>
            <w:tcW w:w="230" w:type="dxa"/>
            <w:tcBorders/>
            <w:shd w:fill="CCEEFF" w:val="clear"/>
            <w:vAlign w:val="center"/>
          </w:tcPr>
          <w:p>
            <w:pPr>
              <w:pStyle w:val="TableContents"/>
              <w:bidi w:val="0"/>
              <w:spacing w:before="0" w:after="283"/>
              <w:jc w:val="left"/>
              <w:rPr/>
            </w:pPr>
            <w:r>
              <w:rPr/>
              <w:t>) </w:t>
            </w:r>
          </w:p>
        </w:tc>
      </w:tr>
      <w:tr>
        <w:trPr/>
        <w:tc>
          <w:tcPr>
            <w:tcW w:w="965" w:type="dxa"/>
            <w:tcBorders/>
            <w:vAlign w:val="center"/>
          </w:tcPr>
          <w:p>
            <w:pPr>
              <w:pStyle w:val="TableContents"/>
              <w:bidi w:val="0"/>
              <w:spacing w:before="0" w:after="283"/>
              <w:jc w:val="left"/>
              <w:rPr/>
            </w:pPr>
            <w:r>
              <w:rPr/>
              <w:t>Foreign</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985" w:type="dxa"/>
            <w:tcBorders>
              <w:bottom w:val="single" w:sz="2" w:space="0" w:color="000000"/>
            </w:tcBorders>
            <w:tcMar>
              <w:bottom w:w="28" w:type="dxa"/>
            </w:tcMar>
            <w:vAlign w:val="center"/>
          </w:tcPr>
          <w:p>
            <w:pPr>
              <w:pStyle w:val="TableContents"/>
              <w:bidi w:val="0"/>
              <w:spacing w:before="0" w:after="283"/>
              <w:jc w:val="right"/>
              <w:rPr/>
            </w:pPr>
            <w:r>
              <w:rPr/>
              <w:t>-</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965" w:type="dxa"/>
            <w:tcBorders/>
            <w:shd w:fill="CCEEFF" w:val="clear"/>
            <w:vAlign w:val="center"/>
          </w:tcPr>
          <w:p>
            <w:pPr>
              <w:pStyle w:val="TableContents"/>
              <w:bidi w:val="0"/>
              <w:spacing w:before="0" w:after="283"/>
              <w:jc w:val="left"/>
              <w:rPr/>
            </w:pPr>
            <w:r>
              <w:rPr/>
              <w:t>Total</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985" w:type="dxa"/>
            <w:tcBorders>
              <w:bottom w:val="double" w:sz="6" w:space="0" w:color="000000"/>
            </w:tcBorders>
            <w:shd w:fill="CCEEFF" w:val="clear"/>
            <w:tcMar>
              <w:bottom w:w="28" w:type="dxa"/>
            </w:tcMar>
            <w:vAlign w:val="center"/>
          </w:tcPr>
          <w:p>
            <w:pPr>
              <w:pStyle w:val="TableContents"/>
              <w:bidi w:val="0"/>
              <w:spacing w:before="0" w:after="283"/>
              <w:jc w:val="right"/>
              <w:rPr/>
            </w:pPr>
            <w:r>
              <w:rPr/>
              <w:t>(10,335</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0"/>
        </w:rPr>
        <w:t>The Company's income tax expense (benefit) is as follows:</w:t>
      </w:r>
      <w:r>
        <w:rPr>
          <w:rFonts w:ascii="Times New Roman" w:hAnsi="Times New Roman"/>
          <w:sz w:val="24"/>
        </w:rPr>
        <w:t xml:space="preserve"> </w:t>
      </w:r>
    </w:p>
    <w:p>
      <w:pPr>
        <w:pStyle w:val="TextBody"/>
        <w:bidi w:val="0"/>
        <w:spacing w:before="0" w:after="0"/>
        <w:jc w:val="left"/>
        <w:rPr/>
      </w:pPr>
      <w:r>
        <w:rPr/>
        <w:t> </w:t>
      </w:r>
    </w:p>
    <w:tbl>
      <w:tblPr>
        <w:tblW w:w="6060" w:type="dxa"/>
        <w:jc w:val="left"/>
        <w:tblInd w:w="0" w:type="dxa"/>
        <w:tblLayout w:type="fixed"/>
        <w:tblCellMar>
          <w:top w:w="0" w:type="dxa"/>
          <w:left w:w="0" w:type="dxa"/>
          <w:bottom w:w="0" w:type="dxa"/>
          <w:right w:w="0" w:type="dxa"/>
        </w:tblCellMar>
      </w:tblPr>
      <w:tblGrid>
        <w:gridCol w:w="3680"/>
        <w:gridCol w:w="90"/>
        <w:gridCol w:w="170"/>
        <w:gridCol w:w="1985"/>
        <w:gridCol w:w="135"/>
      </w:tblGrid>
      <w:tr>
        <w:trPr/>
        <w:tc>
          <w:tcPr>
            <w:tcW w:w="368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36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b/>
              </w:rPr>
            </w:pPr>
            <w:r>
              <w:rPr>
                <w:b/>
              </w:rPr>
              <w:t>Year Ended</w:t>
            </w:r>
          </w:p>
        </w:tc>
        <w:tc>
          <w:tcPr>
            <w:tcW w:w="13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985" w:type="dxa"/>
            <w:tcBorders>
              <w:bottom w:val="single" w:sz="2" w:space="0" w:color="000000"/>
            </w:tcBorders>
            <w:tcMar>
              <w:bottom w:w="28" w:type="dxa"/>
            </w:tcMar>
            <w:vAlign w:val="center"/>
          </w:tcPr>
          <w:p>
            <w:pPr>
              <w:pStyle w:val="TableContents"/>
              <w:bidi w:val="0"/>
              <w:spacing w:before="0" w:after="283"/>
              <w:jc w:val="center"/>
              <w:rPr>
                <w:b/>
              </w:rPr>
            </w:pPr>
            <w:r>
              <w:rPr>
                <w:b/>
              </w:rPr>
              <w:t>December 31, 2025</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U.S. Federal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85"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State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Foreign</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Current income tax expense (benefit)</w:t>
            </w:r>
          </w:p>
        </w:tc>
        <w:tc>
          <w:tcPr>
            <w:tcW w:w="90" w:type="dxa"/>
            <w:tcBorders/>
            <w:vAlign w:val="center"/>
          </w:tcPr>
          <w:p>
            <w:pPr>
              <w:pStyle w:val="TableContents"/>
              <w:bidi w:val="0"/>
              <w:spacing w:before="0" w:after="283"/>
              <w:jc w:val="left"/>
              <w:rPr/>
            </w:pPr>
            <w:r>
              <w:rPr/>
              <w:t> </w:t>
            </w:r>
          </w:p>
        </w:tc>
        <w:tc>
          <w:tcPr>
            <w:tcW w:w="17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198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right"/>
              <w:rPr/>
            </w:pPr>
            <w:r>
              <w:rPr/>
              <w:t>-</w:t>
            </w:r>
          </w:p>
        </w:tc>
        <w:tc>
          <w:tcPr>
            <w:tcW w:w="135"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U.S. Federal</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State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Foreign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8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Deferred income tax expense (benefit)</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985" w:type="dxa"/>
            <w:tcBorders>
              <w:bottom w:val="single" w:sz="2" w:space="0" w:color="000000"/>
            </w:tcBorders>
            <w:tcMar>
              <w:bottom w:w="28" w:type="dxa"/>
            </w:tcMar>
            <w:vAlign w:val="center"/>
          </w:tcPr>
          <w:p>
            <w:pPr>
              <w:pStyle w:val="TableContents"/>
              <w:bidi w:val="0"/>
              <w:spacing w:before="0" w:after="283"/>
              <w:jc w:val="right"/>
              <w:rPr/>
            </w:pPr>
            <w:r>
              <w:rPr/>
              <w:t>-</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Total income tax expense (benefit)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98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The Company's effective tax rate for the years ended December 31, 2025 was 0%. For the year ended December 31, 2025, the primary drivers of the variance from the statutory rate were fair value adjustments, state taxes, and valuation allowance.</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F-28</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The following is a reconciliation from the Company's statutory rate to the effective tax rate reported in the financial statements:</w:t>
      </w:r>
    </w:p>
    <w:p>
      <w:pPr>
        <w:pStyle w:val="TextBody"/>
        <w:bidi w:val="0"/>
        <w:spacing w:before="0" w:after="0"/>
        <w:jc w:val="left"/>
        <w:rPr/>
      </w:pPr>
      <w:r>
        <w:rPr/>
        <w:t> </w:t>
      </w:r>
    </w:p>
    <w:tbl>
      <w:tblPr>
        <w:tblW w:w="7740" w:type="dxa"/>
        <w:jc w:val="left"/>
        <w:tblInd w:w="0" w:type="dxa"/>
        <w:tblLayout w:type="fixed"/>
        <w:tblCellMar>
          <w:top w:w="0" w:type="dxa"/>
          <w:left w:w="0" w:type="dxa"/>
          <w:bottom w:w="0" w:type="dxa"/>
          <w:right w:w="0" w:type="dxa"/>
        </w:tblCellMar>
      </w:tblPr>
      <w:tblGrid>
        <w:gridCol w:w="5540"/>
        <w:gridCol w:w="90"/>
        <w:gridCol w:w="170"/>
        <w:gridCol w:w="665"/>
        <w:gridCol w:w="185"/>
        <w:gridCol w:w="90"/>
        <w:gridCol w:w="90"/>
        <w:gridCol w:w="545"/>
        <w:gridCol w:w="365"/>
      </w:tblGrid>
      <w:tr>
        <w:trPr/>
        <w:tc>
          <w:tcPr>
            <w:tcW w:w="554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55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0" w:type="dxa"/>
            <w:gridSpan w:val="7"/>
            <w:tcBorders/>
            <w:vAlign w:val="center"/>
          </w:tcPr>
          <w:p>
            <w:pPr>
              <w:pStyle w:val="TableContents"/>
              <w:bidi w:val="0"/>
              <w:spacing w:before="0" w:after="283"/>
              <w:jc w:val="center"/>
              <w:rPr>
                <w:b/>
              </w:rPr>
            </w:pPr>
            <w:r>
              <w:rPr>
                <w:b/>
              </w:rPr>
              <w:t>Year Ended</w:t>
            </w:r>
          </w:p>
        </w:tc>
      </w:tr>
      <w:tr>
        <w:trPr/>
        <w:tc>
          <w:tcPr>
            <w:tcW w:w="55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10" w:type="dxa"/>
            <w:gridSpan w:val="7"/>
            <w:tcBorders>
              <w:bottom w:val="single" w:sz="2" w:space="0" w:color="000000"/>
            </w:tcBorders>
            <w:tcMar>
              <w:bottom w:w="28" w:type="dxa"/>
            </w:tcMar>
            <w:vAlign w:val="center"/>
          </w:tcPr>
          <w:p>
            <w:pPr>
              <w:pStyle w:val="TableContents"/>
              <w:bidi w:val="0"/>
              <w:spacing w:before="0" w:after="283"/>
              <w:jc w:val="center"/>
              <w:rPr>
                <w:b/>
              </w:rPr>
            </w:pPr>
            <w:r>
              <w:rPr>
                <w:b/>
              </w:rPr>
              <w:t>December 31, 2025</w:t>
            </w:r>
          </w:p>
        </w:tc>
      </w:tr>
      <w:tr>
        <w:trPr/>
        <w:tc>
          <w:tcPr>
            <w:tcW w:w="55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r>
      <w:tr>
        <w:trPr/>
        <w:tc>
          <w:tcPr>
            <w:tcW w:w="5540" w:type="dxa"/>
            <w:tcBorders/>
            <w:shd w:fill="CCEEFF" w:val="clear"/>
            <w:vAlign w:val="center"/>
          </w:tcPr>
          <w:p>
            <w:pPr>
              <w:pStyle w:val="TableContents"/>
              <w:bidi w:val="0"/>
              <w:spacing w:before="0" w:after="283"/>
              <w:jc w:val="left"/>
              <w:rPr/>
            </w:pPr>
            <w:r>
              <w:rPr/>
              <w:t>Statutory Federal Income Tax Rate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(2,170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21.0</w:t>
            </w:r>
          </w:p>
        </w:tc>
        <w:tc>
          <w:tcPr>
            <w:tcW w:w="365" w:type="dxa"/>
            <w:tcBorders/>
            <w:shd w:fill="CCEEFF" w:val="clear"/>
            <w:vAlign w:val="center"/>
          </w:tcPr>
          <w:p>
            <w:pPr>
              <w:pStyle w:val="TableContents"/>
              <w:bidi w:val="0"/>
              <w:spacing w:before="0" w:after="283"/>
              <w:jc w:val="left"/>
              <w:rPr/>
            </w:pPr>
            <w:r>
              <w:rPr/>
              <w:t>%</w:t>
            </w:r>
          </w:p>
        </w:tc>
      </w:tr>
      <w:tr>
        <w:trPr/>
        <w:tc>
          <w:tcPr>
            <w:tcW w:w="5540" w:type="dxa"/>
            <w:tcBorders/>
            <w:vAlign w:val="center"/>
          </w:tcPr>
          <w:p>
            <w:pPr>
              <w:pStyle w:val="TableContents"/>
              <w:bidi w:val="0"/>
              <w:spacing w:before="0" w:after="283"/>
              <w:jc w:val="left"/>
              <w:rPr/>
            </w:pPr>
            <w:r>
              <w:rPr/>
              <w:t>State and local income taxes, net of federal benefit of state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(978</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9.5</w:t>
            </w:r>
          </w:p>
        </w:tc>
        <w:tc>
          <w:tcPr>
            <w:tcW w:w="365" w:type="dxa"/>
            <w:tcBorders/>
            <w:vAlign w:val="center"/>
          </w:tcPr>
          <w:p>
            <w:pPr>
              <w:pStyle w:val="TableContents"/>
              <w:bidi w:val="0"/>
              <w:spacing w:before="0" w:after="283"/>
              <w:jc w:val="left"/>
              <w:rPr/>
            </w:pPr>
            <w:r>
              <w:rPr/>
              <w:t>%</w:t>
            </w:r>
          </w:p>
        </w:tc>
      </w:tr>
      <w:tr>
        <w:trPr/>
        <w:tc>
          <w:tcPr>
            <w:tcW w:w="5540" w:type="dxa"/>
            <w:tcBorders/>
            <w:shd w:fill="CCEEFF" w:val="clear"/>
            <w:vAlign w:val="center"/>
          </w:tcPr>
          <w:p>
            <w:pPr>
              <w:pStyle w:val="TableContents"/>
              <w:bidi w:val="0"/>
              <w:spacing w:before="0" w:after="283"/>
              <w:jc w:val="left"/>
              <w:rPr/>
            </w:pPr>
            <w:r>
              <w:rPr/>
              <w:t>Foreign Tax Effects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0.0</w:t>
            </w:r>
          </w:p>
        </w:tc>
        <w:tc>
          <w:tcPr>
            <w:tcW w:w="365" w:type="dxa"/>
            <w:tcBorders/>
            <w:shd w:fill="CCEEFF" w:val="clear"/>
            <w:vAlign w:val="center"/>
          </w:tcPr>
          <w:p>
            <w:pPr>
              <w:pStyle w:val="TableContents"/>
              <w:bidi w:val="0"/>
              <w:spacing w:before="0" w:after="283"/>
              <w:jc w:val="left"/>
              <w:rPr/>
            </w:pPr>
            <w:r>
              <w:rPr/>
              <w:t>%</w:t>
            </w:r>
          </w:p>
        </w:tc>
      </w:tr>
      <w:tr>
        <w:trPr/>
        <w:tc>
          <w:tcPr>
            <w:tcW w:w="5540" w:type="dxa"/>
            <w:tcBorders/>
            <w:vAlign w:val="center"/>
          </w:tcPr>
          <w:p>
            <w:pPr>
              <w:pStyle w:val="TableContents"/>
              <w:bidi w:val="0"/>
              <w:spacing w:before="0" w:after="283"/>
              <w:jc w:val="left"/>
              <w:rPr/>
            </w:pPr>
            <w:r>
              <w:rPr/>
              <w:t>Federal Law Changes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0.0</w:t>
            </w:r>
          </w:p>
        </w:tc>
        <w:tc>
          <w:tcPr>
            <w:tcW w:w="365" w:type="dxa"/>
            <w:tcBorders/>
            <w:vAlign w:val="center"/>
          </w:tcPr>
          <w:p>
            <w:pPr>
              <w:pStyle w:val="TableContents"/>
              <w:bidi w:val="0"/>
              <w:spacing w:before="0" w:after="283"/>
              <w:jc w:val="left"/>
              <w:rPr/>
            </w:pPr>
            <w:r>
              <w:rPr/>
              <w:t>%</w:t>
            </w:r>
          </w:p>
        </w:tc>
      </w:tr>
      <w:tr>
        <w:trPr/>
        <w:tc>
          <w:tcPr>
            <w:tcW w:w="5540" w:type="dxa"/>
            <w:tcBorders/>
            <w:shd w:fill="CCEEFF" w:val="clear"/>
            <w:vAlign w:val="center"/>
          </w:tcPr>
          <w:p>
            <w:pPr>
              <w:pStyle w:val="TableContents"/>
              <w:bidi w:val="0"/>
              <w:spacing w:before="0" w:after="283"/>
              <w:jc w:val="left"/>
              <w:rPr/>
            </w:pPr>
            <w:r>
              <w:rPr/>
              <w:t>Total Effect of Cross-Border Tax Laws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0.0</w:t>
            </w:r>
          </w:p>
        </w:tc>
        <w:tc>
          <w:tcPr>
            <w:tcW w:w="365" w:type="dxa"/>
            <w:tcBorders/>
            <w:shd w:fill="CCEEFF" w:val="clear"/>
            <w:vAlign w:val="center"/>
          </w:tcPr>
          <w:p>
            <w:pPr>
              <w:pStyle w:val="TableContents"/>
              <w:bidi w:val="0"/>
              <w:spacing w:before="0" w:after="283"/>
              <w:jc w:val="left"/>
              <w:rPr/>
            </w:pPr>
            <w:r>
              <w:rPr/>
              <w:t>%</w:t>
            </w:r>
          </w:p>
        </w:tc>
      </w:tr>
      <w:tr>
        <w:trPr/>
        <w:tc>
          <w:tcPr>
            <w:tcW w:w="5540" w:type="dxa"/>
            <w:tcBorders/>
            <w:vAlign w:val="center"/>
          </w:tcPr>
          <w:p>
            <w:pPr>
              <w:pStyle w:val="TableContents"/>
              <w:bidi w:val="0"/>
              <w:spacing w:before="0" w:after="283"/>
              <w:jc w:val="left"/>
              <w:rPr/>
            </w:pPr>
            <w:r>
              <w:rPr/>
              <w:t>Tax Credits (Federal)</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0.0</w:t>
            </w:r>
          </w:p>
        </w:tc>
        <w:tc>
          <w:tcPr>
            <w:tcW w:w="365" w:type="dxa"/>
            <w:tcBorders/>
            <w:vAlign w:val="center"/>
          </w:tcPr>
          <w:p>
            <w:pPr>
              <w:pStyle w:val="TableContents"/>
              <w:bidi w:val="0"/>
              <w:spacing w:before="0" w:after="283"/>
              <w:jc w:val="left"/>
              <w:rPr/>
            </w:pPr>
            <w:r>
              <w:rPr/>
              <w:t>%</w:t>
            </w:r>
          </w:p>
        </w:tc>
      </w:tr>
      <w:tr>
        <w:trPr/>
        <w:tc>
          <w:tcPr>
            <w:tcW w:w="5540" w:type="dxa"/>
            <w:tcBorders/>
            <w:shd w:fill="CCEEFF" w:val="clear"/>
            <w:vAlign w:val="center"/>
          </w:tcPr>
          <w:p>
            <w:pPr>
              <w:pStyle w:val="TableContents"/>
              <w:bidi w:val="0"/>
              <w:spacing w:before="0" w:after="283"/>
              <w:jc w:val="left"/>
              <w:rPr/>
            </w:pPr>
            <w:r>
              <w:rPr/>
              <w:t>Valuation Allowance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3,440</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(33.3</w:t>
            </w:r>
          </w:p>
        </w:tc>
        <w:tc>
          <w:tcPr>
            <w:tcW w:w="365" w:type="dxa"/>
            <w:tcBorders/>
            <w:shd w:fill="CCEEFF" w:val="clear"/>
            <w:vAlign w:val="center"/>
          </w:tcPr>
          <w:p>
            <w:pPr>
              <w:pStyle w:val="TableContents"/>
              <w:bidi w:val="0"/>
              <w:spacing w:before="0" w:after="283"/>
              <w:jc w:val="left"/>
              <w:rPr/>
            </w:pPr>
            <w:r>
              <w:rPr/>
              <w:t>)%</w:t>
            </w:r>
          </w:p>
        </w:tc>
      </w:tr>
      <w:tr>
        <w:trPr/>
        <w:tc>
          <w:tcPr>
            <w:tcW w:w="5540" w:type="dxa"/>
            <w:tcBorders/>
            <w:vAlign w:val="center"/>
          </w:tcPr>
          <w:p>
            <w:pPr>
              <w:pStyle w:val="TableContents"/>
              <w:bidi w:val="0"/>
              <w:spacing w:before="0" w:after="283"/>
              <w:jc w:val="left"/>
              <w:rPr/>
            </w:pPr>
            <w:r>
              <w:rPr/>
              <w:t>Non-Deductible or Non-Taxable Items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(584</w:t>
            </w:r>
          </w:p>
        </w:tc>
        <w:tc>
          <w:tcPr>
            <w:tcW w:w="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right"/>
              <w:rPr/>
            </w:pPr>
            <w:r>
              <w:rPr/>
              <w:t>5.7</w:t>
            </w:r>
          </w:p>
        </w:tc>
        <w:tc>
          <w:tcPr>
            <w:tcW w:w="365" w:type="dxa"/>
            <w:tcBorders/>
            <w:vAlign w:val="center"/>
          </w:tcPr>
          <w:p>
            <w:pPr>
              <w:pStyle w:val="TableContents"/>
              <w:bidi w:val="0"/>
              <w:spacing w:before="0" w:after="283"/>
              <w:jc w:val="left"/>
              <w:rPr/>
            </w:pPr>
            <w:r>
              <w:rPr/>
              <w:t>%</w:t>
            </w:r>
          </w:p>
        </w:tc>
      </w:tr>
      <w:tr>
        <w:trPr/>
        <w:tc>
          <w:tcPr>
            <w:tcW w:w="5540" w:type="dxa"/>
            <w:tcBorders/>
            <w:shd w:fill="CCEEFF" w:val="clear"/>
            <w:vAlign w:val="center"/>
          </w:tcPr>
          <w:p>
            <w:pPr>
              <w:pStyle w:val="TableContents"/>
              <w:bidi w:val="0"/>
              <w:spacing w:before="0" w:after="283"/>
              <w:jc w:val="left"/>
              <w:rPr/>
            </w:pPr>
            <w:r>
              <w:rPr/>
              <w:t>Unrecognized Tax Benefits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right"/>
              <w:rPr/>
            </w:pPr>
            <w:r>
              <w:rPr/>
              <w:t>0.0</w:t>
            </w:r>
          </w:p>
        </w:tc>
        <w:tc>
          <w:tcPr>
            <w:tcW w:w="365" w:type="dxa"/>
            <w:tcBorders/>
            <w:shd w:fill="CCEEFF" w:val="clear"/>
            <w:vAlign w:val="center"/>
          </w:tcPr>
          <w:p>
            <w:pPr>
              <w:pStyle w:val="TableContents"/>
              <w:bidi w:val="0"/>
              <w:spacing w:before="0" w:after="283"/>
              <w:jc w:val="left"/>
              <w:rPr/>
            </w:pPr>
            <w:r>
              <w:rPr/>
              <w:t>%</w:t>
            </w:r>
          </w:p>
        </w:tc>
      </w:tr>
      <w:tr>
        <w:trPr/>
        <w:tc>
          <w:tcPr>
            <w:tcW w:w="5540" w:type="dxa"/>
            <w:tcBorders/>
            <w:vAlign w:val="center"/>
          </w:tcPr>
          <w:p>
            <w:pPr>
              <w:pStyle w:val="TableContents"/>
              <w:bidi w:val="0"/>
              <w:spacing w:before="0" w:after="283"/>
              <w:jc w:val="left"/>
              <w:rPr/>
            </w:pPr>
            <w:r>
              <w:rPr/>
              <w:t>Other Adjustments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665" w:type="dxa"/>
            <w:tcBorders>
              <w:bottom w:val="single" w:sz="2" w:space="0" w:color="000000"/>
            </w:tcBorders>
            <w:tcMar>
              <w:bottom w:w="28" w:type="dxa"/>
            </w:tcMar>
            <w:vAlign w:val="center"/>
          </w:tcPr>
          <w:p>
            <w:pPr>
              <w:pStyle w:val="TableContents"/>
              <w:bidi w:val="0"/>
              <w:spacing w:before="0" w:after="283"/>
              <w:jc w:val="right"/>
              <w:rPr/>
            </w:pPr>
            <w:r>
              <w:rPr/>
              <w:t>292</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545" w:type="dxa"/>
            <w:tcBorders>
              <w:bottom w:val="single" w:sz="2" w:space="0" w:color="000000"/>
            </w:tcBorders>
            <w:tcMar>
              <w:bottom w:w="28" w:type="dxa"/>
            </w:tcMar>
            <w:vAlign w:val="center"/>
          </w:tcPr>
          <w:p>
            <w:pPr>
              <w:pStyle w:val="TableContents"/>
              <w:bidi w:val="0"/>
              <w:spacing w:before="0" w:after="283"/>
              <w:jc w:val="right"/>
              <w:rPr/>
            </w:pPr>
            <w:r>
              <w:rPr/>
              <w:t>(2.9</w:t>
            </w:r>
          </w:p>
        </w:tc>
        <w:tc>
          <w:tcPr>
            <w:tcW w:w="365" w:type="dxa"/>
            <w:tcBorders>
              <w:bottom w:val="single" w:sz="2" w:space="0" w:color="000000"/>
            </w:tcBorders>
            <w:tcMar>
              <w:bottom w:w="28" w:type="dxa"/>
            </w:tcMar>
            <w:vAlign w:val="center"/>
          </w:tcPr>
          <w:p>
            <w:pPr>
              <w:pStyle w:val="TableContents"/>
              <w:bidi w:val="0"/>
              <w:spacing w:before="0" w:after="283"/>
              <w:jc w:val="left"/>
              <w:rPr/>
            </w:pPr>
            <w:r>
              <w:rPr/>
              <w:t>)%</w:t>
            </w:r>
          </w:p>
        </w:tc>
      </w:tr>
      <w:tr>
        <w:trPr/>
        <w:tc>
          <w:tcPr>
            <w:tcW w:w="5540" w:type="dxa"/>
            <w:tcBorders/>
            <w:shd w:fill="CCEEFF" w:val="clear"/>
            <w:vAlign w:val="center"/>
          </w:tcPr>
          <w:p>
            <w:pPr>
              <w:pStyle w:val="TableContents"/>
              <w:bidi w:val="0"/>
              <w:spacing w:before="0" w:after="283"/>
              <w:jc w:val="left"/>
              <w:rPr/>
            </w:pPr>
            <w:r>
              <w:rPr/>
              <w:t>Effective Income Tax Rate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545" w:type="dxa"/>
            <w:tcBorders>
              <w:bottom w:val="double" w:sz="6" w:space="0" w:color="000000"/>
            </w:tcBorders>
            <w:shd w:fill="CCEEFF" w:val="clear"/>
            <w:tcMar>
              <w:bottom w:w="28" w:type="dxa"/>
            </w:tcMar>
            <w:vAlign w:val="center"/>
          </w:tcPr>
          <w:p>
            <w:pPr>
              <w:pStyle w:val="TableContents"/>
              <w:bidi w:val="0"/>
              <w:spacing w:before="0" w:after="283"/>
              <w:jc w:val="right"/>
              <w:rPr/>
            </w:pPr>
            <w:r>
              <w:rPr/>
              <w:t>0.0</w:t>
            </w:r>
          </w:p>
        </w:tc>
        <w:tc>
          <w:tcPr>
            <w:tcW w:w="3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0"/>
        </w:rPr>
        <w:t>The tax effect of temporary differences between the financial statement carrying amounts of existing assets and liabilities and their respective tax bases that give rise to deferred tax assets and liabilities is as follows:</w:t>
      </w:r>
      <w:r>
        <w:rPr>
          <w:rFonts w:ascii="Times New Roman" w:hAnsi="Times New Roman"/>
          <w:sz w:val="24"/>
        </w:rPr>
        <w:t xml:space="preserve"> </w:t>
      </w:r>
    </w:p>
    <w:p>
      <w:pPr>
        <w:pStyle w:val="TextBody"/>
        <w:bidi w:val="0"/>
        <w:spacing w:before="0" w:after="0"/>
        <w:jc w:val="left"/>
        <w:rPr/>
      </w:pPr>
      <w:r>
        <w:rPr/>
        <w:t> </w:t>
      </w:r>
    </w:p>
    <w:tbl>
      <w:tblPr>
        <w:tblW w:w="5870" w:type="dxa"/>
        <w:jc w:val="left"/>
        <w:tblInd w:w="0" w:type="dxa"/>
        <w:tblLayout w:type="fixed"/>
        <w:tblCellMar>
          <w:top w:w="0" w:type="dxa"/>
          <w:left w:w="0" w:type="dxa"/>
          <w:bottom w:w="0" w:type="dxa"/>
          <w:right w:w="0" w:type="dxa"/>
        </w:tblCellMar>
      </w:tblPr>
      <w:tblGrid>
        <w:gridCol w:w="3395"/>
        <w:gridCol w:w="90"/>
        <w:gridCol w:w="170"/>
        <w:gridCol w:w="1985"/>
        <w:gridCol w:w="230"/>
      </w:tblGrid>
      <w:tr>
        <w:trPr/>
        <w:tc>
          <w:tcPr>
            <w:tcW w:w="3395"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b/>
              </w:rPr>
            </w:pPr>
            <w:r>
              <w:rPr>
                <w:b/>
              </w:rPr>
              <w:t>Year Ended</w:t>
            </w:r>
          </w:p>
        </w:tc>
        <w:tc>
          <w:tcPr>
            <w:tcW w:w="230"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985" w:type="dxa"/>
            <w:tcBorders>
              <w:bottom w:val="single" w:sz="2" w:space="0" w:color="000000"/>
            </w:tcBorders>
            <w:tcMar>
              <w:bottom w:w="28" w:type="dxa"/>
            </w:tcMar>
            <w:vAlign w:val="center"/>
          </w:tcPr>
          <w:p>
            <w:pPr>
              <w:pStyle w:val="TableContents"/>
              <w:bidi w:val="0"/>
              <w:spacing w:before="0" w:after="283"/>
              <w:jc w:val="center"/>
              <w:rPr>
                <w:b/>
              </w:rPr>
            </w:pPr>
            <w:r>
              <w:rPr>
                <w:b/>
              </w:rPr>
              <w:t>December 31, 2025</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Capitalized Sec. 174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85" w:type="dxa"/>
            <w:tcBorders/>
            <w:shd w:fill="CCEEFF" w:val="clear"/>
            <w:vAlign w:val="center"/>
          </w:tcPr>
          <w:p>
            <w:pPr>
              <w:pStyle w:val="TableContents"/>
              <w:bidi w:val="0"/>
              <w:spacing w:before="0" w:after="283"/>
              <w:jc w:val="right"/>
              <w:rPr/>
            </w:pPr>
            <w:r>
              <w:rPr/>
              <w:t>1,137</w:t>
            </w:r>
          </w:p>
        </w:tc>
        <w:tc>
          <w:tcPr>
            <w:tcW w:w="230"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Stock-based compensation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2,631</w:t>
            </w:r>
          </w:p>
        </w:tc>
        <w:tc>
          <w:tcPr>
            <w:tcW w:w="230"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Tax credits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81</w:t>
            </w:r>
          </w:p>
        </w:tc>
        <w:tc>
          <w:tcPr>
            <w:tcW w:w="230"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Net operating losses - U.S.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22,195</w:t>
            </w:r>
          </w:p>
        </w:tc>
        <w:tc>
          <w:tcPr>
            <w:tcW w:w="230"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Accruals and other</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85" w:type="dxa"/>
            <w:tcBorders>
              <w:bottom w:val="single" w:sz="2" w:space="0" w:color="000000"/>
            </w:tcBorders>
            <w:shd w:fill="CCEEFF" w:val="clear"/>
            <w:tcMar>
              <w:bottom w:w="28" w:type="dxa"/>
            </w:tcMar>
            <w:vAlign w:val="center"/>
          </w:tcPr>
          <w:p>
            <w:pPr>
              <w:pStyle w:val="TableContents"/>
              <w:bidi w:val="0"/>
              <w:spacing w:before="0" w:after="283"/>
              <w:jc w:val="right"/>
              <w:rPr/>
            </w:pPr>
            <w:r>
              <w:rPr/>
              <w:t>967</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Gross deferred tax assets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985" w:type="dxa"/>
            <w:tcBorders>
              <w:bottom w:val="single" w:sz="2" w:space="0" w:color="000000"/>
            </w:tcBorders>
            <w:tcMar>
              <w:bottom w:w="28" w:type="dxa"/>
            </w:tcMar>
            <w:vAlign w:val="center"/>
          </w:tcPr>
          <w:p>
            <w:pPr>
              <w:pStyle w:val="TableContents"/>
              <w:bidi w:val="0"/>
              <w:spacing w:before="0" w:after="283"/>
              <w:jc w:val="right"/>
              <w:rPr/>
            </w:pPr>
            <w:r>
              <w:rPr/>
              <w:t>27,011</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Valuation allowance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85" w:type="dxa"/>
            <w:tcBorders>
              <w:bottom w:val="single" w:sz="2" w:space="0" w:color="000000"/>
            </w:tcBorders>
            <w:shd w:fill="CCEEFF" w:val="clear"/>
            <w:tcMar>
              <w:bottom w:w="28" w:type="dxa"/>
            </w:tcMar>
            <w:vAlign w:val="center"/>
          </w:tcPr>
          <w:p>
            <w:pPr>
              <w:pStyle w:val="TableContents"/>
              <w:bidi w:val="0"/>
              <w:spacing w:before="0" w:after="283"/>
              <w:jc w:val="right"/>
              <w:rPr/>
            </w:pPr>
            <w:r>
              <w:rPr/>
              <w:t>(26,455</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Net deferred tax assets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985" w:type="dxa"/>
            <w:tcBorders>
              <w:bottom w:val="single" w:sz="2" w:space="0" w:color="000000"/>
            </w:tcBorders>
            <w:tcMar>
              <w:bottom w:w="28" w:type="dxa"/>
            </w:tcMar>
            <w:vAlign w:val="center"/>
          </w:tcPr>
          <w:p>
            <w:pPr>
              <w:pStyle w:val="TableContents"/>
              <w:bidi w:val="0"/>
              <w:spacing w:before="0" w:after="283"/>
              <w:jc w:val="right"/>
              <w:rPr/>
            </w:pPr>
            <w:r>
              <w:rPr/>
              <w:t>556</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Deferred tax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Capital Lease - ROU Asset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(516</w:t>
            </w:r>
          </w:p>
        </w:tc>
        <w:tc>
          <w:tcPr>
            <w:tcW w:w="230"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Prepaid Expense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985" w:type="dxa"/>
            <w:tcBorders>
              <w:bottom w:val="single" w:sz="2" w:space="0" w:color="000000"/>
            </w:tcBorders>
            <w:shd w:fill="CCEEFF" w:val="clear"/>
            <w:tcMar>
              <w:bottom w:w="28" w:type="dxa"/>
            </w:tcMar>
            <w:vAlign w:val="center"/>
          </w:tcPr>
          <w:p>
            <w:pPr>
              <w:pStyle w:val="TableContents"/>
              <w:bidi w:val="0"/>
              <w:spacing w:before="0" w:after="283"/>
              <w:jc w:val="right"/>
              <w:rPr/>
            </w:pPr>
            <w:r>
              <w:rPr/>
              <w:t>(40</w:t>
            </w:r>
          </w:p>
        </w:tc>
        <w:tc>
          <w:tcPr>
            <w:tcW w:w="23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Total deferred tax liabilities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985" w:type="dxa"/>
            <w:tcBorders>
              <w:bottom w:val="single" w:sz="2" w:space="0" w:color="000000"/>
            </w:tcBorders>
            <w:tcMar>
              <w:bottom w:w="28" w:type="dxa"/>
            </w:tcMar>
            <w:vAlign w:val="center"/>
          </w:tcPr>
          <w:p>
            <w:pPr>
              <w:pStyle w:val="TableContents"/>
              <w:bidi w:val="0"/>
              <w:spacing w:before="0" w:after="283"/>
              <w:jc w:val="right"/>
              <w:rPr/>
            </w:pPr>
            <w:r>
              <w:rPr/>
              <w:t>(556</w:t>
            </w:r>
          </w:p>
        </w:tc>
        <w:tc>
          <w:tcPr>
            <w:tcW w:w="23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283"/>
              <w:jc w:val="left"/>
              <w:rPr/>
            </w:pPr>
            <w:r>
              <w:rPr/>
              <w:t>Total deferred tax assets (liabilities)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98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0"/>
        </w:rPr>
      </w:pPr>
      <w:r>
        <w:rPr>
          <w:rFonts w:ascii="Times New Roman" w:hAnsi="Times New Roman"/>
          <w:sz w:val="20"/>
        </w:rPr>
        <w:t>For the year ended December 31, 2025, the Company federal and state post-apportioned net operating loss carryforwards are approximately $95,684 and $51,267, respectively. There are no foreign operating loss carryforwards. The federal operating loss carryforwards have $94,981 with an indefinite carryforward period and $703 that begin to expire in 2037. The state post-apportioned operating loss carryforwards of $50,555 have a limited carryforward period and will begin to expire in 2037.</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For the year ended December 31, 2025, the Company federal tax carryforward is $81. There are no state and foreign tax credit carryforwards. All tax credits have a limited carryforward period and will begin to expire in 2037.</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0"/>
        </w:rPr>
      </w:pPr>
      <w:r>
        <w:rPr>
          <w:rFonts w:ascii="Times New Roman" w:hAnsi="Times New Roman"/>
          <w:sz w:val="20"/>
        </w:rPr>
        <w:t>In accordance with Section 382 and Section 383, utilization of the net operating losses ("NOL") and tax credit carryforwards may subject to limitations based on prior or future ownership changes. At this time, no Section 382 study has been completed.</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Additionally, after weighing up all available and positive and negative evidence for the year ended December 31, 2025, the Company has recorded a valuation allowance of approximately $26,455.</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F-29</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both"/>
        <w:rPr>
          <w:rFonts w:ascii="Times New Roman" w:hAnsi="Times New Roman"/>
          <w:sz w:val="20"/>
        </w:rPr>
      </w:pPr>
      <w:r>
        <w:rPr>
          <w:rFonts w:ascii="Times New Roman" w:hAnsi="Times New Roman"/>
          <w:sz w:val="20"/>
        </w:rPr>
        <w:t>The Company is subject to income tax in multiple jurisdictions, including federal, states, and city jurisdictions. The Company has federal, state, and city income tax returns that are open to examination from 2022, 2023, and 2024. In addition, the utilization of tax carryforwards from periods prior to those previously mentioned may also be audited by the taxing authorities once utilized.</w:t>
      </w:r>
    </w:p>
    <w:p>
      <w:pPr>
        <w:pStyle w:val="TextBody"/>
        <w:bidi w:val="0"/>
        <w:spacing w:before="0" w:after="0"/>
        <w:jc w:val="both"/>
        <w:rPr/>
      </w:pPr>
      <w:r>
        <w:rPr/>
        <w:t> </w:t>
      </w:r>
    </w:p>
    <w:tbl>
      <w:tblPr>
        <w:tblW w:w="7980" w:type="dxa"/>
        <w:jc w:val="left"/>
        <w:tblInd w:w="0" w:type="dxa"/>
        <w:tblLayout w:type="fixed"/>
        <w:tblCellMar>
          <w:top w:w="0" w:type="dxa"/>
          <w:left w:w="0" w:type="dxa"/>
          <w:bottom w:w="0" w:type="dxa"/>
          <w:right w:w="0" w:type="dxa"/>
        </w:tblCellMar>
      </w:tblPr>
      <w:tblGrid>
        <w:gridCol w:w="5600"/>
        <w:gridCol w:w="90"/>
        <w:gridCol w:w="170"/>
        <w:gridCol w:w="1985"/>
        <w:gridCol w:w="135"/>
      </w:tblGrid>
      <w:tr>
        <w:trPr/>
        <w:tc>
          <w:tcPr>
            <w:tcW w:w="560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5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center"/>
              <w:rPr>
                <w:b/>
              </w:rPr>
            </w:pPr>
            <w:r>
              <w:rPr>
                <w:b/>
              </w:rPr>
              <w:t>Year Ended</w:t>
            </w:r>
          </w:p>
        </w:tc>
        <w:tc>
          <w:tcPr>
            <w:tcW w:w="135" w:type="dxa"/>
            <w:tcBorders/>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985" w:type="dxa"/>
            <w:tcBorders>
              <w:bottom w:val="single" w:sz="2" w:space="0" w:color="000000"/>
            </w:tcBorders>
            <w:tcMar>
              <w:bottom w:w="28" w:type="dxa"/>
            </w:tcMar>
            <w:vAlign w:val="center"/>
          </w:tcPr>
          <w:p>
            <w:pPr>
              <w:pStyle w:val="TableContents"/>
              <w:bidi w:val="0"/>
              <w:spacing w:before="0" w:after="283"/>
              <w:jc w:val="center"/>
              <w:rPr>
                <w:b/>
              </w:rPr>
            </w:pPr>
            <w:r>
              <w:rPr>
                <w:b/>
              </w:rPr>
              <w:t>December 31, 2025</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left"/>
              <w:rPr/>
            </w:pPr>
            <w:r>
              <w:rPr/>
              <w:t>Balance as of December 31, 2024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985"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left"/>
              <w:rPr/>
            </w:pPr>
            <w:r>
              <w:rPr/>
              <w:t>Additions based on tax positions related to the current year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left"/>
              <w:rPr/>
            </w:pPr>
            <w:r>
              <w:rPr/>
              <w:t>Additions for tax positions of prior years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left"/>
              <w:rPr/>
            </w:pPr>
            <w:r>
              <w:rPr/>
              <w:t>Reductions for tax positions of prior years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left"/>
              <w:rPr/>
            </w:pPr>
            <w:r>
              <w:rPr/>
              <w:t>Reductions related to settlements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5600" w:type="dxa"/>
            <w:tcBorders/>
            <w:vAlign w:val="center"/>
          </w:tcPr>
          <w:p>
            <w:pPr>
              <w:pStyle w:val="TableContents"/>
              <w:bidi w:val="0"/>
              <w:spacing w:before="0" w:after="283"/>
              <w:jc w:val="left"/>
              <w:rPr/>
            </w:pPr>
            <w:r>
              <w:rPr/>
              <w:t>Reductions from lapse of statute of limitations</w:t>
            </w:r>
          </w:p>
        </w:tc>
        <w:tc>
          <w:tcPr>
            <w:tcW w:w="90" w:type="dxa"/>
            <w:tcBorders/>
            <w:vAlign w:val="center"/>
          </w:tcPr>
          <w:p>
            <w:pPr>
              <w:pStyle w:val="TableContents"/>
              <w:bidi w:val="0"/>
              <w:spacing w:before="0" w:after="283"/>
              <w:jc w:val="left"/>
              <w:rPr/>
            </w:pPr>
            <w:r>
              <w:rPr/>
              <w:t> </w:t>
            </w:r>
          </w:p>
        </w:tc>
        <w:tc>
          <w:tcPr>
            <w:tcW w:w="170" w:type="dxa"/>
            <w:tcBorders>
              <w:bottom w:val="single" w:sz="2" w:space="0" w:color="000000"/>
            </w:tcBorders>
            <w:tcMar>
              <w:bottom w:w="28" w:type="dxa"/>
            </w:tcMar>
            <w:vAlign w:val="center"/>
          </w:tcPr>
          <w:p>
            <w:pPr>
              <w:pStyle w:val="TableContents"/>
              <w:bidi w:val="0"/>
              <w:spacing w:before="0" w:after="283"/>
              <w:jc w:val="left"/>
              <w:rPr/>
            </w:pPr>
            <w:r>
              <w:rPr/>
              <w:t> </w:t>
            </w:r>
          </w:p>
        </w:tc>
        <w:tc>
          <w:tcPr>
            <w:tcW w:w="1985" w:type="dxa"/>
            <w:tcBorders>
              <w:bottom w:val="single" w:sz="2" w:space="0" w:color="000000"/>
            </w:tcBorders>
            <w:tcMar>
              <w:bottom w:w="28" w:type="dxa"/>
            </w:tcMar>
            <w:vAlign w:val="center"/>
          </w:tcPr>
          <w:p>
            <w:pPr>
              <w:pStyle w:val="TableContents"/>
              <w:bidi w:val="0"/>
              <w:spacing w:before="0" w:after="283"/>
              <w:jc w:val="right"/>
              <w:rPr/>
            </w:pPr>
            <w:r>
              <w:rPr/>
              <w:t>-</w:t>
            </w:r>
          </w:p>
        </w:tc>
        <w:tc>
          <w:tcPr>
            <w:tcW w:w="13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600" w:type="dxa"/>
            <w:tcBorders/>
            <w:shd w:fill="CCEEFF" w:val="clear"/>
            <w:vAlign w:val="center"/>
          </w:tcPr>
          <w:p>
            <w:pPr>
              <w:pStyle w:val="TableContents"/>
              <w:bidi w:val="0"/>
              <w:spacing w:before="0" w:after="283"/>
              <w:jc w:val="left"/>
              <w:rPr/>
            </w:pPr>
            <w:r>
              <w:rPr/>
              <w:t>Balance as of December 31, 2025</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98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 Company has not accrued any interest expense or penalties related to the unrecognized tax benefits for the year ended December 31, 2025.</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 Company has made no income tax payments and received no income tax refunds during the year. All payments made to taxing authorities were for non-income based tax liabilities and are outside the scope of ASC 740.</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 Company has provided a valuation allowance against the Company’s deferred tax assets, since, in the opinion of management, based upon the earnings history of the Company, it is not more likely than not that the benefits will be realized. All or a portion of the remaining valuation allowance may be reduced in future years based on an assessment of earnings sufficient to fully utilize these potential tax benefits.</w:t>
      </w:r>
    </w:p>
    <w:p>
      <w:pPr>
        <w:pStyle w:val="TextBody"/>
        <w:bidi w:val="0"/>
        <w:spacing w:before="0" w:after="0"/>
        <w:jc w:val="both"/>
        <w:rPr/>
      </w:pPr>
      <w:r>
        <w:rPr/>
        <w:t> </w:t>
      </w:r>
    </w:p>
    <w:p>
      <w:pPr>
        <w:pStyle w:val="TextBody"/>
        <w:bidi w:val="0"/>
        <w:spacing w:before="0" w:after="0"/>
        <w:jc w:val="both"/>
        <w:rPr>
          <w:rFonts w:ascii="Times New Roman" w:hAnsi="Times New Roman"/>
          <w:sz w:val="20"/>
        </w:rPr>
      </w:pPr>
      <w:r>
        <w:rPr>
          <w:rFonts w:ascii="Times New Roman" w:hAnsi="Times New Roman"/>
          <w:sz w:val="20"/>
        </w:rPr>
        <w:t>The One Big Beautiful Bill Act (OBBBA) was enacted on July 4, 2025. The Company has evaluated whether OBBBA has a material impact on its 2025 financial statements. The only provision of OBBBA that impacts the Company’s income tax accounting under ASC 740 is the new IRC. Sec. 174A, which permanently allows taxpayers to fully expense domestic research or experimental (R&amp;E) expenditures paid or incurred in taxable years beginning after December 31, 2024. The requirement to capitalize foreign Sec. 174 expenses over 15 years has not changed. On August 28, 2025, the IRS released procedural guidance (Rev. Proc. 2025-28) for implementing Section 174A and related elections for domestic research or experimental. Transition rules provide taxpayers with options to account for any remaining unamortized domestic R&amp;E expenditures paid or incurred in taxable years beginning after December 31, 2021, and before January 1, 2025. Taxpayers may continue to amortize such unamortized amounts over the remaining five-year period; alternatively, they may elect to deduct any remaining unamortized domestic R&amp;E expenditures either entirely in the first tax year beginning after December 31, 2024, or ratably over two taxable years (e.g., 2025 or ratably in 2025 and 2026). The Company has decided it will elect to continue to amortize previously capitalized and unamortized domestic R&amp;E expenditures over the remaining five-year period. As of December 31, 2024, the Company has approximately $8,600 of remaining unamortized domestic R&amp;D expenditures, representing approximately $1,900 of its gross deferred tax assets. As of December 31, 2025, the Company has approximately $4,800 of remaining unamortized domestic R&amp;D expenditures, representing approximately $1,100 of its gross deferred tax assets.</w:t>
      </w:r>
    </w:p>
    <w:p>
      <w:pPr>
        <w:pStyle w:val="TextBody"/>
        <w:bidi w:val="0"/>
        <w:spacing w:before="0" w:after="0"/>
        <w:jc w:val="both"/>
        <w:rPr/>
      </w:pPr>
      <w:r>
        <w:rPr/>
        <w:t> </w:t>
      </w:r>
    </w:p>
    <w:p>
      <w:pPr>
        <w:pStyle w:val="TextBody"/>
        <w:bidi w:val="0"/>
        <w:spacing w:lineRule="auto" w:line="276" w:before="0" w:after="160"/>
        <w:ind w:left="0"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The provision/(benefit) for Income Taxes for the year ended December 31, 2024, consists of the following:</w:t>
      </w:r>
    </w:p>
    <w:p>
      <w:pPr>
        <w:pStyle w:val="TextBody"/>
        <w:bidi w:val="0"/>
        <w:spacing w:before="0" w:after="0"/>
        <w:jc w:val="left"/>
        <w:rPr/>
      </w:pPr>
      <w:r>
        <w:rPr/>
        <w:t> </w:t>
      </w:r>
    </w:p>
    <w:tbl>
      <w:tblPr>
        <w:tblW w:w="4250" w:type="pct"/>
        <w:jc w:val="left"/>
        <w:tblInd w:w="0" w:type="dxa"/>
        <w:tblLayout w:type="fixed"/>
        <w:tblCellMar>
          <w:top w:w="0" w:type="dxa"/>
          <w:left w:w="0" w:type="dxa"/>
          <w:bottom w:w="0" w:type="dxa"/>
          <w:right w:w="0" w:type="dxa"/>
        </w:tblCellMar>
      </w:tblPr>
      <w:tblGrid>
        <w:gridCol w:w="5429"/>
        <w:gridCol w:w="516"/>
        <w:gridCol w:w="2028"/>
        <w:gridCol w:w="701"/>
      </w:tblGrid>
      <w:tr>
        <w:trPr/>
        <w:tc>
          <w:tcPr>
            <w:tcW w:w="5429" w:type="dxa"/>
            <w:tcBorders/>
            <w:vAlign w:val="bottom"/>
          </w:tcPr>
          <w:p>
            <w:pPr>
              <w:pStyle w:val="TableContents"/>
              <w:bidi w:val="0"/>
              <w:spacing w:before="0" w:after="283"/>
              <w:jc w:val="left"/>
              <w:rPr/>
            </w:pPr>
            <w:r>
              <w:rPr/>
              <w:t> </w:t>
            </w:r>
          </w:p>
        </w:tc>
        <w:tc>
          <w:tcPr>
            <w:tcW w:w="3245" w:type="dxa"/>
            <w:gridSpan w:val="3"/>
            <w:tcBorders/>
          </w:tcPr>
          <w:p>
            <w:pPr>
              <w:pStyle w:val="TableContents"/>
              <w:bidi w:val="0"/>
              <w:spacing w:before="0" w:after="0"/>
              <w:ind w:left="0" w:right="0" w:hanging="0"/>
              <w:jc w:val="center"/>
              <w:rPr>
                <w:b/>
              </w:rPr>
            </w:pPr>
            <w:r>
              <w:rPr>
                <w:b/>
              </w:rPr>
              <w:t>Year Ended</w:t>
            </w:r>
          </w:p>
        </w:tc>
      </w:tr>
      <w:tr>
        <w:trPr/>
        <w:tc>
          <w:tcPr>
            <w:tcW w:w="5429" w:type="dxa"/>
            <w:tcBorders/>
            <w:vAlign w:val="bottom"/>
          </w:tcPr>
          <w:p>
            <w:pPr>
              <w:pStyle w:val="TableContents"/>
              <w:bidi w:val="0"/>
              <w:spacing w:before="0" w:after="283"/>
              <w:jc w:val="left"/>
              <w:rPr/>
            </w:pPr>
            <w:r>
              <w:rPr/>
              <w:t> </w:t>
            </w:r>
          </w:p>
        </w:tc>
        <w:tc>
          <w:tcPr>
            <w:tcW w:w="3245" w:type="dxa"/>
            <w:gridSpan w:val="3"/>
            <w:tcBorders>
              <w:bottom w:val="single" w:sz="8" w:space="0" w:color="000000"/>
            </w:tcBorders>
            <w:tcMar>
              <w:bottom w:w="28" w:type="dxa"/>
            </w:tcMar>
            <w:vAlign w:val="bottom"/>
          </w:tcPr>
          <w:p>
            <w:pPr>
              <w:pStyle w:val="TableContents"/>
              <w:bidi w:val="0"/>
              <w:spacing w:before="0" w:after="0"/>
              <w:ind w:left="0" w:right="0" w:hanging="0"/>
              <w:jc w:val="center"/>
              <w:rPr>
                <w:b/>
              </w:rPr>
            </w:pPr>
            <w:r>
              <w:rPr>
                <w:b/>
              </w:rPr>
              <w:t>December 31, 2024</w:t>
            </w:r>
          </w:p>
        </w:tc>
      </w:tr>
      <w:tr>
        <w:trPr/>
        <w:tc>
          <w:tcPr>
            <w:tcW w:w="5429"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left"/>
              <w:rPr/>
            </w:pPr>
            <w:r>
              <w:rPr/>
              <w:t> </w:t>
            </w:r>
          </w:p>
        </w:tc>
        <w:tc>
          <w:tcPr>
            <w:tcW w:w="2028"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left"/>
              <w:rPr/>
            </w:pPr>
            <w:r>
              <w:rPr/>
              <w:t> </w:t>
            </w:r>
          </w:p>
        </w:tc>
      </w:tr>
      <w:tr>
        <w:trPr/>
        <w:tc>
          <w:tcPr>
            <w:tcW w:w="5429" w:type="dxa"/>
            <w:tcBorders/>
            <w:vAlign w:val="bottom"/>
          </w:tcPr>
          <w:p>
            <w:pPr>
              <w:pStyle w:val="TableContents"/>
              <w:bidi w:val="0"/>
              <w:spacing w:before="0" w:after="0"/>
              <w:ind w:left="0" w:right="0" w:firstLine="180"/>
              <w:jc w:val="left"/>
              <w:rPr>
                <w:b/>
              </w:rPr>
            </w:pPr>
            <w:r>
              <w:rPr>
                <w:b/>
              </w:rPr>
              <w:t>Current Tax Expense/(Benefit)</w:t>
            </w:r>
          </w:p>
        </w:tc>
        <w:tc>
          <w:tcPr>
            <w:tcW w:w="516" w:type="dxa"/>
            <w:tcBorders/>
            <w:vAlign w:val="bottom"/>
          </w:tcPr>
          <w:p>
            <w:pPr>
              <w:pStyle w:val="TableContents"/>
              <w:bidi w:val="0"/>
              <w:spacing w:before="0" w:after="283"/>
              <w:jc w:val="left"/>
              <w:rPr/>
            </w:pPr>
            <w:r>
              <w:rPr/>
              <w:t> </w:t>
            </w:r>
          </w:p>
        </w:tc>
        <w:tc>
          <w:tcPr>
            <w:tcW w:w="2028" w:type="dxa"/>
            <w:tcBorders/>
            <w:vAlign w:val="bottom"/>
          </w:tcPr>
          <w:p>
            <w:pPr>
              <w:pStyle w:val="TableContents"/>
              <w:bidi w:val="0"/>
              <w:spacing w:before="0" w:after="283"/>
              <w:jc w:val="left"/>
              <w:rPr/>
            </w:pPr>
            <w:r>
              <w:rPr/>
              <w:t> </w:t>
            </w:r>
          </w:p>
        </w:tc>
        <w:tc>
          <w:tcPr>
            <w:tcW w:w="701" w:type="dxa"/>
            <w:tcBorders/>
            <w:vAlign w:val="bottom"/>
          </w:tcPr>
          <w:p>
            <w:pPr>
              <w:pStyle w:val="TableContents"/>
              <w:bidi w:val="0"/>
              <w:spacing w:before="0" w:after="283"/>
              <w:jc w:val="left"/>
              <w:rPr/>
            </w:pPr>
            <w:r>
              <w:rPr/>
              <w:t> </w:t>
            </w:r>
          </w:p>
        </w:tc>
      </w:tr>
      <w:tr>
        <w:trPr/>
        <w:tc>
          <w:tcPr>
            <w:tcW w:w="5429" w:type="dxa"/>
            <w:tcBorders/>
            <w:shd w:fill="CCEEFF" w:val="clear"/>
            <w:vAlign w:val="bottom"/>
          </w:tcPr>
          <w:p>
            <w:pPr>
              <w:pStyle w:val="TableContents"/>
              <w:bidi w:val="0"/>
              <w:spacing w:before="0" w:after="0"/>
              <w:ind w:left="5" w:right="0" w:hanging="0"/>
              <w:jc w:val="left"/>
              <w:rPr/>
            </w:pPr>
            <w:r>
              <w:rPr/>
              <w:t>Deferred Tax Expense/(Benefit)</w:t>
            </w:r>
          </w:p>
        </w:tc>
        <w:tc>
          <w:tcPr>
            <w:tcW w:w="516" w:type="dxa"/>
            <w:tcBorders/>
            <w:shd w:fill="CCEEFF" w:val="clear"/>
            <w:vAlign w:val="bottom"/>
          </w:tcPr>
          <w:p>
            <w:pPr>
              <w:pStyle w:val="TableContents"/>
              <w:bidi w:val="0"/>
              <w:spacing w:before="0" w:after="0"/>
              <w:ind w:left="0" w:right="0" w:hanging="0"/>
              <w:jc w:val="left"/>
              <w:rPr/>
            </w:pPr>
            <w:r>
              <w:rPr/>
              <w:t>$</w:t>
            </w:r>
          </w:p>
        </w:tc>
        <w:tc>
          <w:tcPr>
            <w:tcW w:w="2028" w:type="dxa"/>
            <w:tcBorders/>
            <w:shd w:fill="CCEEFF" w:val="clear"/>
            <w:vAlign w:val="bottom"/>
          </w:tcPr>
          <w:p>
            <w:pPr>
              <w:pStyle w:val="TableContents"/>
              <w:bidi w:val="0"/>
              <w:spacing w:before="0" w:after="0"/>
              <w:ind w:left="0" w:right="0" w:hanging="0"/>
              <w:jc w:val="right"/>
              <w:rPr/>
            </w:pPr>
            <w:r>
              <w:rPr/>
              <w:t>(2,712</w:t>
            </w:r>
          </w:p>
        </w:tc>
        <w:tc>
          <w:tcPr>
            <w:tcW w:w="701" w:type="dxa"/>
            <w:tcBorders/>
            <w:shd w:fill="CCEEFF" w:val="clear"/>
            <w:vAlign w:val="bottom"/>
          </w:tcPr>
          <w:p>
            <w:pPr>
              <w:pStyle w:val="TableContents"/>
              <w:bidi w:val="0"/>
              <w:spacing w:before="0" w:after="0"/>
              <w:jc w:val="left"/>
              <w:rPr/>
            </w:pPr>
            <w:r>
              <w:rPr/>
              <w:t>) </w:t>
            </w:r>
          </w:p>
        </w:tc>
      </w:tr>
      <w:tr>
        <w:trPr/>
        <w:tc>
          <w:tcPr>
            <w:tcW w:w="5429" w:type="dxa"/>
            <w:tcBorders/>
            <w:vAlign w:val="bottom"/>
          </w:tcPr>
          <w:p>
            <w:pPr>
              <w:pStyle w:val="TableContents"/>
              <w:bidi w:val="0"/>
              <w:spacing w:before="0" w:after="0"/>
              <w:ind w:left="0" w:right="0" w:firstLine="180"/>
              <w:jc w:val="left"/>
              <w:rPr/>
            </w:pPr>
            <w:r>
              <w:rPr/>
              <w:t>Change in Valuation Allowance</w:t>
            </w:r>
          </w:p>
        </w:tc>
        <w:tc>
          <w:tcPr>
            <w:tcW w:w="516" w:type="dxa"/>
            <w:tcBorders>
              <w:bottom w:val="single" w:sz="2" w:space="0" w:color="000000"/>
            </w:tcBorders>
            <w:tcMar>
              <w:bottom w:w="28" w:type="dxa"/>
            </w:tcMar>
            <w:vAlign w:val="bottom"/>
          </w:tcPr>
          <w:p>
            <w:pPr>
              <w:pStyle w:val="TableContents"/>
              <w:bidi w:val="0"/>
              <w:spacing w:before="0" w:after="283"/>
              <w:ind w:left="0" w:right="0" w:hanging="0"/>
              <w:jc w:val="left"/>
              <w:rPr/>
            </w:pPr>
            <w:r>
              <w:rPr/>
              <w:t> </w:t>
            </w:r>
          </w:p>
        </w:tc>
        <w:tc>
          <w:tcPr>
            <w:tcW w:w="2028" w:type="dxa"/>
            <w:tcBorders>
              <w:bottom w:val="single" w:sz="2" w:space="0" w:color="000000"/>
            </w:tcBorders>
            <w:tcMar>
              <w:bottom w:w="28" w:type="dxa"/>
            </w:tcMar>
            <w:vAlign w:val="bottom"/>
          </w:tcPr>
          <w:p>
            <w:pPr>
              <w:pStyle w:val="TableContents"/>
              <w:bidi w:val="0"/>
              <w:spacing w:before="0" w:after="0"/>
              <w:ind w:left="0" w:right="0" w:hanging="0"/>
              <w:jc w:val="right"/>
              <w:rPr/>
            </w:pPr>
            <w:r>
              <w:rPr/>
              <w:t>2,712</w:t>
            </w:r>
          </w:p>
        </w:tc>
        <w:tc>
          <w:tcPr>
            <w:tcW w:w="701" w:type="dxa"/>
            <w:tcBorders>
              <w:bottom w:val="single" w:sz="2" w:space="0" w:color="000000"/>
            </w:tcBorders>
            <w:tcMar>
              <w:bottom w:w="28" w:type="dxa"/>
            </w:tcMar>
            <w:vAlign w:val="bottom"/>
          </w:tcPr>
          <w:p>
            <w:pPr>
              <w:pStyle w:val="TableContents"/>
              <w:bidi w:val="0"/>
              <w:spacing w:before="0" w:after="0"/>
              <w:jc w:val="left"/>
              <w:rPr/>
            </w:pPr>
            <w:r>
              <w:rPr/>
              <w:t> </w:t>
            </w:r>
          </w:p>
        </w:tc>
      </w:tr>
      <w:tr>
        <w:trPr/>
        <w:tc>
          <w:tcPr>
            <w:tcW w:w="5429" w:type="dxa"/>
            <w:tcBorders/>
            <w:shd w:fill="CCEEFF" w:val="clear"/>
            <w:vAlign w:val="bottom"/>
          </w:tcPr>
          <w:p>
            <w:pPr>
              <w:pStyle w:val="TableContents"/>
              <w:bidi w:val="0"/>
              <w:spacing w:before="0" w:after="0"/>
              <w:ind w:left="5" w:right="0" w:hanging="0"/>
              <w:jc w:val="left"/>
              <w:rPr/>
            </w:pPr>
            <w:r>
              <w:rPr/>
              <w:t>Income Tax Provision/(Benefit)</w:t>
            </w:r>
          </w:p>
        </w:tc>
        <w:tc>
          <w:tcPr>
            <w:tcW w:w="516" w:type="dxa"/>
            <w:tcBorders>
              <w:bottom w:val="double" w:sz="6" w:space="0" w:color="000000"/>
            </w:tcBorders>
            <w:shd w:fill="CCEEFF" w:val="clear"/>
            <w:tcMar>
              <w:bottom w:w="28" w:type="dxa"/>
            </w:tcMar>
            <w:vAlign w:val="bottom"/>
          </w:tcPr>
          <w:p>
            <w:pPr>
              <w:pStyle w:val="TableContents"/>
              <w:bidi w:val="0"/>
              <w:spacing w:before="0" w:after="0"/>
              <w:ind w:left="0" w:right="0" w:hanging="0"/>
              <w:jc w:val="left"/>
              <w:rPr/>
            </w:pPr>
            <w:r>
              <w:rPr/>
              <w:t>$</w:t>
            </w:r>
          </w:p>
        </w:tc>
        <w:tc>
          <w:tcPr>
            <w:tcW w:w="2028" w:type="dxa"/>
            <w:tcBorders>
              <w:bottom w:val="double" w:sz="6" w:space="0" w:color="000000"/>
            </w:tcBorders>
            <w:shd w:fill="CCEEFF" w:val="clear"/>
            <w:tcMar>
              <w:bottom w:w="28" w:type="dxa"/>
            </w:tcMar>
            <w:vAlign w:val="bottom"/>
          </w:tcPr>
          <w:p>
            <w:pPr>
              <w:pStyle w:val="TableContents"/>
              <w:bidi w:val="0"/>
              <w:spacing w:before="0" w:after="0"/>
              <w:ind w:left="0" w:right="0" w:hanging="0"/>
              <w:jc w:val="right"/>
              <w:rPr/>
            </w:pPr>
            <w:r>
              <w:rPr/>
              <w:t xml:space="preserve">  </w:t>
            </w:r>
            <w:r>
              <w:rPr/>
              <w:t xml:space="preserve">- </w:t>
            </w:r>
          </w:p>
        </w:tc>
        <w:tc>
          <w:tcPr>
            <w:tcW w:w="701" w:type="dxa"/>
            <w:tcBorders>
              <w:bottom w:val="double" w:sz="6" w:space="0" w:color="000000"/>
            </w:tcBorders>
            <w:shd w:fill="CCEEFF" w:val="clear"/>
            <w:tcMar>
              <w:bottom w:w="28" w:type="dxa"/>
            </w:tcMar>
            <w:vAlign w:val="bottom"/>
          </w:tcPr>
          <w:p>
            <w:pPr>
              <w:pStyle w:val="TableContents"/>
              <w:bidi w:val="0"/>
              <w:spacing w:before="0" w:after="0"/>
              <w:jc w:val="left"/>
              <w:rPr/>
            </w:pPr>
            <w:r>
              <w:rPr/>
              <w:t> </w:t>
            </w:r>
          </w:p>
        </w:tc>
      </w:tr>
    </w:tbl>
    <w:p>
      <w:pPr>
        <w:pStyle w:val="TextBody"/>
        <w:bidi w:val="0"/>
        <w:spacing w:before="0" w:after="0"/>
        <w:jc w:val="left"/>
        <w:rPr>
          <w:spacing w:val="0"/>
        </w:rPr>
      </w:pPr>
      <w:r>
        <w:rPr>
          <w:spacing w:val="0"/>
        </w:rPr>
        <w:t> </w:t>
      </w:r>
    </w:p>
    <w:p>
      <w:pPr>
        <w:pStyle w:val="TextBody"/>
        <w:bidi w:val="0"/>
        <w:spacing w:before="0" w:after="0"/>
        <w:jc w:val="left"/>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F-30</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lineRule="auto" w:line="276" w:before="0" w:after="160"/>
        <w:ind w:left="0"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The Company’s effective income tax rate is different from the federal statutory tax rate in 2024 predominantly due to the valuation allowance, permanent differences, and state taxes. A reconciliation of the statutory U.S. Federal Tax Rate to the Company's Effective Tax Rate is as follows:</w:t>
      </w:r>
    </w:p>
    <w:p>
      <w:pPr>
        <w:pStyle w:val="TextBody"/>
        <w:bidi w:val="0"/>
        <w:spacing w:before="0" w:after="0"/>
        <w:ind w:left="0" w:right="0" w:hanging="0"/>
        <w:jc w:val="both"/>
        <w:rPr/>
      </w:pPr>
      <w:r>
        <w:rPr/>
        <w:t> </w:t>
      </w:r>
    </w:p>
    <w:tbl>
      <w:tblPr>
        <w:tblW w:w="4950" w:type="pct"/>
        <w:jc w:val="left"/>
        <w:tblInd w:w="0" w:type="dxa"/>
        <w:tblLayout w:type="fixed"/>
        <w:tblCellMar>
          <w:top w:w="0" w:type="dxa"/>
          <w:left w:w="0" w:type="dxa"/>
          <w:bottom w:w="0" w:type="dxa"/>
          <w:right w:w="0" w:type="dxa"/>
        </w:tblCellMar>
      </w:tblPr>
      <w:tblGrid>
        <w:gridCol w:w="7339"/>
        <w:gridCol w:w="440"/>
        <w:gridCol w:w="1726"/>
        <w:gridCol w:w="597"/>
      </w:tblGrid>
      <w:tr>
        <w:trPr/>
        <w:tc>
          <w:tcPr>
            <w:tcW w:w="7339" w:type="dxa"/>
            <w:tcBorders/>
          </w:tcPr>
          <w:p>
            <w:pPr>
              <w:pStyle w:val="TableContents"/>
              <w:bidi w:val="0"/>
              <w:spacing w:before="0" w:after="283"/>
              <w:jc w:val="left"/>
              <w:rPr/>
            </w:pPr>
            <w:r>
              <w:rPr/>
              <w:t> </w:t>
            </w:r>
          </w:p>
        </w:tc>
        <w:tc>
          <w:tcPr>
            <w:tcW w:w="2763" w:type="dxa"/>
            <w:gridSpan w:val="3"/>
            <w:tcBorders/>
            <w:vAlign w:val="bottom"/>
          </w:tcPr>
          <w:p>
            <w:pPr>
              <w:pStyle w:val="TableContents"/>
              <w:bidi w:val="0"/>
              <w:spacing w:before="0" w:after="0"/>
              <w:ind w:left="0" w:right="0" w:hanging="0"/>
              <w:jc w:val="center"/>
              <w:rPr>
                <w:b/>
              </w:rPr>
            </w:pPr>
            <w:r>
              <w:rPr>
                <w:b/>
              </w:rPr>
              <w:t>Year Ended</w:t>
            </w:r>
          </w:p>
        </w:tc>
      </w:tr>
      <w:tr>
        <w:trPr/>
        <w:tc>
          <w:tcPr>
            <w:tcW w:w="7339" w:type="dxa"/>
            <w:tcBorders/>
            <w:vAlign w:val="bottom"/>
          </w:tcPr>
          <w:p>
            <w:pPr>
              <w:pStyle w:val="TableContents"/>
              <w:bidi w:val="0"/>
              <w:spacing w:before="0" w:after="283"/>
              <w:jc w:val="left"/>
              <w:rPr/>
            </w:pPr>
            <w:r>
              <w:rPr/>
              <w:t> </w:t>
            </w:r>
          </w:p>
        </w:tc>
        <w:tc>
          <w:tcPr>
            <w:tcW w:w="2763" w:type="dxa"/>
            <w:gridSpan w:val="3"/>
            <w:tcBorders/>
          </w:tcPr>
          <w:p>
            <w:pPr>
              <w:pStyle w:val="TableContents"/>
              <w:bidi w:val="0"/>
              <w:spacing w:before="0" w:after="0"/>
              <w:ind w:left="0" w:right="0" w:hanging="0"/>
              <w:jc w:val="center"/>
              <w:rPr>
                <w:b/>
              </w:rPr>
            </w:pPr>
            <w:r>
              <w:rPr>
                <w:b/>
              </w:rPr>
              <w:t>December 31, 2024</w:t>
            </w:r>
          </w:p>
        </w:tc>
      </w:tr>
      <w:tr>
        <w:trPr/>
        <w:tc>
          <w:tcPr>
            <w:tcW w:w="7339" w:type="dxa"/>
            <w:tcBorders/>
            <w:vAlign w:val="bottom"/>
          </w:tcPr>
          <w:p>
            <w:pPr>
              <w:pStyle w:val="TableContents"/>
              <w:bidi w:val="0"/>
              <w:spacing w:before="0" w:after="283"/>
              <w:jc w:val="left"/>
              <w:rPr/>
            </w:pPr>
            <w:r>
              <w:rPr/>
              <w:t> </w:t>
            </w:r>
          </w:p>
        </w:tc>
        <w:tc>
          <w:tcPr>
            <w:tcW w:w="440" w:type="dxa"/>
            <w:tcBorders/>
            <w:vAlign w:val="bottom"/>
          </w:tcPr>
          <w:p>
            <w:pPr>
              <w:pStyle w:val="TableContents"/>
              <w:bidi w:val="0"/>
              <w:spacing w:before="0" w:after="283"/>
              <w:jc w:val="left"/>
              <w:rPr/>
            </w:pPr>
            <w:r>
              <w:rPr/>
              <w:t> </w:t>
            </w:r>
          </w:p>
        </w:tc>
        <w:tc>
          <w:tcPr>
            <w:tcW w:w="1726" w:type="dxa"/>
            <w:tcBorders/>
            <w:vAlign w:val="bottom"/>
          </w:tcPr>
          <w:p>
            <w:pPr>
              <w:pStyle w:val="TableContents"/>
              <w:bidi w:val="0"/>
              <w:spacing w:before="0" w:after="283"/>
              <w:jc w:val="left"/>
              <w:rPr/>
            </w:pPr>
            <w:r>
              <w:rPr/>
              <w:t> </w:t>
            </w:r>
          </w:p>
        </w:tc>
        <w:tc>
          <w:tcPr>
            <w:tcW w:w="597" w:type="dxa"/>
            <w:tcBorders/>
            <w:vAlign w:val="bottom"/>
          </w:tcPr>
          <w:p>
            <w:pPr>
              <w:pStyle w:val="TableContents"/>
              <w:bidi w:val="0"/>
              <w:spacing w:before="0" w:after="283"/>
              <w:jc w:val="left"/>
              <w:rPr/>
            </w:pPr>
            <w:r>
              <w:rPr/>
              <w:t> </w:t>
            </w:r>
          </w:p>
        </w:tc>
      </w:tr>
      <w:tr>
        <w:trPr/>
        <w:tc>
          <w:tcPr>
            <w:tcW w:w="7339" w:type="dxa"/>
            <w:tcBorders/>
            <w:shd w:fill="CCEEFF" w:val="clear"/>
            <w:vAlign w:val="bottom"/>
          </w:tcPr>
          <w:p>
            <w:pPr>
              <w:pStyle w:val="TableContents"/>
              <w:bidi w:val="0"/>
              <w:spacing w:before="0" w:after="0"/>
              <w:ind w:left="5" w:right="0" w:hanging="0"/>
              <w:jc w:val="left"/>
              <w:rPr/>
            </w:pPr>
            <w:r>
              <w:rPr/>
              <w:t>U.S. Statutory Federal Income Tax Rate</w:t>
            </w:r>
          </w:p>
        </w:tc>
        <w:tc>
          <w:tcPr>
            <w:tcW w:w="440" w:type="dxa"/>
            <w:tcBorders/>
            <w:shd w:fill="CCEEFF" w:val="clear"/>
            <w:vAlign w:val="bottom"/>
          </w:tcPr>
          <w:p>
            <w:pPr>
              <w:pStyle w:val="TableContents"/>
              <w:bidi w:val="0"/>
              <w:spacing w:before="0" w:after="0"/>
              <w:ind w:left="0" w:right="0" w:hanging="0"/>
              <w:jc w:val="left"/>
              <w:rPr/>
            </w:pPr>
            <w:r>
              <w:rPr/>
              <w:t>$</w:t>
            </w:r>
          </w:p>
        </w:tc>
        <w:tc>
          <w:tcPr>
            <w:tcW w:w="1726" w:type="dxa"/>
            <w:tcBorders/>
            <w:shd w:fill="CCEEFF" w:val="clear"/>
            <w:vAlign w:val="bottom"/>
          </w:tcPr>
          <w:p>
            <w:pPr>
              <w:pStyle w:val="TableContents"/>
              <w:bidi w:val="0"/>
              <w:spacing w:before="0" w:after="0"/>
              <w:ind w:left="0" w:right="0" w:hanging="0"/>
              <w:jc w:val="right"/>
              <w:rPr/>
            </w:pPr>
            <w:r>
              <w:rPr/>
              <w:t>(1,234</w:t>
            </w:r>
          </w:p>
        </w:tc>
        <w:tc>
          <w:tcPr>
            <w:tcW w:w="597" w:type="dxa"/>
            <w:tcBorders/>
            <w:shd w:fill="CCEEFF" w:val="clear"/>
            <w:vAlign w:val="bottom"/>
          </w:tcPr>
          <w:p>
            <w:pPr>
              <w:pStyle w:val="TableContents"/>
              <w:bidi w:val="0"/>
              <w:spacing w:before="0" w:after="0"/>
              <w:jc w:val="left"/>
              <w:rPr/>
            </w:pPr>
            <w:r>
              <w:rPr/>
              <w:t>) </w:t>
            </w:r>
          </w:p>
        </w:tc>
      </w:tr>
      <w:tr>
        <w:trPr/>
        <w:tc>
          <w:tcPr>
            <w:tcW w:w="7339" w:type="dxa"/>
            <w:tcBorders/>
            <w:vAlign w:val="bottom"/>
          </w:tcPr>
          <w:p>
            <w:pPr>
              <w:pStyle w:val="TableContents"/>
              <w:bidi w:val="0"/>
              <w:spacing w:before="0" w:after="0"/>
              <w:ind w:left="0" w:right="0" w:firstLine="180"/>
              <w:jc w:val="left"/>
              <w:rPr/>
            </w:pPr>
            <w:r>
              <w:rPr/>
              <w:t>State Income Taxes, net of Federal Income tax Benefit</w:t>
            </w:r>
          </w:p>
        </w:tc>
        <w:tc>
          <w:tcPr>
            <w:tcW w:w="440" w:type="dxa"/>
            <w:tcBorders/>
            <w:vAlign w:val="bottom"/>
          </w:tcPr>
          <w:p>
            <w:pPr>
              <w:pStyle w:val="TableContents"/>
              <w:bidi w:val="0"/>
              <w:spacing w:before="0" w:after="283"/>
              <w:ind w:left="0" w:right="0" w:hanging="0"/>
              <w:jc w:val="left"/>
              <w:rPr/>
            </w:pPr>
            <w:r>
              <w:rPr/>
              <w:t> </w:t>
            </w:r>
          </w:p>
        </w:tc>
        <w:tc>
          <w:tcPr>
            <w:tcW w:w="1726" w:type="dxa"/>
            <w:tcBorders/>
            <w:vAlign w:val="bottom"/>
          </w:tcPr>
          <w:p>
            <w:pPr>
              <w:pStyle w:val="TableContents"/>
              <w:bidi w:val="0"/>
              <w:spacing w:before="0" w:after="0"/>
              <w:ind w:left="0" w:right="0" w:hanging="0"/>
              <w:jc w:val="right"/>
              <w:rPr/>
            </w:pPr>
            <w:r>
              <w:rPr/>
              <w:t>(67</w:t>
            </w:r>
          </w:p>
        </w:tc>
        <w:tc>
          <w:tcPr>
            <w:tcW w:w="597" w:type="dxa"/>
            <w:tcBorders/>
            <w:vAlign w:val="bottom"/>
          </w:tcPr>
          <w:p>
            <w:pPr>
              <w:pStyle w:val="TableContents"/>
              <w:bidi w:val="0"/>
              <w:spacing w:before="0" w:after="0"/>
              <w:jc w:val="left"/>
              <w:rPr/>
            </w:pPr>
            <w:r>
              <w:rPr/>
              <w:t>) </w:t>
            </w:r>
          </w:p>
        </w:tc>
      </w:tr>
      <w:tr>
        <w:trPr/>
        <w:tc>
          <w:tcPr>
            <w:tcW w:w="7339" w:type="dxa"/>
            <w:tcBorders/>
            <w:shd w:fill="CCEEFF" w:val="clear"/>
            <w:vAlign w:val="bottom"/>
          </w:tcPr>
          <w:p>
            <w:pPr>
              <w:pStyle w:val="TableContents"/>
              <w:bidi w:val="0"/>
              <w:spacing w:before="0" w:after="0"/>
              <w:ind w:left="0" w:right="0" w:firstLine="180"/>
              <w:jc w:val="left"/>
              <w:rPr/>
            </w:pPr>
            <w:r>
              <w:rPr/>
              <w:t>Permanent differences and other</w:t>
            </w:r>
          </w:p>
        </w:tc>
        <w:tc>
          <w:tcPr>
            <w:tcW w:w="440" w:type="dxa"/>
            <w:tcBorders/>
            <w:shd w:fill="CCEEFF" w:val="clear"/>
            <w:vAlign w:val="bottom"/>
          </w:tcPr>
          <w:p>
            <w:pPr>
              <w:pStyle w:val="TableContents"/>
              <w:bidi w:val="0"/>
              <w:spacing w:before="0" w:after="283"/>
              <w:ind w:left="0" w:right="0" w:hanging="0"/>
              <w:jc w:val="left"/>
              <w:rPr/>
            </w:pPr>
            <w:r>
              <w:rPr/>
              <w:t> </w:t>
            </w:r>
          </w:p>
        </w:tc>
        <w:tc>
          <w:tcPr>
            <w:tcW w:w="1726" w:type="dxa"/>
            <w:tcBorders/>
            <w:shd w:fill="CCEEFF" w:val="clear"/>
            <w:vAlign w:val="bottom"/>
          </w:tcPr>
          <w:p>
            <w:pPr>
              <w:pStyle w:val="TableContents"/>
              <w:bidi w:val="0"/>
              <w:spacing w:before="0" w:after="0"/>
              <w:ind w:left="0" w:right="0" w:hanging="0"/>
              <w:jc w:val="right"/>
              <w:rPr/>
            </w:pPr>
            <w:r>
              <w:rPr/>
              <w:t>(1,411</w:t>
            </w:r>
          </w:p>
        </w:tc>
        <w:tc>
          <w:tcPr>
            <w:tcW w:w="597" w:type="dxa"/>
            <w:tcBorders/>
            <w:shd w:fill="CCEEFF" w:val="clear"/>
            <w:vAlign w:val="bottom"/>
          </w:tcPr>
          <w:p>
            <w:pPr>
              <w:pStyle w:val="TableContents"/>
              <w:bidi w:val="0"/>
              <w:spacing w:before="0" w:after="0"/>
              <w:jc w:val="left"/>
              <w:rPr/>
            </w:pPr>
            <w:r>
              <w:rPr/>
              <w:t>) </w:t>
            </w:r>
          </w:p>
        </w:tc>
      </w:tr>
      <w:tr>
        <w:trPr/>
        <w:tc>
          <w:tcPr>
            <w:tcW w:w="7339" w:type="dxa"/>
            <w:tcBorders/>
            <w:vAlign w:val="bottom"/>
          </w:tcPr>
          <w:p>
            <w:pPr>
              <w:pStyle w:val="TableContents"/>
              <w:bidi w:val="0"/>
              <w:spacing w:before="0" w:after="0"/>
              <w:ind w:left="0" w:right="0" w:firstLine="180"/>
              <w:jc w:val="left"/>
              <w:rPr/>
            </w:pPr>
            <w:r>
              <w:rPr/>
              <w:t>Valuation Allowance</w:t>
            </w:r>
          </w:p>
        </w:tc>
        <w:tc>
          <w:tcPr>
            <w:tcW w:w="440" w:type="dxa"/>
            <w:tcBorders>
              <w:bottom w:val="single" w:sz="2" w:space="0" w:color="000000"/>
            </w:tcBorders>
            <w:tcMar>
              <w:bottom w:w="28" w:type="dxa"/>
            </w:tcMar>
            <w:vAlign w:val="bottom"/>
          </w:tcPr>
          <w:p>
            <w:pPr>
              <w:pStyle w:val="TableContents"/>
              <w:bidi w:val="0"/>
              <w:spacing w:before="0" w:after="283"/>
              <w:ind w:left="0" w:right="0" w:hanging="0"/>
              <w:jc w:val="left"/>
              <w:rPr/>
            </w:pPr>
            <w:r>
              <w:rPr/>
              <w:t> </w:t>
            </w:r>
          </w:p>
        </w:tc>
        <w:tc>
          <w:tcPr>
            <w:tcW w:w="1726" w:type="dxa"/>
            <w:tcBorders>
              <w:bottom w:val="single" w:sz="2" w:space="0" w:color="000000"/>
            </w:tcBorders>
            <w:tcMar>
              <w:bottom w:w="28" w:type="dxa"/>
            </w:tcMar>
            <w:vAlign w:val="bottom"/>
          </w:tcPr>
          <w:p>
            <w:pPr>
              <w:pStyle w:val="TableContents"/>
              <w:bidi w:val="0"/>
              <w:spacing w:before="0" w:after="0"/>
              <w:ind w:left="0" w:right="0" w:hanging="0"/>
              <w:jc w:val="right"/>
              <w:rPr/>
            </w:pPr>
            <w:r>
              <w:rPr/>
              <w:t>2,712</w:t>
            </w:r>
          </w:p>
        </w:tc>
        <w:tc>
          <w:tcPr>
            <w:tcW w:w="597" w:type="dxa"/>
            <w:tcBorders>
              <w:bottom w:val="single" w:sz="2" w:space="0" w:color="000000"/>
            </w:tcBorders>
            <w:tcMar>
              <w:bottom w:w="28" w:type="dxa"/>
            </w:tcMar>
            <w:vAlign w:val="bottom"/>
          </w:tcPr>
          <w:p>
            <w:pPr>
              <w:pStyle w:val="TableContents"/>
              <w:bidi w:val="0"/>
              <w:spacing w:before="0" w:after="0"/>
              <w:jc w:val="left"/>
              <w:rPr/>
            </w:pPr>
            <w:r>
              <w:rPr/>
              <w:t> </w:t>
            </w:r>
          </w:p>
        </w:tc>
      </w:tr>
      <w:tr>
        <w:trPr/>
        <w:tc>
          <w:tcPr>
            <w:tcW w:w="7339" w:type="dxa"/>
            <w:tcBorders/>
            <w:shd w:fill="CCEEFF" w:val="clear"/>
            <w:vAlign w:val="bottom"/>
          </w:tcPr>
          <w:p>
            <w:pPr>
              <w:pStyle w:val="TableContents"/>
              <w:bidi w:val="0"/>
              <w:spacing w:before="0" w:after="0"/>
              <w:ind w:left="5" w:right="0" w:hanging="0"/>
              <w:jc w:val="left"/>
              <w:rPr/>
            </w:pPr>
            <w:r>
              <w:rPr/>
              <w:t>Income Tax Provision/(Benefit)</w:t>
            </w:r>
          </w:p>
        </w:tc>
        <w:tc>
          <w:tcPr>
            <w:tcW w:w="440" w:type="dxa"/>
            <w:tcBorders>
              <w:bottom w:val="double" w:sz="6" w:space="0" w:color="000000"/>
            </w:tcBorders>
            <w:shd w:fill="CCEEFF" w:val="clear"/>
            <w:tcMar>
              <w:bottom w:w="28" w:type="dxa"/>
            </w:tcMar>
            <w:vAlign w:val="bottom"/>
          </w:tcPr>
          <w:p>
            <w:pPr>
              <w:pStyle w:val="TableContents"/>
              <w:bidi w:val="0"/>
              <w:spacing w:before="0" w:after="0"/>
              <w:ind w:left="0" w:right="0" w:hanging="0"/>
              <w:jc w:val="left"/>
              <w:rPr/>
            </w:pPr>
            <w:r>
              <w:rPr/>
              <w:t>$</w:t>
            </w:r>
          </w:p>
        </w:tc>
        <w:tc>
          <w:tcPr>
            <w:tcW w:w="1726" w:type="dxa"/>
            <w:tcBorders>
              <w:bottom w:val="double" w:sz="6" w:space="0" w:color="000000"/>
            </w:tcBorders>
            <w:shd w:fill="CCEEFF" w:val="clear"/>
            <w:tcMar>
              <w:bottom w:w="28" w:type="dxa"/>
            </w:tcMar>
            <w:vAlign w:val="bottom"/>
          </w:tcPr>
          <w:p>
            <w:pPr>
              <w:pStyle w:val="TableContents"/>
              <w:bidi w:val="0"/>
              <w:spacing w:before="0" w:after="0"/>
              <w:ind w:left="0" w:right="0" w:hanging="0"/>
              <w:jc w:val="right"/>
              <w:rPr/>
            </w:pPr>
            <w:r>
              <w:rPr/>
              <w:t xml:space="preserve">  </w:t>
            </w:r>
            <w:r>
              <w:rPr/>
              <w:t xml:space="preserve">- </w:t>
            </w:r>
          </w:p>
        </w:tc>
        <w:tc>
          <w:tcPr>
            <w:tcW w:w="597" w:type="dxa"/>
            <w:tcBorders>
              <w:bottom w:val="double" w:sz="6" w:space="0" w:color="000000"/>
            </w:tcBorders>
            <w:shd w:fill="CCEEFF" w:val="clear"/>
            <w:tcMar>
              <w:bottom w:w="28" w:type="dxa"/>
            </w:tcMar>
            <w:vAlign w:val="bottom"/>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lineRule="auto" w:line="276" w:before="0" w:after="160"/>
        <w:ind w:left="0" w:right="0" w:hanging="0"/>
        <w:jc w:val="left"/>
        <w:rPr>
          <w:rFonts w:ascii="TimesNewRoman;Times New Roman;Times;Baskerville;Georgia;serif" w:hAnsi="TimesNewRoman;Times New Roman;Times;Baskerville;Georgia;serif"/>
          <w:sz w:val="20"/>
        </w:rPr>
      </w:pPr>
      <w:r>
        <w:rPr>
          <w:rFonts w:ascii="TimesNewRoman;Times New Roman;Times;Baskerville;Georgia;serif" w:hAnsi="TimesNewRoman;Times New Roman;Times;Baskerville;Georgia;serif"/>
          <w:sz w:val="20"/>
        </w:rPr>
        <w:t>Deferred income taxes represent the tax effect of transactions that are reported in different periods for financial and tax reporting purposes. The combined temporary differences and carryforwards of each tax paying component of the Company that give rise to a significant portion of the deferred income tax benefits and liabilities are as follows as of December 31, 2024:</w:t>
      </w:r>
    </w:p>
    <w:tbl>
      <w:tblPr>
        <w:tblW w:w="4950" w:type="pct"/>
        <w:jc w:val="left"/>
        <w:tblInd w:w="0" w:type="dxa"/>
        <w:tblLayout w:type="fixed"/>
        <w:tblCellMar>
          <w:top w:w="0" w:type="dxa"/>
          <w:left w:w="0" w:type="dxa"/>
          <w:bottom w:w="0" w:type="dxa"/>
          <w:right w:w="0" w:type="dxa"/>
        </w:tblCellMar>
      </w:tblPr>
      <w:tblGrid>
        <w:gridCol w:w="6426"/>
        <w:gridCol w:w="524"/>
        <w:gridCol w:w="2439"/>
        <w:gridCol w:w="713"/>
      </w:tblGrid>
      <w:tr>
        <w:trPr/>
        <w:tc>
          <w:tcPr>
            <w:tcW w:w="6426" w:type="dxa"/>
            <w:tcBorders/>
          </w:tcPr>
          <w:p>
            <w:pPr>
              <w:pStyle w:val="TableContents"/>
              <w:bidi w:val="0"/>
              <w:spacing w:before="0" w:after="283"/>
              <w:jc w:val="left"/>
              <w:rPr/>
            </w:pPr>
            <w:r>
              <w:rPr/>
              <w:t> </w:t>
            </w:r>
          </w:p>
        </w:tc>
        <w:tc>
          <w:tcPr>
            <w:tcW w:w="3676" w:type="dxa"/>
            <w:gridSpan w:val="3"/>
            <w:tcBorders/>
            <w:vAlign w:val="bottom"/>
          </w:tcPr>
          <w:p>
            <w:pPr>
              <w:pStyle w:val="TableContents"/>
              <w:bidi w:val="0"/>
              <w:spacing w:before="0" w:after="0"/>
              <w:ind w:left="0" w:right="0" w:hanging="0"/>
              <w:jc w:val="center"/>
              <w:rPr/>
            </w:pPr>
            <w:r>
              <w:rPr/>
              <w:t> </w:t>
            </w:r>
            <w:r>
              <w:rPr>
                <w:b/>
              </w:rPr>
              <w:t>Year Ended</w:t>
            </w:r>
          </w:p>
        </w:tc>
      </w:tr>
      <w:tr>
        <w:trPr/>
        <w:tc>
          <w:tcPr>
            <w:tcW w:w="6426" w:type="dxa"/>
            <w:tcBorders/>
            <w:vAlign w:val="bottom"/>
          </w:tcPr>
          <w:p>
            <w:pPr>
              <w:pStyle w:val="TableContents"/>
              <w:bidi w:val="0"/>
              <w:spacing w:before="0" w:after="283"/>
              <w:jc w:val="left"/>
              <w:rPr/>
            </w:pPr>
            <w:r>
              <w:rPr/>
              <w:t> </w:t>
            </w:r>
          </w:p>
        </w:tc>
        <w:tc>
          <w:tcPr>
            <w:tcW w:w="3676" w:type="dxa"/>
            <w:gridSpan w:val="3"/>
            <w:tcBorders/>
          </w:tcPr>
          <w:p>
            <w:pPr>
              <w:pStyle w:val="TableContents"/>
              <w:bidi w:val="0"/>
              <w:spacing w:before="0" w:after="0"/>
              <w:ind w:left="0" w:right="0" w:hanging="0"/>
              <w:jc w:val="center"/>
              <w:rPr/>
            </w:pPr>
            <w:r>
              <w:rPr/>
              <w:t> </w:t>
            </w:r>
            <w:r>
              <w:rPr>
                <w:b/>
              </w:rPr>
              <w:t>December 31, 2024</w:t>
            </w:r>
          </w:p>
        </w:tc>
      </w:tr>
      <w:tr>
        <w:trPr/>
        <w:tc>
          <w:tcPr>
            <w:tcW w:w="6426" w:type="dxa"/>
            <w:tcBorders/>
            <w:vAlign w:val="bottom"/>
          </w:tcPr>
          <w:p>
            <w:pPr>
              <w:pStyle w:val="TableContents"/>
              <w:bidi w:val="0"/>
              <w:spacing w:before="0" w:after="283"/>
              <w:jc w:val="left"/>
              <w:rPr/>
            </w:pPr>
            <w:r>
              <w:rPr/>
              <w:t> </w:t>
            </w:r>
          </w:p>
        </w:tc>
        <w:tc>
          <w:tcPr>
            <w:tcW w:w="524" w:type="dxa"/>
            <w:tcBorders/>
            <w:vAlign w:val="bottom"/>
          </w:tcPr>
          <w:p>
            <w:pPr>
              <w:pStyle w:val="TableContents"/>
              <w:bidi w:val="0"/>
              <w:spacing w:before="0" w:after="283"/>
              <w:jc w:val="left"/>
              <w:rPr/>
            </w:pPr>
            <w:r>
              <w:rPr/>
              <w:t> </w:t>
            </w:r>
          </w:p>
        </w:tc>
        <w:tc>
          <w:tcPr>
            <w:tcW w:w="2439"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left"/>
              <w:rPr/>
            </w:pPr>
            <w:r>
              <w:rPr/>
              <w:t> </w:t>
            </w:r>
          </w:p>
        </w:tc>
      </w:tr>
      <w:tr>
        <w:trPr/>
        <w:tc>
          <w:tcPr>
            <w:tcW w:w="6426" w:type="dxa"/>
            <w:tcBorders/>
            <w:vAlign w:val="bottom"/>
          </w:tcPr>
          <w:p>
            <w:pPr>
              <w:pStyle w:val="TableContents"/>
              <w:bidi w:val="0"/>
              <w:spacing w:before="0" w:after="0"/>
              <w:ind w:left="0" w:right="0" w:hanging="0"/>
              <w:jc w:val="left"/>
              <w:rPr/>
            </w:pPr>
            <w:r>
              <w:rPr/>
              <w:t>Deferred income tax assets:</w:t>
            </w:r>
          </w:p>
        </w:tc>
        <w:tc>
          <w:tcPr>
            <w:tcW w:w="524" w:type="dxa"/>
            <w:tcBorders/>
            <w:vAlign w:val="bottom"/>
          </w:tcPr>
          <w:p>
            <w:pPr>
              <w:pStyle w:val="TableContents"/>
              <w:bidi w:val="0"/>
              <w:spacing w:before="0" w:after="283"/>
              <w:jc w:val="left"/>
              <w:rPr/>
            </w:pPr>
            <w:r>
              <w:rPr/>
              <w:t> </w:t>
            </w:r>
          </w:p>
        </w:tc>
        <w:tc>
          <w:tcPr>
            <w:tcW w:w="2439"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left"/>
              <w:rPr/>
            </w:pPr>
            <w:r>
              <w:rPr/>
              <w:t> </w:t>
            </w:r>
          </w:p>
        </w:tc>
      </w:tr>
      <w:tr>
        <w:trPr/>
        <w:tc>
          <w:tcPr>
            <w:tcW w:w="6426" w:type="dxa"/>
            <w:tcBorders/>
            <w:shd w:fill="CCEEFF" w:val="clear"/>
            <w:vAlign w:val="bottom"/>
          </w:tcPr>
          <w:p>
            <w:pPr>
              <w:pStyle w:val="TableContents"/>
              <w:bidi w:val="0"/>
              <w:spacing w:before="0" w:after="0"/>
              <w:ind w:left="5" w:right="0" w:hanging="0"/>
              <w:jc w:val="left"/>
              <w:rPr/>
            </w:pPr>
            <w:r>
              <w:rPr/>
              <w:t>Net operating loss carryforwards</w:t>
            </w:r>
          </w:p>
        </w:tc>
        <w:tc>
          <w:tcPr>
            <w:tcW w:w="524" w:type="dxa"/>
            <w:tcBorders/>
            <w:shd w:fill="CCEEFF" w:val="clear"/>
            <w:vAlign w:val="bottom"/>
          </w:tcPr>
          <w:p>
            <w:pPr>
              <w:pStyle w:val="TableContents"/>
              <w:bidi w:val="0"/>
              <w:spacing w:before="0" w:after="0"/>
              <w:ind w:left="0" w:right="0" w:hanging="0"/>
              <w:jc w:val="left"/>
              <w:rPr/>
            </w:pPr>
            <w:r>
              <w:rPr/>
              <w:t>$</w:t>
            </w:r>
          </w:p>
        </w:tc>
        <w:tc>
          <w:tcPr>
            <w:tcW w:w="2439" w:type="dxa"/>
            <w:tcBorders/>
            <w:shd w:fill="CCEEFF" w:val="clear"/>
            <w:vAlign w:val="bottom"/>
          </w:tcPr>
          <w:p>
            <w:pPr>
              <w:pStyle w:val="TableContents"/>
              <w:bidi w:val="0"/>
              <w:spacing w:before="0" w:after="0"/>
              <w:ind w:left="0" w:right="0" w:hanging="0"/>
              <w:jc w:val="right"/>
              <w:rPr/>
            </w:pPr>
            <w:r>
              <w:rPr/>
              <w:t>18,832</w:t>
            </w:r>
          </w:p>
        </w:tc>
        <w:tc>
          <w:tcPr>
            <w:tcW w:w="713" w:type="dxa"/>
            <w:tcBorders/>
            <w:shd w:fill="CCEEFF" w:val="clear"/>
            <w:vAlign w:val="bottom"/>
          </w:tcPr>
          <w:p>
            <w:pPr>
              <w:pStyle w:val="TableContents"/>
              <w:bidi w:val="0"/>
              <w:spacing w:before="0" w:after="0"/>
              <w:jc w:val="left"/>
              <w:rPr/>
            </w:pPr>
            <w:r>
              <w:rPr/>
              <w:t> </w:t>
            </w:r>
          </w:p>
        </w:tc>
      </w:tr>
      <w:tr>
        <w:trPr/>
        <w:tc>
          <w:tcPr>
            <w:tcW w:w="6426" w:type="dxa"/>
            <w:tcBorders/>
            <w:vAlign w:val="bottom"/>
          </w:tcPr>
          <w:p>
            <w:pPr>
              <w:pStyle w:val="TableContents"/>
              <w:bidi w:val="0"/>
              <w:spacing w:before="0" w:after="0"/>
              <w:ind w:left="0" w:right="0" w:firstLine="360"/>
              <w:jc w:val="left"/>
              <w:rPr/>
            </w:pPr>
            <w:r>
              <w:rPr/>
              <w:t>Sec. 174 capitalization</w:t>
            </w:r>
          </w:p>
        </w:tc>
        <w:tc>
          <w:tcPr>
            <w:tcW w:w="524" w:type="dxa"/>
            <w:tcBorders/>
            <w:vAlign w:val="bottom"/>
          </w:tcPr>
          <w:p>
            <w:pPr>
              <w:pStyle w:val="TableContents"/>
              <w:bidi w:val="0"/>
              <w:spacing w:before="0" w:after="283"/>
              <w:ind w:left="0" w:right="0" w:hanging="0"/>
              <w:jc w:val="left"/>
              <w:rPr/>
            </w:pPr>
            <w:r>
              <w:rPr/>
              <w:t> </w:t>
            </w:r>
          </w:p>
        </w:tc>
        <w:tc>
          <w:tcPr>
            <w:tcW w:w="2439" w:type="dxa"/>
            <w:tcBorders/>
            <w:vAlign w:val="bottom"/>
          </w:tcPr>
          <w:p>
            <w:pPr>
              <w:pStyle w:val="TableContents"/>
              <w:bidi w:val="0"/>
              <w:spacing w:before="0" w:after="0"/>
              <w:ind w:left="0" w:right="0" w:hanging="0"/>
              <w:jc w:val="right"/>
              <w:rPr/>
            </w:pPr>
            <w:r>
              <w:rPr/>
              <w:t>1,931</w:t>
            </w:r>
          </w:p>
        </w:tc>
        <w:tc>
          <w:tcPr>
            <w:tcW w:w="713" w:type="dxa"/>
            <w:tcBorders/>
            <w:vAlign w:val="bottom"/>
          </w:tcPr>
          <w:p>
            <w:pPr>
              <w:pStyle w:val="TableContents"/>
              <w:bidi w:val="0"/>
              <w:spacing w:before="0" w:after="0"/>
              <w:jc w:val="left"/>
              <w:rPr/>
            </w:pPr>
            <w:r>
              <w:rPr/>
              <w:t> </w:t>
            </w:r>
          </w:p>
        </w:tc>
      </w:tr>
      <w:tr>
        <w:trPr/>
        <w:tc>
          <w:tcPr>
            <w:tcW w:w="6426" w:type="dxa"/>
            <w:tcBorders/>
            <w:shd w:fill="CCEEFF" w:val="clear"/>
            <w:vAlign w:val="bottom"/>
          </w:tcPr>
          <w:p>
            <w:pPr>
              <w:pStyle w:val="TableContents"/>
              <w:bidi w:val="0"/>
              <w:spacing w:before="0" w:after="0"/>
              <w:ind w:left="0" w:right="0" w:firstLine="360"/>
              <w:jc w:val="left"/>
              <w:rPr/>
            </w:pPr>
            <w:r>
              <w:rPr/>
              <w:t>Research and development credits</w:t>
            </w:r>
          </w:p>
        </w:tc>
        <w:tc>
          <w:tcPr>
            <w:tcW w:w="524" w:type="dxa"/>
            <w:tcBorders/>
            <w:shd w:fill="CCEEFF" w:val="clear"/>
            <w:vAlign w:val="bottom"/>
          </w:tcPr>
          <w:p>
            <w:pPr>
              <w:pStyle w:val="TableContents"/>
              <w:bidi w:val="0"/>
              <w:spacing w:before="0" w:after="283"/>
              <w:ind w:left="0" w:right="0" w:hanging="0"/>
              <w:jc w:val="left"/>
              <w:rPr/>
            </w:pPr>
            <w:r>
              <w:rPr/>
              <w:t> </w:t>
            </w:r>
          </w:p>
        </w:tc>
        <w:tc>
          <w:tcPr>
            <w:tcW w:w="2439" w:type="dxa"/>
            <w:tcBorders/>
            <w:shd w:fill="CCEEFF" w:val="clear"/>
            <w:vAlign w:val="bottom"/>
          </w:tcPr>
          <w:p>
            <w:pPr>
              <w:pStyle w:val="TableContents"/>
              <w:bidi w:val="0"/>
              <w:spacing w:before="0" w:after="0"/>
              <w:ind w:left="0" w:right="0" w:hanging="0"/>
              <w:jc w:val="right"/>
              <w:rPr/>
            </w:pPr>
            <w:r>
              <w:rPr/>
              <w:t>81</w:t>
            </w:r>
          </w:p>
        </w:tc>
        <w:tc>
          <w:tcPr>
            <w:tcW w:w="713" w:type="dxa"/>
            <w:tcBorders/>
            <w:shd w:fill="CCEEFF" w:val="clear"/>
            <w:vAlign w:val="bottom"/>
          </w:tcPr>
          <w:p>
            <w:pPr>
              <w:pStyle w:val="TableContents"/>
              <w:bidi w:val="0"/>
              <w:spacing w:before="0" w:after="0"/>
              <w:jc w:val="left"/>
              <w:rPr/>
            </w:pPr>
            <w:r>
              <w:rPr/>
              <w:t> </w:t>
            </w:r>
          </w:p>
        </w:tc>
      </w:tr>
      <w:tr>
        <w:trPr/>
        <w:tc>
          <w:tcPr>
            <w:tcW w:w="6426" w:type="dxa"/>
            <w:tcBorders/>
            <w:vAlign w:val="bottom"/>
          </w:tcPr>
          <w:p>
            <w:pPr>
              <w:pStyle w:val="TableContents"/>
              <w:bidi w:val="0"/>
              <w:spacing w:before="0" w:after="0"/>
              <w:ind w:left="0" w:right="0" w:firstLine="360"/>
              <w:jc w:val="left"/>
              <w:rPr/>
            </w:pPr>
            <w:r>
              <w:rPr/>
              <w:t>Stock Based Compensation</w:t>
            </w:r>
          </w:p>
        </w:tc>
        <w:tc>
          <w:tcPr>
            <w:tcW w:w="524" w:type="dxa"/>
            <w:tcBorders/>
            <w:vAlign w:val="bottom"/>
          </w:tcPr>
          <w:p>
            <w:pPr>
              <w:pStyle w:val="TableContents"/>
              <w:bidi w:val="0"/>
              <w:spacing w:before="0" w:after="283"/>
              <w:ind w:left="0" w:right="0" w:hanging="0"/>
              <w:jc w:val="left"/>
              <w:rPr/>
            </w:pPr>
            <w:r>
              <w:rPr/>
              <w:t> </w:t>
            </w:r>
          </w:p>
        </w:tc>
        <w:tc>
          <w:tcPr>
            <w:tcW w:w="2439" w:type="dxa"/>
            <w:tcBorders/>
            <w:vAlign w:val="bottom"/>
          </w:tcPr>
          <w:p>
            <w:pPr>
              <w:pStyle w:val="TableContents"/>
              <w:bidi w:val="0"/>
              <w:spacing w:before="0" w:after="0"/>
              <w:ind w:left="0" w:right="0" w:hanging="0"/>
              <w:jc w:val="right"/>
              <w:rPr/>
            </w:pPr>
            <w:r>
              <w:rPr/>
              <w:t>1,708</w:t>
            </w:r>
          </w:p>
        </w:tc>
        <w:tc>
          <w:tcPr>
            <w:tcW w:w="713" w:type="dxa"/>
            <w:tcBorders/>
            <w:vAlign w:val="bottom"/>
          </w:tcPr>
          <w:p>
            <w:pPr>
              <w:pStyle w:val="TableContents"/>
              <w:bidi w:val="0"/>
              <w:spacing w:before="0" w:after="0"/>
              <w:jc w:val="left"/>
              <w:rPr/>
            </w:pPr>
            <w:r>
              <w:rPr/>
              <w:t> </w:t>
            </w:r>
          </w:p>
        </w:tc>
      </w:tr>
      <w:tr>
        <w:trPr/>
        <w:tc>
          <w:tcPr>
            <w:tcW w:w="6426" w:type="dxa"/>
            <w:tcBorders/>
            <w:shd w:fill="CCEEFF" w:val="clear"/>
            <w:vAlign w:val="bottom"/>
          </w:tcPr>
          <w:p>
            <w:pPr>
              <w:pStyle w:val="TableContents"/>
              <w:bidi w:val="0"/>
              <w:spacing w:before="0" w:after="0"/>
              <w:ind w:left="0" w:right="0" w:firstLine="360"/>
              <w:jc w:val="left"/>
              <w:rPr/>
            </w:pPr>
            <w:r>
              <w:rPr/>
              <w:t>Accruals and Other</w:t>
            </w:r>
          </w:p>
        </w:tc>
        <w:tc>
          <w:tcPr>
            <w:tcW w:w="524" w:type="dxa"/>
            <w:tcBorders>
              <w:bottom w:val="double" w:sz="6"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2439" w:type="dxa"/>
            <w:tcBorders>
              <w:bottom w:val="double" w:sz="6" w:space="0" w:color="000000"/>
            </w:tcBorders>
            <w:shd w:fill="CCEEFF" w:val="clear"/>
            <w:tcMar>
              <w:bottom w:w="28" w:type="dxa"/>
            </w:tcMar>
            <w:vAlign w:val="bottom"/>
          </w:tcPr>
          <w:p>
            <w:pPr>
              <w:pStyle w:val="TableContents"/>
              <w:bidi w:val="0"/>
              <w:spacing w:before="0" w:after="0"/>
              <w:ind w:left="0" w:right="0" w:hanging="0"/>
              <w:jc w:val="right"/>
              <w:rPr/>
            </w:pPr>
            <w:r>
              <w:rPr/>
              <w:t>925</w:t>
            </w:r>
          </w:p>
        </w:tc>
        <w:tc>
          <w:tcPr>
            <w:tcW w:w="713" w:type="dxa"/>
            <w:tcBorders>
              <w:bottom w:val="double" w:sz="6" w:space="0" w:color="000000"/>
            </w:tcBorders>
            <w:shd w:fill="CCEEFF" w:val="clear"/>
            <w:tcMar>
              <w:bottom w:w="28" w:type="dxa"/>
            </w:tcMar>
            <w:vAlign w:val="bottom"/>
          </w:tcPr>
          <w:p>
            <w:pPr>
              <w:pStyle w:val="TableContents"/>
              <w:bidi w:val="0"/>
              <w:spacing w:before="0" w:after="0"/>
              <w:jc w:val="left"/>
              <w:rPr/>
            </w:pPr>
            <w:r>
              <w:rPr/>
              <w:t> </w:t>
            </w:r>
          </w:p>
        </w:tc>
      </w:tr>
      <w:tr>
        <w:trPr/>
        <w:tc>
          <w:tcPr>
            <w:tcW w:w="6426" w:type="dxa"/>
            <w:tcBorders/>
            <w:vAlign w:val="bottom"/>
          </w:tcPr>
          <w:p>
            <w:pPr>
              <w:pStyle w:val="TableContents"/>
              <w:bidi w:val="0"/>
              <w:spacing w:before="0" w:after="0"/>
              <w:ind w:left="0" w:right="0" w:firstLine="180"/>
              <w:jc w:val="left"/>
              <w:rPr/>
            </w:pPr>
            <w:r>
              <w:rPr/>
              <w:t>Total deferred tax assets (gross)</w:t>
            </w:r>
          </w:p>
        </w:tc>
        <w:tc>
          <w:tcPr>
            <w:tcW w:w="524" w:type="dxa"/>
            <w:tcBorders/>
            <w:vAlign w:val="bottom"/>
          </w:tcPr>
          <w:p>
            <w:pPr>
              <w:pStyle w:val="TableContents"/>
              <w:bidi w:val="0"/>
              <w:spacing w:before="0" w:after="283"/>
              <w:ind w:left="0" w:right="0" w:hanging="0"/>
              <w:jc w:val="left"/>
              <w:rPr/>
            </w:pPr>
            <w:r>
              <w:rPr/>
              <w:t> </w:t>
            </w:r>
          </w:p>
        </w:tc>
        <w:tc>
          <w:tcPr>
            <w:tcW w:w="2439" w:type="dxa"/>
            <w:tcBorders/>
            <w:vAlign w:val="bottom"/>
          </w:tcPr>
          <w:p>
            <w:pPr>
              <w:pStyle w:val="TableContents"/>
              <w:bidi w:val="0"/>
              <w:spacing w:before="0" w:after="0"/>
              <w:ind w:left="0" w:right="0" w:hanging="0"/>
              <w:jc w:val="right"/>
              <w:rPr/>
            </w:pPr>
            <w:r>
              <w:rPr/>
              <w:t>23,477</w:t>
            </w:r>
          </w:p>
        </w:tc>
        <w:tc>
          <w:tcPr>
            <w:tcW w:w="713" w:type="dxa"/>
            <w:tcBorders/>
            <w:vAlign w:val="bottom"/>
          </w:tcPr>
          <w:p>
            <w:pPr>
              <w:pStyle w:val="TableContents"/>
              <w:bidi w:val="0"/>
              <w:spacing w:before="0" w:after="0"/>
              <w:jc w:val="left"/>
              <w:rPr/>
            </w:pPr>
            <w:r>
              <w:rPr/>
              <w:t> </w:t>
            </w:r>
          </w:p>
        </w:tc>
      </w:tr>
      <w:tr>
        <w:trPr/>
        <w:tc>
          <w:tcPr>
            <w:tcW w:w="6426" w:type="dxa"/>
            <w:tcBorders/>
            <w:shd w:fill="CCEEFF" w:val="clear"/>
            <w:vAlign w:val="bottom"/>
          </w:tcPr>
          <w:p>
            <w:pPr>
              <w:pStyle w:val="TableContents"/>
              <w:bidi w:val="0"/>
              <w:spacing w:before="0" w:after="0"/>
              <w:ind w:left="0" w:right="0" w:firstLine="180"/>
              <w:jc w:val="left"/>
              <w:rPr/>
            </w:pPr>
            <w:r>
              <w:rPr/>
              <w:t>Less valuation allowance</w:t>
            </w:r>
          </w:p>
        </w:tc>
        <w:tc>
          <w:tcPr>
            <w:tcW w:w="524" w:type="dxa"/>
            <w:tcBorders>
              <w:bottom w:val="single" w:sz="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2439" w:type="dxa"/>
            <w:tcBorders>
              <w:bottom w:val="single" w:sz="2" w:space="0" w:color="000000"/>
            </w:tcBorders>
            <w:shd w:fill="CCEEFF" w:val="clear"/>
            <w:tcMar>
              <w:bottom w:w="28" w:type="dxa"/>
            </w:tcMar>
            <w:vAlign w:val="bottom"/>
          </w:tcPr>
          <w:p>
            <w:pPr>
              <w:pStyle w:val="TableContents"/>
              <w:bidi w:val="0"/>
              <w:spacing w:before="0" w:after="0"/>
              <w:ind w:left="0" w:right="0" w:hanging="0"/>
              <w:jc w:val="right"/>
              <w:rPr/>
            </w:pPr>
            <w:r>
              <w:rPr/>
              <w:t>(23,015</w:t>
            </w:r>
          </w:p>
        </w:tc>
        <w:tc>
          <w:tcPr>
            <w:tcW w:w="713" w:type="dxa"/>
            <w:tcBorders>
              <w:bottom w:val="single" w:sz="2" w:space="0" w:color="000000"/>
            </w:tcBorders>
            <w:shd w:fill="CCEEFF" w:val="clear"/>
            <w:tcMar>
              <w:bottom w:w="28" w:type="dxa"/>
            </w:tcMar>
            <w:vAlign w:val="bottom"/>
          </w:tcPr>
          <w:p>
            <w:pPr>
              <w:pStyle w:val="TableContents"/>
              <w:bidi w:val="0"/>
              <w:spacing w:before="0" w:after="0"/>
              <w:jc w:val="left"/>
              <w:rPr/>
            </w:pPr>
            <w:r>
              <w:rPr/>
              <w:t>) </w:t>
            </w:r>
          </w:p>
        </w:tc>
      </w:tr>
      <w:tr>
        <w:trPr/>
        <w:tc>
          <w:tcPr>
            <w:tcW w:w="6426" w:type="dxa"/>
            <w:tcBorders/>
            <w:vAlign w:val="bottom"/>
          </w:tcPr>
          <w:p>
            <w:pPr>
              <w:pStyle w:val="TableContents"/>
              <w:bidi w:val="0"/>
              <w:spacing w:before="0" w:after="0"/>
              <w:ind w:left="0" w:right="0" w:firstLine="180"/>
              <w:jc w:val="left"/>
              <w:rPr/>
            </w:pPr>
            <w:r>
              <w:rPr/>
              <w:t>Net deferred tax assets</w:t>
            </w:r>
          </w:p>
        </w:tc>
        <w:tc>
          <w:tcPr>
            <w:tcW w:w="524" w:type="dxa"/>
            <w:tcBorders/>
            <w:vAlign w:val="bottom"/>
          </w:tcPr>
          <w:p>
            <w:pPr>
              <w:pStyle w:val="TableContents"/>
              <w:bidi w:val="0"/>
              <w:spacing w:before="0" w:after="283"/>
              <w:ind w:left="0" w:right="0" w:hanging="0"/>
              <w:jc w:val="left"/>
              <w:rPr/>
            </w:pPr>
            <w:r>
              <w:rPr/>
              <w:t> </w:t>
            </w:r>
          </w:p>
        </w:tc>
        <w:tc>
          <w:tcPr>
            <w:tcW w:w="2439" w:type="dxa"/>
            <w:tcBorders/>
            <w:vAlign w:val="bottom"/>
          </w:tcPr>
          <w:p>
            <w:pPr>
              <w:pStyle w:val="TableContents"/>
              <w:bidi w:val="0"/>
              <w:spacing w:before="0" w:after="0"/>
              <w:ind w:left="0" w:right="0" w:hanging="0"/>
              <w:jc w:val="right"/>
              <w:rPr/>
            </w:pPr>
            <w:r>
              <w:rPr/>
              <w:t>462</w:t>
            </w:r>
          </w:p>
        </w:tc>
        <w:tc>
          <w:tcPr>
            <w:tcW w:w="713" w:type="dxa"/>
            <w:tcBorders/>
            <w:vAlign w:val="bottom"/>
          </w:tcPr>
          <w:p>
            <w:pPr>
              <w:pStyle w:val="TableContents"/>
              <w:bidi w:val="0"/>
              <w:spacing w:before="0" w:after="0"/>
              <w:jc w:val="left"/>
              <w:rPr/>
            </w:pPr>
            <w:r>
              <w:rPr/>
              <w:t> </w:t>
            </w:r>
          </w:p>
        </w:tc>
      </w:tr>
      <w:tr>
        <w:trPr/>
        <w:tc>
          <w:tcPr>
            <w:tcW w:w="6426"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left"/>
              <w:rPr/>
            </w:pPr>
            <w:r>
              <w:rPr/>
              <w:t> </w:t>
            </w:r>
          </w:p>
        </w:tc>
        <w:tc>
          <w:tcPr>
            <w:tcW w:w="2439" w:type="dxa"/>
            <w:tcBorders/>
            <w:shd w:fill="CCEEFF" w:val="clear"/>
            <w:vAlign w:val="center"/>
          </w:tcPr>
          <w:p>
            <w:pPr>
              <w:pStyle w:val="TableContents"/>
              <w:bidi w:val="0"/>
              <w:spacing w:before="0" w:after="283"/>
              <w:jc w:val="right"/>
              <w:rPr/>
            </w:pPr>
            <w:r>
              <w:rPr/>
              <w:t> </w:t>
            </w:r>
          </w:p>
        </w:tc>
        <w:tc>
          <w:tcPr>
            <w:tcW w:w="713" w:type="dxa"/>
            <w:tcBorders/>
            <w:shd w:fill="CCEEFF" w:val="clear"/>
            <w:vAlign w:val="center"/>
          </w:tcPr>
          <w:p>
            <w:pPr>
              <w:pStyle w:val="TableContents"/>
              <w:bidi w:val="0"/>
              <w:spacing w:before="0" w:after="283"/>
              <w:jc w:val="right"/>
              <w:rPr/>
            </w:pPr>
            <w:r>
              <w:rPr/>
              <w:t> </w:t>
            </w:r>
          </w:p>
        </w:tc>
      </w:tr>
      <w:tr>
        <w:trPr/>
        <w:tc>
          <w:tcPr>
            <w:tcW w:w="6426" w:type="dxa"/>
            <w:tcBorders/>
            <w:vAlign w:val="bottom"/>
          </w:tcPr>
          <w:p>
            <w:pPr>
              <w:pStyle w:val="TableContents"/>
              <w:bidi w:val="0"/>
              <w:spacing w:before="0" w:after="0"/>
              <w:ind w:left="0" w:right="0" w:firstLine="180"/>
              <w:jc w:val="left"/>
              <w:rPr/>
            </w:pPr>
            <w:r>
              <w:rPr/>
              <w:t>Deferred income tax liabilities:</w:t>
            </w:r>
          </w:p>
        </w:tc>
        <w:tc>
          <w:tcPr>
            <w:tcW w:w="524" w:type="dxa"/>
            <w:tcBorders/>
            <w:vAlign w:val="bottom"/>
          </w:tcPr>
          <w:p>
            <w:pPr>
              <w:pStyle w:val="TableContents"/>
              <w:bidi w:val="0"/>
              <w:spacing w:before="0" w:after="283"/>
              <w:ind w:left="0" w:right="0" w:hanging="0"/>
              <w:jc w:val="left"/>
              <w:rPr/>
            </w:pPr>
            <w:r>
              <w:rPr/>
              <w:t> </w:t>
            </w:r>
          </w:p>
        </w:tc>
        <w:tc>
          <w:tcPr>
            <w:tcW w:w="2439" w:type="dxa"/>
            <w:tcBorders/>
            <w:vAlign w:val="bottom"/>
          </w:tcPr>
          <w:p>
            <w:pPr>
              <w:pStyle w:val="TableContents"/>
              <w:bidi w:val="0"/>
              <w:spacing w:before="0" w:after="0"/>
              <w:ind w:left="0" w:right="0" w:hanging="0"/>
              <w:jc w:val="right"/>
              <w:rPr/>
            </w:pPr>
            <w:r>
              <w:rPr/>
              <w:t xml:space="preserve">  </w:t>
            </w:r>
            <w:r>
              <w:rPr/>
              <w:t xml:space="preserve">- </w:t>
            </w:r>
          </w:p>
        </w:tc>
        <w:tc>
          <w:tcPr>
            <w:tcW w:w="713" w:type="dxa"/>
            <w:tcBorders/>
            <w:vAlign w:val="bottom"/>
          </w:tcPr>
          <w:p>
            <w:pPr>
              <w:pStyle w:val="TableContents"/>
              <w:bidi w:val="0"/>
              <w:spacing w:before="0" w:after="0"/>
              <w:jc w:val="left"/>
              <w:rPr/>
            </w:pPr>
            <w:r>
              <w:rPr/>
              <w:t> </w:t>
            </w:r>
          </w:p>
        </w:tc>
      </w:tr>
      <w:tr>
        <w:trPr/>
        <w:tc>
          <w:tcPr>
            <w:tcW w:w="6426" w:type="dxa"/>
            <w:tcBorders/>
            <w:shd w:fill="CCEEFF" w:val="clear"/>
            <w:vAlign w:val="bottom"/>
          </w:tcPr>
          <w:p>
            <w:pPr>
              <w:pStyle w:val="TableContents"/>
              <w:bidi w:val="0"/>
              <w:spacing w:before="0" w:after="0"/>
              <w:ind w:left="0" w:right="0" w:firstLine="360"/>
              <w:jc w:val="left"/>
              <w:rPr/>
            </w:pPr>
            <w:r>
              <w:rPr/>
              <w:t>Depreciation and other</w:t>
            </w:r>
          </w:p>
        </w:tc>
        <w:tc>
          <w:tcPr>
            <w:tcW w:w="524" w:type="dxa"/>
            <w:tcBorders>
              <w:bottom w:val="single" w:sz="2" w:space="0" w:color="000000"/>
            </w:tcBorders>
            <w:shd w:fill="CCEEFF" w:val="clear"/>
            <w:tcMar>
              <w:bottom w:w="28" w:type="dxa"/>
            </w:tcMar>
            <w:vAlign w:val="bottom"/>
          </w:tcPr>
          <w:p>
            <w:pPr>
              <w:pStyle w:val="TableContents"/>
              <w:bidi w:val="0"/>
              <w:spacing w:before="0" w:after="283"/>
              <w:ind w:left="0" w:right="0" w:hanging="0"/>
              <w:jc w:val="left"/>
              <w:rPr/>
            </w:pPr>
            <w:r>
              <w:rPr/>
              <w:t> </w:t>
            </w:r>
          </w:p>
        </w:tc>
        <w:tc>
          <w:tcPr>
            <w:tcW w:w="2439" w:type="dxa"/>
            <w:tcBorders>
              <w:bottom w:val="single" w:sz="2" w:space="0" w:color="000000"/>
            </w:tcBorders>
            <w:shd w:fill="CCEEFF" w:val="clear"/>
            <w:tcMar>
              <w:bottom w:w="28" w:type="dxa"/>
            </w:tcMar>
            <w:vAlign w:val="bottom"/>
          </w:tcPr>
          <w:p>
            <w:pPr>
              <w:pStyle w:val="TableContents"/>
              <w:bidi w:val="0"/>
              <w:spacing w:before="0" w:after="0"/>
              <w:ind w:left="0" w:right="0" w:hanging="0"/>
              <w:jc w:val="right"/>
              <w:rPr/>
            </w:pPr>
            <w:r>
              <w:rPr/>
              <w:t>(462</w:t>
            </w:r>
          </w:p>
        </w:tc>
        <w:tc>
          <w:tcPr>
            <w:tcW w:w="713" w:type="dxa"/>
            <w:tcBorders>
              <w:bottom w:val="single" w:sz="2" w:space="0" w:color="000000"/>
            </w:tcBorders>
            <w:shd w:fill="CCEEFF" w:val="clear"/>
            <w:tcMar>
              <w:bottom w:w="28" w:type="dxa"/>
            </w:tcMar>
            <w:vAlign w:val="bottom"/>
          </w:tcPr>
          <w:p>
            <w:pPr>
              <w:pStyle w:val="TableContents"/>
              <w:bidi w:val="0"/>
              <w:spacing w:before="0" w:after="0"/>
              <w:jc w:val="left"/>
              <w:rPr/>
            </w:pPr>
            <w:r>
              <w:rPr/>
              <w:t>) </w:t>
            </w:r>
          </w:p>
        </w:tc>
      </w:tr>
      <w:tr>
        <w:trPr/>
        <w:tc>
          <w:tcPr>
            <w:tcW w:w="6426" w:type="dxa"/>
            <w:tcBorders/>
            <w:vAlign w:val="bottom"/>
          </w:tcPr>
          <w:p>
            <w:pPr>
              <w:pStyle w:val="TableContents"/>
              <w:bidi w:val="0"/>
              <w:spacing w:before="0" w:after="0"/>
              <w:ind w:left="5" w:right="0" w:hanging="0"/>
              <w:jc w:val="left"/>
              <w:rPr/>
            </w:pPr>
            <w:r>
              <w:rPr/>
              <w:t>Net deferred tax liabilities</w:t>
            </w:r>
          </w:p>
        </w:tc>
        <w:tc>
          <w:tcPr>
            <w:tcW w:w="524" w:type="dxa"/>
            <w:tcBorders>
              <w:bottom w:val="single" w:sz="2" w:space="0" w:color="000000"/>
            </w:tcBorders>
            <w:tcMar>
              <w:bottom w:w="28" w:type="dxa"/>
            </w:tcMar>
            <w:vAlign w:val="bottom"/>
          </w:tcPr>
          <w:p>
            <w:pPr>
              <w:pStyle w:val="TableContents"/>
              <w:bidi w:val="0"/>
              <w:spacing w:before="0" w:after="0"/>
              <w:ind w:left="0" w:right="0" w:hanging="0"/>
              <w:jc w:val="left"/>
              <w:rPr/>
            </w:pPr>
            <w:r>
              <w:rPr/>
              <w:t>$</w:t>
            </w:r>
          </w:p>
        </w:tc>
        <w:tc>
          <w:tcPr>
            <w:tcW w:w="2439" w:type="dxa"/>
            <w:tcBorders>
              <w:bottom w:val="single" w:sz="2" w:space="0" w:color="000000"/>
            </w:tcBorders>
            <w:tcMar>
              <w:bottom w:w="28" w:type="dxa"/>
            </w:tcMar>
            <w:vAlign w:val="bottom"/>
          </w:tcPr>
          <w:p>
            <w:pPr>
              <w:pStyle w:val="TableContents"/>
              <w:bidi w:val="0"/>
              <w:spacing w:before="0" w:after="0"/>
              <w:ind w:left="0" w:right="0" w:hanging="0"/>
              <w:jc w:val="right"/>
              <w:rPr/>
            </w:pPr>
            <w:r>
              <w:rPr/>
              <w:t>(462</w:t>
            </w:r>
          </w:p>
        </w:tc>
        <w:tc>
          <w:tcPr>
            <w:tcW w:w="713" w:type="dxa"/>
            <w:tcBorders>
              <w:bottom w:val="single" w:sz="2" w:space="0" w:color="000000"/>
            </w:tcBorders>
            <w:tcMar>
              <w:bottom w:w="28" w:type="dxa"/>
            </w:tcMar>
            <w:vAlign w:val="bottom"/>
          </w:tcPr>
          <w:p>
            <w:pPr>
              <w:pStyle w:val="TableContents"/>
              <w:bidi w:val="0"/>
              <w:spacing w:before="0" w:after="0"/>
              <w:jc w:val="left"/>
              <w:rPr/>
            </w:pPr>
            <w:r>
              <w:rPr/>
              <w:t>) </w:t>
            </w:r>
          </w:p>
        </w:tc>
      </w:tr>
      <w:tr>
        <w:trPr/>
        <w:tc>
          <w:tcPr>
            <w:tcW w:w="6426" w:type="dxa"/>
            <w:tcBorders/>
            <w:shd w:fill="CCEEFF" w:val="clear"/>
            <w:vAlign w:val="bottom"/>
          </w:tcPr>
          <w:p>
            <w:pPr>
              <w:pStyle w:val="TableContents"/>
              <w:bidi w:val="0"/>
              <w:spacing w:before="0" w:after="0"/>
              <w:ind w:left="5" w:right="0" w:hanging="0"/>
              <w:jc w:val="left"/>
              <w:rPr/>
            </w:pPr>
            <w:r>
              <w:rPr/>
              <w:t>Net deferred income taxes</w:t>
            </w:r>
          </w:p>
        </w:tc>
        <w:tc>
          <w:tcPr>
            <w:tcW w:w="524" w:type="dxa"/>
            <w:tcBorders>
              <w:top w:val="double" w:sz="2" w:space="0" w:color="000000"/>
              <w:left w:val="double" w:sz="2" w:space="0" w:color="000000"/>
              <w:bottom w:val="double" w:sz="6" w:space="0" w:color="000000"/>
              <w:right w:val="double" w:sz="2" w:space="0" w:color="000000"/>
            </w:tcBorders>
            <w:shd w:fill="CCEEFF" w:val="clear"/>
            <w:tcMar>
              <w:top w:w="28" w:type="dxa"/>
              <w:left w:w="28" w:type="dxa"/>
              <w:bottom w:w="28" w:type="dxa"/>
              <w:right w:w="28" w:type="dxa"/>
            </w:tcMar>
            <w:vAlign w:val="bottom"/>
          </w:tcPr>
          <w:p>
            <w:pPr>
              <w:pStyle w:val="TableContents"/>
              <w:bidi w:val="0"/>
              <w:spacing w:before="0" w:after="0"/>
              <w:ind w:left="0" w:right="0" w:hanging="0"/>
              <w:jc w:val="left"/>
              <w:rPr/>
            </w:pPr>
            <w:r>
              <w:rPr/>
              <w:t>$</w:t>
            </w:r>
          </w:p>
        </w:tc>
        <w:tc>
          <w:tcPr>
            <w:tcW w:w="2439" w:type="dxa"/>
            <w:tcBorders>
              <w:bottom w:val="double" w:sz="6" w:space="0" w:color="000000"/>
            </w:tcBorders>
            <w:shd w:fill="CCEEFF" w:val="clear"/>
            <w:tcMar>
              <w:bottom w:w="28" w:type="dxa"/>
            </w:tcMar>
            <w:vAlign w:val="bottom"/>
          </w:tcPr>
          <w:p>
            <w:pPr>
              <w:pStyle w:val="TableContents"/>
              <w:bidi w:val="0"/>
              <w:spacing w:before="0" w:after="0"/>
              <w:ind w:left="0" w:right="0" w:hanging="0"/>
              <w:jc w:val="right"/>
              <w:rPr/>
            </w:pPr>
            <w:r>
              <w:rPr/>
              <w:t xml:space="preserve">- </w:t>
            </w:r>
          </w:p>
        </w:tc>
        <w:tc>
          <w:tcPr>
            <w:tcW w:w="713" w:type="dxa"/>
            <w:tcBorders>
              <w:bottom w:val="double" w:sz="6" w:space="0" w:color="000000"/>
            </w:tcBorders>
            <w:shd w:fill="CCEEFF" w:val="clear"/>
            <w:tcMar>
              <w:bottom w:w="28" w:type="dxa"/>
            </w:tcMar>
            <w:vAlign w:val="bottom"/>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pPr>
      <w:r>
        <w:rPr/>
        <w:t>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F-31</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ind w:left="10" w:right="0" w:hanging="0"/>
        <w:jc w:val="left"/>
        <w:rPr>
          <w:rFonts w:ascii="Times New Roman" w:hAnsi="Times New Roman"/>
          <w:b/>
          <w:color w:val="000000"/>
          <w:sz w:val="20"/>
        </w:rPr>
      </w:pPr>
      <w:r>
        <w:rPr>
          <w:rFonts w:ascii="Times New Roman" w:hAnsi="Times New Roman"/>
          <w:b/>
          <w:color w:val="000000"/>
          <w:sz w:val="20"/>
        </w:rPr>
        <w:t xml:space="preserve">18. MAJOR CUSTOMERS AND RELATED INFORMATION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u w:val="single"/>
        </w:rPr>
        <w:t>Major Customers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shd w:fill="FFFFFF" w:val="clear"/>
        </w:rPr>
        <w:t>For the year ended December 31, 2025, revenue from one distributor accounted for approximately 38%</w:t>
      </w:r>
      <w:r>
        <w:rPr>
          <w:rFonts w:ascii="Times New Roman" w:hAnsi="Times New Roman"/>
          <w:sz w:val="24"/>
          <w:shd w:fill="FFFFFF" w:val="clear"/>
        </w:rPr>
        <w:t> </w:t>
      </w:r>
      <w:r>
        <w:rPr>
          <w:rFonts w:ascii="Times New Roman" w:hAnsi="Times New Roman"/>
          <w:sz w:val="20"/>
          <w:shd w:fill="FFFFFF" w:val="clear"/>
        </w:rPr>
        <w:t>of revenue with no other single customer accounting for more than 10% of total revenue. </w:t>
      </w:r>
      <w:r>
        <w:rPr>
          <w:rFonts w:ascii="Times New Roman" w:hAnsi="Times New Roman"/>
          <w:spacing w:val="0"/>
          <w:sz w:val="20"/>
          <w:shd w:fill="FFFFFF" w:val="clear"/>
        </w:rPr>
        <w:t>Accounts receivable from two distributors accounted for approximately 71% and 10%, respectively, of net accounts receivable and contract assets at December 31, 2025.</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For the year ended December 31, 2024, revenues from two distributors accounted for approximately 23% and 14%, respectively, of revenues with no other single customer accounting for more than 10% of total revenues. Accounts receivable from two distributors accounted for approximately 11% and 10%, respectively, of net accounts receivable and contract assets at December 31, 2024.</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The following table summarizes revenue by geographic region. Revenue is attributed to countries based on customer’s delivery location.</w:t>
      </w:r>
      <w:r>
        <w:rPr>
          <w:rFonts w:ascii="Times New Roman" w:hAnsi="Times New Roman"/>
          <w:sz w:val="24"/>
        </w:rPr>
        <w:t xml:space="preserve"> </w:t>
      </w:r>
    </w:p>
    <w:p>
      <w:pPr>
        <w:pStyle w:val="TextBody"/>
        <w:bidi w:val="0"/>
        <w:spacing w:before="0" w:after="0"/>
        <w:jc w:val="left"/>
        <w:rPr/>
      </w:pPr>
      <w:r>
        <w:rPr/>
        <w:t xml:space="preserve">  </w:t>
      </w:r>
    </w:p>
    <w:tbl>
      <w:tblPr>
        <w:tblW w:w="4838" w:type="dxa"/>
        <w:jc w:val="left"/>
        <w:tblInd w:w="0" w:type="dxa"/>
        <w:tblLayout w:type="fixed"/>
        <w:tblCellMar>
          <w:top w:w="0" w:type="dxa"/>
          <w:left w:w="0" w:type="dxa"/>
          <w:bottom w:w="0" w:type="dxa"/>
          <w:right w:w="0" w:type="dxa"/>
        </w:tblCellMar>
      </w:tblPr>
      <w:tblGrid>
        <w:gridCol w:w="2615"/>
        <w:gridCol w:w="206"/>
        <w:gridCol w:w="715"/>
        <w:gridCol w:w="109"/>
        <w:gridCol w:w="109"/>
        <w:gridCol w:w="206"/>
        <w:gridCol w:w="715"/>
        <w:gridCol w:w="163"/>
      </w:tblGrid>
      <w:tr>
        <w:trPr/>
        <w:tc>
          <w:tcPr>
            <w:tcW w:w="261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15" w:type="dxa"/>
            <w:tcBorders/>
            <w:vAlign w:val="center"/>
          </w:tcPr>
          <w:p>
            <w:pPr>
              <w:pStyle w:val="TableContents"/>
              <w:bidi w:val="0"/>
              <w:spacing w:before="0" w:after="283"/>
              <w:jc w:val="left"/>
              <w:rPr/>
            </w:pPr>
            <w:r>
              <w:rPr/>
              <w:t> </w:t>
            </w:r>
          </w:p>
        </w:tc>
        <w:tc>
          <w:tcPr>
            <w:tcW w:w="2223" w:type="dxa"/>
            <w:gridSpan w:val="7"/>
            <w:tcBorders/>
            <w:vAlign w:val="center"/>
          </w:tcPr>
          <w:p>
            <w:pPr>
              <w:pStyle w:val="TableContents"/>
              <w:bidi w:val="0"/>
              <w:spacing w:before="0" w:after="283"/>
              <w:jc w:val="center"/>
              <w:rPr>
                <w:b/>
              </w:rPr>
            </w:pPr>
            <w:r>
              <w:rPr>
                <w:b/>
              </w:rPr>
              <w:t>For the Year</w:t>
            </w:r>
          </w:p>
        </w:tc>
      </w:tr>
      <w:tr>
        <w:trPr/>
        <w:tc>
          <w:tcPr>
            <w:tcW w:w="2615" w:type="dxa"/>
            <w:tcBorders/>
            <w:vAlign w:val="center"/>
          </w:tcPr>
          <w:p>
            <w:pPr>
              <w:pStyle w:val="TableContents"/>
              <w:bidi w:val="0"/>
              <w:spacing w:before="0" w:after="283"/>
              <w:jc w:val="left"/>
              <w:rPr/>
            </w:pPr>
            <w:r>
              <w:rPr/>
              <w:t> </w:t>
            </w:r>
          </w:p>
        </w:tc>
        <w:tc>
          <w:tcPr>
            <w:tcW w:w="2223" w:type="dxa"/>
            <w:gridSpan w:val="7"/>
            <w:tcBorders>
              <w:bottom w:val="single" w:sz="2" w:space="0" w:color="000000"/>
            </w:tcBorders>
            <w:tcMar>
              <w:bottom w:w="28" w:type="dxa"/>
            </w:tcMar>
            <w:vAlign w:val="center"/>
          </w:tcPr>
          <w:p>
            <w:pPr>
              <w:pStyle w:val="TableContents"/>
              <w:bidi w:val="0"/>
              <w:spacing w:before="0" w:after="283"/>
              <w:jc w:val="center"/>
              <w:rPr>
                <w:b/>
              </w:rPr>
            </w:pPr>
            <w:r>
              <w:rPr>
                <w:b/>
              </w:rPr>
              <w:t>Ended December 31,</w:t>
            </w:r>
          </w:p>
        </w:tc>
      </w:tr>
      <w:tr>
        <w:trPr/>
        <w:tc>
          <w:tcPr>
            <w:tcW w:w="2615" w:type="dxa"/>
            <w:tcBorders/>
            <w:vAlign w:val="center"/>
          </w:tcPr>
          <w:p>
            <w:pPr>
              <w:pStyle w:val="TableContents"/>
              <w:bidi w:val="0"/>
              <w:spacing w:before="0" w:after="283"/>
              <w:jc w:val="left"/>
              <w:rPr/>
            </w:pPr>
            <w:r>
              <w:rPr/>
              <w:t> </w:t>
            </w:r>
          </w:p>
        </w:tc>
        <w:tc>
          <w:tcPr>
            <w:tcW w:w="206" w:type="dxa"/>
            <w:tcBorders>
              <w:bottom w:val="single" w:sz="2" w:space="0" w:color="000000"/>
            </w:tcBorders>
            <w:tcMar>
              <w:bottom w:w="28" w:type="dxa"/>
            </w:tcMar>
            <w:vAlign w:val="center"/>
          </w:tcPr>
          <w:p>
            <w:pPr>
              <w:pStyle w:val="TableContents"/>
              <w:bidi w:val="0"/>
              <w:spacing w:before="0" w:after="283"/>
              <w:jc w:val="left"/>
              <w:rPr/>
            </w:pPr>
            <w:r>
              <w:rPr/>
              <w:t> </w:t>
            </w:r>
          </w:p>
        </w:tc>
        <w:tc>
          <w:tcPr>
            <w:tcW w:w="715" w:type="dxa"/>
            <w:tcBorders>
              <w:bottom w:val="single" w:sz="2" w:space="0" w:color="000000"/>
            </w:tcBorders>
            <w:shd w:fill="FFFFFF" w:val="clear"/>
            <w:tcMar>
              <w:bottom w:w="28" w:type="dxa"/>
            </w:tcMar>
            <w:vAlign w:val="center"/>
          </w:tcPr>
          <w:p>
            <w:pPr>
              <w:pStyle w:val="TableContents"/>
              <w:bidi w:val="0"/>
              <w:spacing w:before="0" w:after="283"/>
              <w:jc w:val="center"/>
              <w:rPr>
                <w:b/>
              </w:rPr>
            </w:pPr>
            <w:r>
              <w:rPr>
                <w:b/>
              </w:rPr>
              <w:t>2025</w:t>
            </w:r>
          </w:p>
        </w:tc>
        <w:tc>
          <w:tcPr>
            <w:tcW w:w="109" w:type="dxa"/>
            <w:tcBorders>
              <w:bottom w:val="single" w:sz="2" w:space="0" w:color="000000"/>
            </w:tcBorders>
            <w:tcMar>
              <w:bottom w:w="28" w:type="dxa"/>
            </w:tcMar>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06" w:type="dxa"/>
            <w:tcBorders>
              <w:bottom w:val="single" w:sz="2" w:space="0" w:color="000000"/>
            </w:tcBorders>
            <w:tcMar>
              <w:bottom w:w="28" w:type="dxa"/>
            </w:tcMar>
            <w:vAlign w:val="center"/>
          </w:tcPr>
          <w:p>
            <w:pPr>
              <w:pStyle w:val="TableContents"/>
              <w:bidi w:val="0"/>
              <w:spacing w:before="0" w:after="283"/>
              <w:jc w:val="left"/>
              <w:rPr/>
            </w:pPr>
            <w:r>
              <w:rPr/>
              <w:t> </w:t>
            </w:r>
          </w:p>
        </w:tc>
        <w:tc>
          <w:tcPr>
            <w:tcW w:w="715" w:type="dxa"/>
            <w:tcBorders>
              <w:bottom w:val="single" w:sz="2" w:space="0" w:color="000000"/>
            </w:tcBorders>
            <w:tcMar>
              <w:bottom w:w="28" w:type="dxa"/>
            </w:tcMar>
            <w:vAlign w:val="center"/>
          </w:tcPr>
          <w:p>
            <w:pPr>
              <w:pStyle w:val="TableContents"/>
              <w:bidi w:val="0"/>
              <w:spacing w:before="0" w:after="283"/>
              <w:jc w:val="center"/>
              <w:rPr>
                <w:b/>
              </w:rPr>
            </w:pPr>
            <w:r>
              <w:rPr>
                <w:b/>
              </w:rPr>
              <w:t>2024</w:t>
            </w:r>
          </w:p>
        </w:tc>
        <w:tc>
          <w:tcPr>
            <w:tcW w:w="16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sz w:val="20"/>
              </w:rPr>
            </w:pPr>
            <w:r>
              <w:rPr>
                <w:sz w:val="20"/>
              </w:rPr>
              <w:t>Americas</w:t>
            </w:r>
          </w:p>
        </w:tc>
        <w:tc>
          <w:tcPr>
            <w:tcW w:w="206" w:type="dxa"/>
            <w:tcBorders/>
            <w:shd w:fill="CCEEFF" w:val="clear"/>
            <w:vAlign w:val="center"/>
          </w:tcPr>
          <w:p>
            <w:pPr>
              <w:pStyle w:val="TableContents"/>
              <w:bidi w:val="0"/>
              <w:spacing w:before="0" w:after="283"/>
              <w:jc w:val="left"/>
              <w:rPr/>
            </w:pPr>
            <w:r>
              <w:rPr/>
              <w:t>$</w:t>
            </w:r>
          </w:p>
        </w:tc>
        <w:tc>
          <w:tcPr>
            <w:tcW w:w="715" w:type="dxa"/>
            <w:tcBorders/>
            <w:shd w:fill="CCEEFF" w:val="clear"/>
            <w:vAlign w:val="center"/>
          </w:tcPr>
          <w:p>
            <w:pPr>
              <w:pStyle w:val="TableContents"/>
              <w:bidi w:val="0"/>
              <w:spacing w:before="0" w:after="283"/>
              <w:jc w:val="right"/>
              <w:rPr/>
            </w:pPr>
            <w:r>
              <w:rPr/>
              <w:t>2,861</w:t>
            </w:r>
          </w:p>
        </w:tc>
        <w:tc>
          <w:tcPr>
            <w:tcW w:w="109"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w:t>
            </w:r>
          </w:p>
        </w:tc>
        <w:tc>
          <w:tcPr>
            <w:tcW w:w="715" w:type="dxa"/>
            <w:tcBorders/>
            <w:shd w:fill="CCEEFF" w:val="clear"/>
            <w:vAlign w:val="center"/>
          </w:tcPr>
          <w:p>
            <w:pPr>
              <w:pStyle w:val="TableContents"/>
              <w:bidi w:val="0"/>
              <w:spacing w:before="0" w:after="283"/>
              <w:jc w:val="right"/>
              <w:rPr/>
            </w:pPr>
            <w:r>
              <w:rPr/>
              <w:t>4,423</w:t>
            </w:r>
          </w:p>
        </w:tc>
        <w:tc>
          <w:tcPr>
            <w:tcW w:w="163" w:type="dxa"/>
            <w:tcBorders/>
            <w:shd w:fill="CCEEFF" w:val="cle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sz w:val="20"/>
              </w:rPr>
            </w:pPr>
            <w:r>
              <w:rPr>
                <w:sz w:val="20"/>
              </w:rPr>
              <w:t>Europe, Middle East and Africa</w:t>
            </w:r>
          </w:p>
        </w:tc>
        <w:tc>
          <w:tcPr>
            <w:tcW w:w="206"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right"/>
              <w:rPr/>
            </w:pPr>
            <w:r>
              <w:rPr/>
              <w:t>2,320</w:t>
            </w:r>
          </w:p>
        </w:tc>
        <w:tc>
          <w:tcPr>
            <w:tcW w:w="109"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right"/>
              <w:rPr/>
            </w:pPr>
            <w:r>
              <w:rPr/>
              <w:t>76</w:t>
            </w:r>
          </w:p>
        </w:tc>
        <w:tc>
          <w:tcPr>
            <w:tcW w:w="163" w:type="dxa"/>
            <w:tcBorders/>
            <w:vAlign w:val="center"/>
          </w:tcPr>
          <w:p>
            <w:pPr>
              <w:pStyle w:val="TableContents"/>
              <w:bidi w:val="0"/>
              <w:spacing w:before="0" w:after="283"/>
              <w:jc w:val="left"/>
              <w:rPr/>
            </w:pPr>
            <w:r>
              <w:rPr/>
              <w:t> </w:t>
            </w:r>
          </w:p>
        </w:tc>
      </w:tr>
      <w:tr>
        <w:trPr/>
        <w:tc>
          <w:tcPr>
            <w:tcW w:w="2615" w:type="dxa"/>
            <w:tcBorders/>
            <w:shd w:fill="CCEEFF" w:val="clear"/>
            <w:vAlign w:val="center"/>
          </w:tcPr>
          <w:p>
            <w:pPr>
              <w:pStyle w:val="TableContents"/>
              <w:bidi w:val="0"/>
              <w:spacing w:before="0" w:after="283"/>
              <w:jc w:val="left"/>
              <w:rPr>
                <w:sz w:val="20"/>
              </w:rPr>
            </w:pPr>
            <w:r>
              <w:rPr>
                <w:sz w:val="20"/>
              </w:rPr>
              <w:t>Asia Pacific</w:t>
            </w:r>
          </w:p>
        </w:tc>
        <w:tc>
          <w:tcPr>
            <w:tcW w:w="20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5" w:type="dxa"/>
            <w:tcBorders>
              <w:bottom w:val="single" w:sz="2" w:space="0" w:color="000000"/>
            </w:tcBorders>
            <w:shd w:fill="CCEEFF" w:val="clear"/>
            <w:tcMar>
              <w:bottom w:w="28" w:type="dxa"/>
            </w:tcMar>
            <w:vAlign w:val="center"/>
          </w:tcPr>
          <w:p>
            <w:pPr>
              <w:pStyle w:val="TableContents"/>
              <w:bidi w:val="0"/>
              <w:spacing w:before="0" w:after="283"/>
              <w:jc w:val="right"/>
              <w:rPr/>
            </w:pPr>
            <w:r>
              <w:rPr/>
              <w:t>22</w:t>
            </w:r>
          </w:p>
        </w:tc>
        <w:tc>
          <w:tcPr>
            <w:tcW w:w="10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5" w:type="dxa"/>
            <w:tcBorders>
              <w:bottom w:val="single" w:sz="2" w:space="0" w:color="000000"/>
            </w:tcBorders>
            <w:shd w:fill="CCEEFF" w:val="clear"/>
            <w:tcMar>
              <w:bottom w:w="28" w:type="dxa"/>
            </w:tcMar>
            <w:vAlign w:val="center"/>
          </w:tcPr>
          <w:p>
            <w:pPr>
              <w:pStyle w:val="TableContents"/>
              <w:bidi w:val="0"/>
              <w:spacing w:before="0" w:after="283"/>
              <w:jc w:val="right"/>
              <w:rPr/>
            </w:pPr>
            <w:r>
              <w:rPr/>
              <w:t>8</w:t>
            </w:r>
          </w:p>
        </w:tc>
        <w:tc>
          <w:tcPr>
            <w:tcW w:w="16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615" w:type="dxa"/>
            <w:tcBorders/>
            <w:vAlign w:val="center"/>
          </w:tcPr>
          <w:p>
            <w:pPr>
              <w:pStyle w:val="TableContents"/>
              <w:bidi w:val="0"/>
              <w:spacing w:before="0" w:after="283"/>
              <w:jc w:val="left"/>
              <w:rPr>
                <w:sz w:val="20"/>
              </w:rPr>
            </w:pPr>
            <w:r>
              <w:rPr>
                <w:sz w:val="20"/>
              </w:rPr>
              <w:t>Total revenues, gross</w:t>
            </w:r>
          </w:p>
        </w:tc>
        <w:tc>
          <w:tcPr>
            <w:tcW w:w="206" w:type="dxa"/>
            <w:tcBorders>
              <w:bottom w:val="double" w:sz="6" w:space="0" w:color="000000"/>
            </w:tcBorders>
            <w:tcMar>
              <w:bottom w:w="28" w:type="dxa"/>
            </w:tcMar>
            <w:vAlign w:val="center"/>
          </w:tcPr>
          <w:p>
            <w:pPr>
              <w:pStyle w:val="TableContents"/>
              <w:bidi w:val="0"/>
              <w:spacing w:before="0" w:after="283"/>
              <w:jc w:val="left"/>
              <w:rPr/>
            </w:pPr>
            <w:r>
              <w:rPr/>
              <w:t>$</w:t>
            </w:r>
          </w:p>
        </w:tc>
        <w:tc>
          <w:tcPr>
            <w:tcW w:w="715" w:type="dxa"/>
            <w:tcBorders>
              <w:bottom w:val="double" w:sz="6" w:space="0" w:color="000000"/>
            </w:tcBorders>
            <w:tcMar>
              <w:bottom w:w="28" w:type="dxa"/>
            </w:tcMar>
            <w:vAlign w:val="center"/>
          </w:tcPr>
          <w:p>
            <w:pPr>
              <w:pStyle w:val="TableContents"/>
              <w:bidi w:val="0"/>
              <w:spacing w:before="0" w:after="283"/>
              <w:jc w:val="right"/>
              <w:rPr/>
            </w:pPr>
            <w:r>
              <w:rPr/>
              <w:t>5,203</w:t>
            </w:r>
          </w:p>
        </w:tc>
        <w:tc>
          <w:tcPr>
            <w:tcW w:w="109" w:type="dxa"/>
            <w:tcBorders>
              <w:bottom w:val="double" w:sz="6" w:space="0" w:color="000000"/>
            </w:tcBorders>
            <w:tcMar>
              <w:bottom w:w="28" w:type="dxa"/>
            </w:tcMar>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206" w:type="dxa"/>
            <w:tcBorders>
              <w:bottom w:val="double" w:sz="6" w:space="0" w:color="000000"/>
            </w:tcBorders>
            <w:tcMar>
              <w:bottom w:w="28" w:type="dxa"/>
            </w:tcMar>
            <w:vAlign w:val="center"/>
          </w:tcPr>
          <w:p>
            <w:pPr>
              <w:pStyle w:val="TableContents"/>
              <w:bidi w:val="0"/>
              <w:spacing w:before="0" w:after="283"/>
              <w:jc w:val="left"/>
              <w:rPr/>
            </w:pPr>
            <w:r>
              <w:rPr/>
              <w:t>$</w:t>
            </w:r>
          </w:p>
        </w:tc>
        <w:tc>
          <w:tcPr>
            <w:tcW w:w="715" w:type="dxa"/>
            <w:tcBorders>
              <w:bottom w:val="double" w:sz="6" w:space="0" w:color="000000"/>
            </w:tcBorders>
            <w:tcMar>
              <w:bottom w:w="28" w:type="dxa"/>
            </w:tcMar>
            <w:vAlign w:val="center"/>
          </w:tcPr>
          <w:p>
            <w:pPr>
              <w:pStyle w:val="TableContents"/>
              <w:bidi w:val="0"/>
              <w:spacing w:before="0" w:after="283"/>
              <w:jc w:val="right"/>
              <w:rPr/>
            </w:pPr>
            <w:r>
              <w:rPr/>
              <w:t>4,507</w:t>
            </w:r>
          </w:p>
        </w:tc>
        <w:tc>
          <w:tcPr>
            <w:tcW w:w="163" w:type="dxa"/>
            <w:tcBorders>
              <w:bottom w:val="double" w:sz="6"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both"/>
        <w:rPr>
          <w:rFonts w:ascii="Times New Roman" w:hAnsi="Times New Roman"/>
          <w:sz w:val="24"/>
        </w:rPr>
      </w:pPr>
      <w:r>
        <w:rPr>
          <w:rFonts w:ascii="Times New Roman" w:hAnsi="Times New Roman"/>
          <w:sz w:val="20"/>
        </w:rPr>
        <w:t xml:space="preserve">See Note 1 – </w:t>
      </w:r>
      <w:r>
        <w:rPr>
          <w:rFonts w:ascii="Times New Roman" w:hAnsi="Times New Roman"/>
          <w:i/>
          <w:sz w:val="20"/>
        </w:rPr>
        <w:t>Concentrations of Risks</w:t>
      </w:r>
      <w:r>
        <w:rPr>
          <w:rFonts w:ascii="Times New Roman" w:hAnsi="Times New Roman"/>
          <w:sz w:val="24"/>
        </w:rPr>
        <w:t xml:space="preserve"> </w:t>
      </w:r>
      <w:r>
        <w:rPr>
          <w:rFonts w:ascii="Times New Roman" w:hAnsi="Times New Roman"/>
          <w:sz w:val="20"/>
        </w:rPr>
        <w:t>for information on reliance on suppliers.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19. SUBSEQUENT EVENTS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On February 2, 2026, the Company entered into a securities purchase agreement with certain accredited investors for a private placement offering. On February 3, 2026, the Company closed the private placement and issued (i) 1,700,000 shares of Common Stock, (ii) pre-funded warrants to purchase up to 800,000 shares of Common Stock, and (iii) common warrants to purchase up to 2,500,000 shares of Common Stock. The purchase price was $2.00 per share (or $1.9999 per pre-funded warrant), with the common warrants having an exercise price of $2.30 per share and a five-year term.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The gross proceeds from the private placement were approximately $5,000, before deducting offering expenses. The securities were issued in transactions exempt from the registration requirements of the Securities Act of 1933, as amended, pursuant to Section 4(a)(2) and Regulation D thereunder.</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On February 13, 2026, the Company entered into a Termination and Mutual Release Agreement with Atlantic Gateway, LLC, the landlord of the Company's office space located at 3480 Main Highway, Suite 202, Miami, Florida 33133. Pursuant to the agreement, the Office Lease dated September 20, 2023 was terminated effective as of February 13, 2026, and the Company surrendered possession of the premises. The landlord agreed to refund the prorated portion of February 2026 rent attributable to the period following the termination date and to return the security deposit in accordance with the terms of the original lease. The parties exchanged mutual releases of all claims arising out of or relating to the lease, except for obligations expressly set forth in the termination agreement and any obligations that by their terms survive termination. In March 2026, the Company entered into a month-to-month service agreement for a business address located at 3350 Virginia Street, Miami, Florida 33133.</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F-32</w:t>
      </w:r>
    </w:p>
    <w:p>
      <w:pPr>
        <w:pStyle w:val="HorizontalLine"/>
        <w:bidi w:val="0"/>
        <w:spacing w:before="0" w:after="0"/>
        <w:jc w:val="left"/>
        <w:rPr/>
      </w:pPr>
      <w:r>
        <w:rPr/>
      </w:r>
    </w:p>
    <w:p>
      <w:pPr>
        <w:pStyle w:val="TextBody"/>
        <w:bidi w:val="0"/>
        <w:spacing w:before="0" w:after="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center"/>
        <w:rPr>
          <w:rFonts w:ascii="Times New Roman" w:hAnsi="Times New Roman"/>
          <w:sz w:val="24"/>
        </w:rPr>
      </w:pPr>
      <w:bookmarkStart w:id="34" w:name="SIGNATURES"/>
      <w:bookmarkEnd w:id="34"/>
      <w:r>
        <w:rPr>
          <w:rFonts w:ascii="Times New Roman" w:hAnsi="Times New Roman"/>
          <w:b/>
          <w:sz w:val="20"/>
        </w:rPr>
        <w:t>SIGNATURES</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Pursuant to the requirements of Section 13 or 15(d) of the Securities Exchange Act of 1934, the Registrant has duly caused this report to be signed on its behalf by the undersigned, thereunto duly authorized, in the City of Miami, State of Florida, on the 26th day of March, 2026.</w:t>
      </w:r>
      <w:r>
        <w:rPr>
          <w:rFonts w:ascii="Times New Roman" w:hAnsi="Times New Roman"/>
          <w:sz w:val="24"/>
        </w:rPr>
        <w:t xml:space="preserve"> </w:t>
      </w:r>
    </w:p>
    <w:p>
      <w:pPr>
        <w:pStyle w:val="TextBody"/>
        <w:bidi w:val="0"/>
        <w:spacing w:before="0" w:after="0"/>
        <w:jc w:val="left"/>
        <w:rPr/>
      </w:pPr>
      <w:r>
        <w:rPr/>
        <w:t xml:space="preserve">  </w:t>
      </w:r>
    </w:p>
    <w:tbl>
      <w:tblPr>
        <w:tblW w:w="7019" w:type="dxa"/>
        <w:jc w:val="left"/>
        <w:tblInd w:w="0" w:type="dxa"/>
        <w:tblLayout w:type="fixed"/>
        <w:tblCellMar>
          <w:top w:w="28" w:type="dxa"/>
          <w:left w:w="28" w:type="dxa"/>
          <w:bottom w:w="28" w:type="dxa"/>
          <w:right w:w="28" w:type="dxa"/>
        </w:tblCellMar>
      </w:tblPr>
      <w:tblGrid>
        <w:gridCol w:w="1891"/>
        <w:gridCol w:w="556"/>
        <w:gridCol w:w="4321"/>
        <w:gridCol w:w="251"/>
      </w:tblGrid>
      <w:tr>
        <w:trPr/>
        <w:tc>
          <w:tcPr>
            <w:tcW w:w="1891" w:type="dxa"/>
            <w:tcBorders/>
            <w:vAlign w:val="center"/>
          </w:tcPr>
          <w:p>
            <w:pPr>
              <w:pStyle w:val="TableContents"/>
              <w:bidi w:val="0"/>
              <w:spacing w:before="0" w:after="283"/>
              <w:jc w:val="left"/>
              <w:rPr/>
            </w:pPr>
            <w:r>
              <w:rPr/>
              <w:t> </w:t>
            </w:r>
          </w:p>
        </w:tc>
        <w:tc>
          <w:tcPr>
            <w:tcW w:w="556" w:type="dxa"/>
            <w:tcBorders/>
            <w:vAlign w:val="center"/>
          </w:tcPr>
          <w:p>
            <w:pPr>
              <w:pStyle w:val="TableContents"/>
              <w:bidi w:val="0"/>
              <w:spacing w:before="0" w:after="283"/>
              <w:jc w:val="left"/>
              <w:rPr/>
            </w:pPr>
            <w:r>
              <w:rPr/>
              <w:t> </w:t>
            </w:r>
          </w:p>
        </w:tc>
        <w:tc>
          <w:tcPr>
            <w:tcW w:w="4321" w:type="dxa"/>
            <w:tcBorders/>
            <w:vAlign w:val="center"/>
          </w:tcPr>
          <w:p>
            <w:pPr>
              <w:pStyle w:val="TableContents"/>
              <w:bidi w:val="0"/>
              <w:spacing w:before="0" w:after="283"/>
              <w:jc w:val="left"/>
              <w:rPr/>
            </w:pPr>
            <w:r>
              <w:rPr/>
              <w:t> </w:t>
            </w:r>
          </w:p>
        </w:tc>
        <w:tc>
          <w:tcPr>
            <w:tcW w:w="251" w:type="dxa"/>
            <w:tcBorders/>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4877" w:type="dxa"/>
            <w:gridSpan w:val="2"/>
            <w:tcBorders/>
            <w:tcMar>
              <w:top w:w="0" w:type="dxa"/>
              <w:left w:w="0" w:type="dxa"/>
              <w:bottom w:w="0" w:type="dxa"/>
              <w:right w:w="0" w:type="dxa"/>
            </w:tcMar>
            <w:vAlign w:val="center"/>
          </w:tcPr>
          <w:p>
            <w:pPr>
              <w:pStyle w:val="TableContents"/>
              <w:bidi w:val="0"/>
              <w:spacing w:before="0" w:after="0"/>
              <w:jc w:val="both"/>
              <w:rPr/>
            </w:pPr>
            <w:r>
              <w:rPr>
                <w:b/>
                <w:color w:val="000000"/>
                <w:sz w:val="20"/>
              </w:rPr>
              <w:t>WRAP TECHNOLOGIES, INC</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r>
      <w:tr>
        <w:trPr/>
        <w:tc>
          <w:tcPr>
            <w:tcW w:w="189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556"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432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r>
      <w:tr>
        <w:trPr/>
        <w:tc>
          <w:tcPr>
            <w:tcW w:w="1891" w:type="dxa"/>
            <w:tcBorders/>
            <w:tcMar>
              <w:top w:w="0" w:type="dxa"/>
              <w:left w:w="0" w:type="dxa"/>
              <w:bottom w:w="0" w:type="dxa"/>
              <w:right w:w="0" w:type="dxa"/>
            </w:tcMar>
            <w:vAlign w:val="center"/>
          </w:tcPr>
          <w:p>
            <w:pPr>
              <w:pStyle w:val="TableContents"/>
              <w:bidi w:val="0"/>
              <w:spacing w:before="0" w:after="0"/>
              <w:jc w:val="both"/>
              <w:rPr>
                <w:color w:val="000000"/>
                <w:sz w:val="20"/>
              </w:rPr>
            </w:pPr>
            <w:r>
              <w:rPr>
                <w:color w:val="000000"/>
                <w:sz w:val="20"/>
              </w:rPr>
              <w:t>Date: March 26, 2026</w:t>
            </w:r>
          </w:p>
        </w:tc>
        <w:tc>
          <w:tcPr>
            <w:tcW w:w="556" w:type="dxa"/>
            <w:tcBorders/>
            <w:tcMar>
              <w:top w:w="0" w:type="dxa"/>
              <w:left w:w="0" w:type="dxa"/>
              <w:bottom w:w="0" w:type="dxa"/>
              <w:right w:w="0" w:type="dxa"/>
            </w:tcMar>
            <w:vAlign w:val="center"/>
          </w:tcPr>
          <w:p>
            <w:pPr>
              <w:pStyle w:val="TableContents"/>
              <w:bidi w:val="0"/>
              <w:spacing w:before="0" w:after="0"/>
              <w:jc w:val="both"/>
              <w:rPr/>
            </w:pPr>
            <w:r>
              <w:rPr>
                <w:color w:val="000000"/>
                <w:sz w:val="20"/>
              </w:rPr>
              <w:t>By:  </w:t>
            </w:r>
            <w:r>
              <w:rPr/>
              <w:t xml:space="preserve"> </w:t>
            </w:r>
          </w:p>
        </w:tc>
        <w:tc>
          <w:tcPr>
            <w:tcW w:w="4321" w:type="dxa"/>
            <w:tcBorders>
              <w:bottom w:val="single" w:sz="8" w:space="0" w:color="000000"/>
            </w:tcBorders>
            <w:tcMar>
              <w:top w:w="0" w:type="dxa"/>
              <w:left w:w="0" w:type="dxa"/>
              <w:right w:w="0" w:type="dxa"/>
            </w:tcMar>
            <w:vAlign w:val="center"/>
          </w:tcPr>
          <w:p>
            <w:pPr>
              <w:pStyle w:val="TableContents"/>
              <w:bidi w:val="0"/>
              <w:spacing w:before="0" w:after="0"/>
              <w:jc w:val="both"/>
              <w:rPr/>
            </w:pPr>
            <w:r>
              <w:rPr>
                <w:color w:val="000000"/>
                <w:sz w:val="20"/>
              </w:rPr>
              <w:t>/s/ Scot Cohen</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r>
      <w:tr>
        <w:trPr/>
        <w:tc>
          <w:tcPr>
            <w:tcW w:w="189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556"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4321" w:type="dxa"/>
            <w:tcBorders/>
            <w:tcMar>
              <w:top w:w="0" w:type="dxa"/>
              <w:left w:w="0" w:type="dxa"/>
              <w:bottom w:w="0" w:type="dxa"/>
              <w:right w:w="0" w:type="dxa"/>
            </w:tcMar>
            <w:vAlign w:val="center"/>
          </w:tcPr>
          <w:p>
            <w:pPr>
              <w:pStyle w:val="TableContents"/>
              <w:bidi w:val="0"/>
              <w:spacing w:before="0" w:after="0"/>
              <w:jc w:val="both"/>
              <w:rPr/>
            </w:pPr>
            <w:r>
              <w:rPr>
                <w:color w:val="000000"/>
                <w:sz w:val="20"/>
              </w:rPr>
              <w:t>Scot Cohen</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r>
      <w:tr>
        <w:trPr/>
        <w:tc>
          <w:tcPr>
            <w:tcW w:w="189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556"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c>
          <w:tcPr>
            <w:tcW w:w="4321" w:type="dxa"/>
            <w:tcBorders/>
            <w:tcMar>
              <w:top w:w="0" w:type="dxa"/>
              <w:left w:w="0" w:type="dxa"/>
              <w:bottom w:w="0" w:type="dxa"/>
              <w:right w:w="0" w:type="dxa"/>
            </w:tcMar>
            <w:vAlign w:val="center"/>
          </w:tcPr>
          <w:p>
            <w:pPr>
              <w:pStyle w:val="TableContents"/>
              <w:bidi w:val="0"/>
              <w:spacing w:before="0" w:after="0"/>
              <w:jc w:val="both"/>
              <w:rPr/>
            </w:pPr>
            <w:r>
              <w:rPr>
                <w:color w:val="000000"/>
                <w:sz w:val="20"/>
              </w:rPr>
              <w:t>(Principal Executive Officer and Principal</w:t>
            </w:r>
            <w:r>
              <w:rPr/>
              <w:t xml:space="preserve"> </w:t>
            </w:r>
          </w:p>
          <w:p>
            <w:pPr>
              <w:pStyle w:val="TableContents"/>
              <w:bidi w:val="0"/>
              <w:spacing w:before="0" w:after="0"/>
              <w:jc w:val="left"/>
              <w:rPr/>
            </w:pPr>
            <w:r>
              <w:rPr>
                <w:color w:val="000000"/>
                <w:sz w:val="20"/>
              </w:rPr>
              <w:t>Financial Officer and Principal Accounting Officer)</w:t>
            </w:r>
            <w:r>
              <w:rPr/>
              <w:t xml:space="preserve"> </w:t>
            </w:r>
          </w:p>
        </w:tc>
        <w:tc>
          <w:tcPr>
            <w:tcW w:w="251" w:type="dxa"/>
            <w:tcBorders/>
            <w:tcMar>
              <w:top w:w="0" w:type="dxa"/>
              <w:left w:w="0" w:type="dxa"/>
              <w:bottom w:w="0" w:type="dxa"/>
              <w:right w:w="0" w:type="dxa"/>
            </w:tcMar>
            <w:vAlign w:val="center"/>
          </w:tcPr>
          <w:p>
            <w:pPr>
              <w:pStyle w:val="TableContents"/>
              <w:bidi w:val="0"/>
              <w:spacing w:before="0" w:after="0"/>
              <w:jc w:val="left"/>
              <w:rPr/>
            </w:pPr>
            <w:r>
              <w:rPr>
                <w:color w:val="000000"/>
              </w:rPr>
              <w:t> </w:t>
            </w:r>
            <w:r>
              <w:rPr/>
              <w:t xml:space="preserve"> </w:t>
            </w:r>
          </w:p>
        </w:tc>
      </w:tr>
    </w:tbl>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sz w:val="20"/>
        </w:rPr>
        <w:t>In accordance with the Exchange Act, this report has been signed below by the following persons on behalf of the registrant and in the capacities and on the dates indicated.</w:t>
      </w:r>
      <w:r>
        <w:rPr>
          <w:rFonts w:ascii="Times New Roman" w:hAnsi="Times New Roman"/>
          <w:sz w:val="24"/>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28" w:type="dxa"/>
          <w:right w:w="0" w:type="dxa"/>
        </w:tblCellMar>
      </w:tblPr>
      <w:tblGrid>
        <w:gridCol w:w="2013"/>
        <w:gridCol w:w="146"/>
        <w:gridCol w:w="6500"/>
        <w:gridCol w:w="146"/>
        <w:gridCol w:w="1400"/>
      </w:tblGrid>
      <w:tr>
        <w:trPr/>
        <w:tc>
          <w:tcPr>
            <w:tcW w:w="2013" w:type="dxa"/>
            <w:tcBorders>
              <w:bottom w:val="single" w:sz="8" w:space="0" w:color="000000"/>
            </w:tcBorders>
            <w:vAlign w:val="center"/>
          </w:tcPr>
          <w:p>
            <w:pPr>
              <w:pStyle w:val="TableContents"/>
              <w:bidi w:val="0"/>
              <w:spacing w:before="0" w:after="0"/>
              <w:jc w:val="left"/>
              <w:rPr/>
            </w:pPr>
            <w:r>
              <w:rPr>
                <w:b/>
                <w:color w:val="000000"/>
              </w:rPr>
              <w:t>Name</w:t>
            </w:r>
            <w:r>
              <w:rPr/>
              <w:t xml:space="preserve"> </w:t>
            </w:r>
          </w:p>
        </w:tc>
        <w:tc>
          <w:tcPr>
            <w:tcW w:w="146" w:type="dxa"/>
            <w:tcBorders/>
            <w:tcMar>
              <w:bottom w:w="0" w:type="dxa"/>
            </w:tcMar>
            <w:vAlign w:val="center"/>
          </w:tcPr>
          <w:p>
            <w:pPr>
              <w:pStyle w:val="TableContents"/>
              <w:bidi w:val="0"/>
              <w:spacing w:before="0" w:after="283"/>
              <w:jc w:val="left"/>
              <w:rPr/>
            </w:pPr>
            <w:r>
              <w:rPr/>
              <w:t> </w:t>
            </w:r>
          </w:p>
        </w:tc>
        <w:tc>
          <w:tcPr>
            <w:tcW w:w="6500" w:type="dxa"/>
            <w:tcBorders>
              <w:bottom w:val="single" w:sz="8" w:space="0" w:color="000000"/>
            </w:tcBorders>
            <w:vAlign w:val="center"/>
          </w:tcPr>
          <w:p>
            <w:pPr>
              <w:pStyle w:val="TableContents"/>
              <w:bidi w:val="0"/>
              <w:spacing w:before="0" w:after="0"/>
              <w:jc w:val="left"/>
              <w:rPr/>
            </w:pPr>
            <w:r>
              <w:rPr>
                <w:b/>
                <w:color w:val="000000"/>
              </w:rPr>
              <w:t>Position</w:t>
            </w:r>
            <w:r>
              <w:rPr/>
              <w:t xml:space="preserve"> </w:t>
            </w:r>
          </w:p>
        </w:tc>
        <w:tc>
          <w:tcPr>
            <w:tcW w:w="146" w:type="dxa"/>
            <w:tcBorders/>
            <w:tcMar>
              <w:bottom w:w="0" w:type="dxa"/>
            </w:tcMar>
            <w:vAlign w:val="center"/>
          </w:tcPr>
          <w:p>
            <w:pPr>
              <w:pStyle w:val="TableContents"/>
              <w:bidi w:val="0"/>
              <w:spacing w:before="0" w:after="283"/>
              <w:jc w:val="left"/>
              <w:rPr/>
            </w:pPr>
            <w:r>
              <w:rPr/>
              <w:t> </w:t>
            </w:r>
          </w:p>
        </w:tc>
        <w:tc>
          <w:tcPr>
            <w:tcW w:w="1400" w:type="dxa"/>
            <w:tcBorders>
              <w:bottom w:val="single" w:sz="8" w:space="0" w:color="000000"/>
            </w:tcBorders>
            <w:vAlign w:val="center"/>
          </w:tcPr>
          <w:p>
            <w:pPr>
              <w:pStyle w:val="TableContents"/>
              <w:bidi w:val="0"/>
              <w:spacing w:before="0" w:after="283"/>
              <w:jc w:val="center"/>
              <w:rPr/>
            </w:pPr>
            <w:r>
              <w:rPr>
                <w:b/>
                <w:color w:val="000000"/>
              </w:rPr>
              <w:t>Date</w:t>
            </w:r>
            <w:r>
              <w:rPr/>
              <w:t xml:space="preserve"> </w:t>
            </w:r>
          </w:p>
        </w:tc>
      </w:tr>
      <w:tr>
        <w:trPr/>
        <w:tc>
          <w:tcPr>
            <w:tcW w:w="2013"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650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1400" w:type="dxa"/>
            <w:tcBorders/>
            <w:tcMar>
              <w:bottom w:w="0" w:type="dxa"/>
            </w:tcMar>
            <w:vAlign w:val="center"/>
          </w:tcPr>
          <w:p>
            <w:pPr>
              <w:pStyle w:val="TableContents"/>
              <w:bidi w:val="0"/>
              <w:spacing w:before="0" w:after="283"/>
              <w:jc w:val="left"/>
              <w:rPr/>
            </w:pPr>
            <w:r>
              <w:rPr/>
              <w:t> </w:t>
            </w:r>
          </w:p>
        </w:tc>
      </w:tr>
      <w:tr>
        <w:trPr/>
        <w:tc>
          <w:tcPr>
            <w:tcW w:w="2013" w:type="dxa"/>
            <w:tcBorders>
              <w:bottom w:val="single" w:sz="8" w:space="0" w:color="000000"/>
            </w:tcBorders>
            <w:vAlign w:val="center"/>
          </w:tcPr>
          <w:p>
            <w:pPr>
              <w:pStyle w:val="TableContents"/>
              <w:bidi w:val="0"/>
              <w:spacing w:before="0" w:after="0"/>
              <w:jc w:val="left"/>
              <w:rPr/>
            </w:pPr>
            <w:r>
              <w:rPr>
                <w:color w:val="000000"/>
              </w:rPr>
              <w:t>/s/ Scot Cohen</w:t>
            </w:r>
            <w:r>
              <w:rPr/>
              <w:t xml:space="preserve"> </w:t>
            </w:r>
          </w:p>
        </w:tc>
        <w:tc>
          <w:tcPr>
            <w:tcW w:w="146" w:type="dxa"/>
            <w:tcBorders/>
            <w:tcMar>
              <w:bottom w:w="0" w:type="dxa"/>
            </w:tcMar>
            <w:vAlign w:val="center"/>
          </w:tcPr>
          <w:p>
            <w:pPr>
              <w:pStyle w:val="TableContents"/>
              <w:bidi w:val="0"/>
              <w:spacing w:before="0" w:after="283"/>
              <w:jc w:val="left"/>
              <w:rPr/>
            </w:pPr>
            <w:r>
              <w:rPr/>
              <w:t> </w:t>
            </w:r>
          </w:p>
        </w:tc>
        <w:tc>
          <w:tcPr>
            <w:tcW w:w="6500" w:type="dxa"/>
            <w:tcBorders/>
            <w:tcMar>
              <w:bottom w:w="0" w:type="dxa"/>
            </w:tcMar>
            <w:vAlign w:val="center"/>
          </w:tcPr>
          <w:p>
            <w:pPr>
              <w:pStyle w:val="TableContents"/>
              <w:bidi w:val="0"/>
              <w:spacing w:before="0" w:after="0"/>
              <w:jc w:val="left"/>
              <w:rPr/>
            </w:pPr>
            <w:r>
              <w:rPr>
                <w:color w:val="000000"/>
              </w:rPr>
              <w:t>Chief Executive Officer and Director</w:t>
            </w:r>
            <w:r>
              <w:rPr/>
              <w:t xml:space="preserve"> </w:t>
            </w:r>
          </w:p>
        </w:tc>
        <w:tc>
          <w:tcPr>
            <w:tcW w:w="146" w:type="dxa"/>
            <w:tcBorders/>
            <w:tcMar>
              <w:bottom w:w="0" w:type="dxa"/>
            </w:tcMar>
            <w:vAlign w:val="center"/>
          </w:tcPr>
          <w:p>
            <w:pPr>
              <w:pStyle w:val="TableContents"/>
              <w:bidi w:val="0"/>
              <w:spacing w:before="0" w:after="283"/>
              <w:jc w:val="left"/>
              <w:rPr/>
            </w:pPr>
            <w:r>
              <w:rPr/>
              <w:t> </w:t>
            </w:r>
          </w:p>
        </w:tc>
        <w:tc>
          <w:tcPr>
            <w:tcW w:w="1400" w:type="dxa"/>
            <w:tcBorders/>
            <w:tcMar>
              <w:bottom w:w="0" w:type="dxa"/>
            </w:tcMar>
            <w:vAlign w:val="center"/>
          </w:tcPr>
          <w:p>
            <w:pPr>
              <w:pStyle w:val="TableContents"/>
              <w:bidi w:val="0"/>
              <w:spacing w:before="0" w:after="283"/>
              <w:jc w:val="center"/>
              <w:rPr>
                <w:color w:val="000000"/>
              </w:rPr>
            </w:pPr>
            <w:r>
              <w:rPr>
                <w:color w:val="000000"/>
              </w:rPr>
              <w:t>March 26, 2026</w:t>
            </w:r>
          </w:p>
        </w:tc>
      </w:tr>
      <w:tr>
        <w:trPr/>
        <w:tc>
          <w:tcPr>
            <w:tcW w:w="2013" w:type="dxa"/>
            <w:tcBorders/>
            <w:tcMar>
              <w:bottom w:w="0" w:type="dxa"/>
            </w:tcMar>
            <w:vAlign w:val="center"/>
          </w:tcPr>
          <w:p>
            <w:pPr>
              <w:pStyle w:val="TableContents"/>
              <w:bidi w:val="0"/>
              <w:spacing w:before="0" w:after="0"/>
              <w:jc w:val="left"/>
              <w:rPr/>
            </w:pPr>
            <w:r>
              <w:rPr>
                <w:color w:val="000000"/>
              </w:rPr>
              <w:t>Scot Cohen</w:t>
            </w:r>
            <w:r>
              <w:rPr/>
              <w:t xml:space="preserve"> </w:t>
            </w:r>
          </w:p>
        </w:tc>
        <w:tc>
          <w:tcPr>
            <w:tcW w:w="146" w:type="dxa"/>
            <w:tcBorders/>
            <w:tcMar>
              <w:bottom w:w="0" w:type="dxa"/>
            </w:tcMar>
            <w:vAlign w:val="center"/>
          </w:tcPr>
          <w:p>
            <w:pPr>
              <w:pStyle w:val="TableContents"/>
              <w:bidi w:val="0"/>
              <w:spacing w:before="0" w:after="283"/>
              <w:jc w:val="left"/>
              <w:rPr/>
            </w:pPr>
            <w:r>
              <w:rPr/>
              <w:t> </w:t>
            </w:r>
          </w:p>
        </w:tc>
        <w:tc>
          <w:tcPr>
            <w:tcW w:w="6500" w:type="dxa"/>
            <w:tcBorders/>
            <w:tcMar>
              <w:bottom w:w="0" w:type="dxa"/>
            </w:tcMar>
            <w:vAlign w:val="center"/>
          </w:tcPr>
          <w:p>
            <w:pPr>
              <w:pStyle w:val="TableContents"/>
              <w:bidi w:val="0"/>
              <w:spacing w:before="0" w:after="0"/>
              <w:jc w:val="left"/>
              <w:rPr/>
            </w:pPr>
            <w:r>
              <w:rPr>
                <w:color w:val="000000"/>
              </w:rPr>
              <w:t>(Principal Executive Officer, Principal Financial Officer and Principal Accounting Officer)</w:t>
            </w:r>
            <w:r>
              <w:rPr/>
              <w:t xml:space="preserve"> </w:t>
            </w:r>
          </w:p>
        </w:tc>
        <w:tc>
          <w:tcPr>
            <w:tcW w:w="146" w:type="dxa"/>
            <w:tcBorders/>
            <w:tcMar>
              <w:bottom w:w="0" w:type="dxa"/>
            </w:tcMar>
            <w:vAlign w:val="center"/>
          </w:tcPr>
          <w:p>
            <w:pPr>
              <w:pStyle w:val="TableContents"/>
              <w:bidi w:val="0"/>
              <w:spacing w:before="0" w:after="283"/>
              <w:jc w:val="left"/>
              <w:rPr/>
            </w:pPr>
            <w:r>
              <w:rPr/>
              <w:t> </w:t>
            </w:r>
          </w:p>
        </w:tc>
        <w:tc>
          <w:tcPr>
            <w:tcW w:w="1400" w:type="dxa"/>
            <w:tcBorders/>
            <w:tcMar>
              <w:bottom w:w="0" w:type="dxa"/>
            </w:tcMar>
            <w:vAlign w:val="center"/>
          </w:tcPr>
          <w:p>
            <w:pPr>
              <w:pStyle w:val="TableContents"/>
              <w:bidi w:val="0"/>
              <w:spacing w:before="0" w:after="283"/>
              <w:jc w:val="left"/>
              <w:rPr/>
            </w:pPr>
            <w:r>
              <w:rPr/>
              <w:t> </w:t>
            </w:r>
          </w:p>
        </w:tc>
      </w:tr>
      <w:tr>
        <w:trPr/>
        <w:tc>
          <w:tcPr>
            <w:tcW w:w="2013"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650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1400" w:type="dxa"/>
            <w:tcBorders/>
            <w:tcMar>
              <w:bottom w:w="0" w:type="dxa"/>
            </w:tcMar>
            <w:vAlign w:val="center"/>
          </w:tcPr>
          <w:p>
            <w:pPr>
              <w:pStyle w:val="TableContents"/>
              <w:bidi w:val="0"/>
              <w:spacing w:before="0" w:after="283"/>
              <w:jc w:val="left"/>
              <w:rPr/>
            </w:pPr>
            <w:r>
              <w:rPr/>
              <w:t> </w:t>
            </w:r>
          </w:p>
        </w:tc>
      </w:tr>
      <w:tr>
        <w:trPr/>
        <w:tc>
          <w:tcPr>
            <w:tcW w:w="2013" w:type="dxa"/>
            <w:tcBorders>
              <w:bottom w:val="single" w:sz="8" w:space="0" w:color="000000"/>
            </w:tcBorders>
            <w:vAlign w:val="center"/>
          </w:tcPr>
          <w:p>
            <w:pPr>
              <w:pStyle w:val="TableContents"/>
              <w:bidi w:val="0"/>
              <w:spacing w:before="0" w:after="0"/>
              <w:jc w:val="left"/>
              <w:rPr/>
            </w:pPr>
            <w:r>
              <w:rPr>
                <w:color w:val="000000"/>
              </w:rPr>
              <w:t>/s/ Bruce Bernstein</w:t>
            </w:r>
            <w:r>
              <w:rPr/>
              <w:t xml:space="preserve"> </w:t>
            </w:r>
          </w:p>
        </w:tc>
        <w:tc>
          <w:tcPr>
            <w:tcW w:w="146" w:type="dxa"/>
            <w:tcBorders/>
            <w:tcMar>
              <w:bottom w:w="0" w:type="dxa"/>
            </w:tcMar>
            <w:vAlign w:val="center"/>
          </w:tcPr>
          <w:p>
            <w:pPr>
              <w:pStyle w:val="TableContents"/>
              <w:bidi w:val="0"/>
              <w:spacing w:before="0" w:after="283"/>
              <w:jc w:val="left"/>
              <w:rPr/>
            </w:pPr>
            <w:r>
              <w:rPr/>
              <w:t> </w:t>
            </w:r>
          </w:p>
        </w:tc>
        <w:tc>
          <w:tcPr>
            <w:tcW w:w="6500" w:type="dxa"/>
            <w:tcBorders/>
            <w:tcMar>
              <w:bottom w:w="0" w:type="dxa"/>
            </w:tcMar>
            <w:vAlign w:val="center"/>
          </w:tcPr>
          <w:p>
            <w:pPr>
              <w:pStyle w:val="TableContents"/>
              <w:bidi w:val="0"/>
              <w:spacing w:before="0" w:after="0"/>
              <w:jc w:val="left"/>
              <w:rPr/>
            </w:pPr>
            <w:r>
              <w:rPr>
                <w:color w:val="000000"/>
              </w:rPr>
              <w:t>Director</w:t>
            </w:r>
            <w:r>
              <w:rPr/>
              <w:t xml:space="preserve"> </w:t>
            </w:r>
          </w:p>
        </w:tc>
        <w:tc>
          <w:tcPr>
            <w:tcW w:w="146" w:type="dxa"/>
            <w:tcBorders/>
            <w:tcMar>
              <w:bottom w:w="0" w:type="dxa"/>
            </w:tcMar>
            <w:vAlign w:val="center"/>
          </w:tcPr>
          <w:p>
            <w:pPr>
              <w:pStyle w:val="TableContents"/>
              <w:bidi w:val="0"/>
              <w:spacing w:before="0" w:after="283"/>
              <w:jc w:val="left"/>
              <w:rPr/>
            </w:pPr>
            <w:r>
              <w:rPr/>
              <w:t> </w:t>
            </w:r>
          </w:p>
        </w:tc>
        <w:tc>
          <w:tcPr>
            <w:tcW w:w="1400" w:type="dxa"/>
            <w:tcBorders/>
            <w:tcMar>
              <w:bottom w:w="0" w:type="dxa"/>
            </w:tcMar>
            <w:vAlign w:val="center"/>
          </w:tcPr>
          <w:p>
            <w:pPr>
              <w:pStyle w:val="TableContents"/>
              <w:bidi w:val="0"/>
              <w:spacing w:before="0" w:after="283"/>
              <w:jc w:val="center"/>
              <w:rPr>
                <w:color w:val="000000"/>
              </w:rPr>
            </w:pPr>
            <w:r>
              <w:rPr>
                <w:color w:val="000000"/>
              </w:rPr>
              <w:t>March 26, 2026</w:t>
            </w:r>
          </w:p>
        </w:tc>
      </w:tr>
      <w:tr>
        <w:trPr/>
        <w:tc>
          <w:tcPr>
            <w:tcW w:w="2013" w:type="dxa"/>
            <w:tcBorders/>
            <w:tcMar>
              <w:bottom w:w="0" w:type="dxa"/>
            </w:tcMar>
            <w:vAlign w:val="center"/>
          </w:tcPr>
          <w:p>
            <w:pPr>
              <w:pStyle w:val="TableContents"/>
              <w:bidi w:val="0"/>
              <w:spacing w:before="0" w:after="0"/>
              <w:jc w:val="left"/>
              <w:rPr/>
            </w:pPr>
            <w:r>
              <w:rPr>
                <w:color w:val="000000"/>
              </w:rPr>
              <w:t>Bruce Bernstein</w:t>
            </w:r>
            <w:r>
              <w:rPr/>
              <w:t xml:space="preserve"> </w:t>
            </w:r>
          </w:p>
        </w:tc>
        <w:tc>
          <w:tcPr>
            <w:tcW w:w="146" w:type="dxa"/>
            <w:tcBorders/>
            <w:tcMar>
              <w:bottom w:w="0" w:type="dxa"/>
            </w:tcMar>
            <w:vAlign w:val="center"/>
          </w:tcPr>
          <w:p>
            <w:pPr>
              <w:pStyle w:val="TableContents"/>
              <w:bidi w:val="0"/>
              <w:spacing w:before="0" w:after="283"/>
              <w:jc w:val="left"/>
              <w:rPr/>
            </w:pPr>
            <w:r>
              <w:rPr/>
              <w:t> </w:t>
            </w:r>
          </w:p>
        </w:tc>
        <w:tc>
          <w:tcPr>
            <w:tcW w:w="650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1400" w:type="dxa"/>
            <w:tcBorders/>
            <w:tcMar>
              <w:bottom w:w="0" w:type="dxa"/>
            </w:tcMar>
            <w:vAlign w:val="center"/>
          </w:tcPr>
          <w:p>
            <w:pPr>
              <w:pStyle w:val="TableContents"/>
              <w:bidi w:val="0"/>
              <w:spacing w:before="0" w:after="283"/>
              <w:jc w:val="left"/>
              <w:rPr/>
            </w:pPr>
            <w:r>
              <w:rPr/>
              <w:t> </w:t>
            </w:r>
          </w:p>
        </w:tc>
      </w:tr>
      <w:tr>
        <w:trPr/>
        <w:tc>
          <w:tcPr>
            <w:tcW w:w="2013"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650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1400" w:type="dxa"/>
            <w:tcBorders/>
            <w:tcMar>
              <w:bottom w:w="0" w:type="dxa"/>
            </w:tcMar>
            <w:vAlign w:val="center"/>
          </w:tcPr>
          <w:p>
            <w:pPr>
              <w:pStyle w:val="TableContents"/>
              <w:bidi w:val="0"/>
              <w:spacing w:before="0" w:after="283"/>
              <w:jc w:val="left"/>
              <w:rPr/>
            </w:pPr>
            <w:r>
              <w:rPr/>
              <w:t> </w:t>
            </w:r>
          </w:p>
        </w:tc>
      </w:tr>
      <w:tr>
        <w:trPr/>
        <w:tc>
          <w:tcPr>
            <w:tcW w:w="2013" w:type="dxa"/>
            <w:tcBorders>
              <w:bottom w:val="single" w:sz="8" w:space="0" w:color="000000"/>
            </w:tcBorders>
            <w:vAlign w:val="center"/>
          </w:tcPr>
          <w:p>
            <w:pPr>
              <w:pStyle w:val="TableContents"/>
              <w:bidi w:val="0"/>
              <w:spacing w:before="0" w:after="0"/>
              <w:jc w:val="left"/>
              <w:rPr/>
            </w:pPr>
            <w:r>
              <w:rPr>
                <w:color w:val="000000"/>
              </w:rPr>
              <w:t>/s/ Marc Savas</w:t>
            </w:r>
            <w:r>
              <w:rPr/>
              <w:t xml:space="preserve"> </w:t>
            </w:r>
          </w:p>
        </w:tc>
        <w:tc>
          <w:tcPr>
            <w:tcW w:w="146" w:type="dxa"/>
            <w:tcBorders/>
            <w:tcMar>
              <w:bottom w:w="0" w:type="dxa"/>
            </w:tcMar>
            <w:vAlign w:val="center"/>
          </w:tcPr>
          <w:p>
            <w:pPr>
              <w:pStyle w:val="TableContents"/>
              <w:bidi w:val="0"/>
              <w:spacing w:before="0" w:after="283"/>
              <w:jc w:val="left"/>
              <w:rPr/>
            </w:pPr>
            <w:r>
              <w:rPr/>
              <w:t> </w:t>
            </w:r>
          </w:p>
        </w:tc>
        <w:tc>
          <w:tcPr>
            <w:tcW w:w="6500" w:type="dxa"/>
            <w:tcBorders/>
            <w:tcMar>
              <w:bottom w:w="0" w:type="dxa"/>
            </w:tcMar>
            <w:vAlign w:val="center"/>
          </w:tcPr>
          <w:p>
            <w:pPr>
              <w:pStyle w:val="TableContents"/>
              <w:bidi w:val="0"/>
              <w:spacing w:before="0" w:after="0"/>
              <w:jc w:val="left"/>
              <w:rPr/>
            </w:pPr>
            <w:r>
              <w:rPr>
                <w:color w:val="000000"/>
              </w:rPr>
              <w:t>Director</w:t>
            </w:r>
            <w:r>
              <w:rPr/>
              <w:t xml:space="preserve"> </w:t>
            </w:r>
          </w:p>
        </w:tc>
        <w:tc>
          <w:tcPr>
            <w:tcW w:w="146" w:type="dxa"/>
            <w:tcBorders/>
            <w:tcMar>
              <w:bottom w:w="0" w:type="dxa"/>
            </w:tcMar>
            <w:vAlign w:val="center"/>
          </w:tcPr>
          <w:p>
            <w:pPr>
              <w:pStyle w:val="TableContents"/>
              <w:bidi w:val="0"/>
              <w:spacing w:before="0" w:after="283"/>
              <w:jc w:val="left"/>
              <w:rPr/>
            </w:pPr>
            <w:r>
              <w:rPr/>
              <w:t> </w:t>
            </w:r>
          </w:p>
        </w:tc>
        <w:tc>
          <w:tcPr>
            <w:tcW w:w="1400" w:type="dxa"/>
            <w:tcBorders/>
            <w:tcMar>
              <w:bottom w:w="0" w:type="dxa"/>
            </w:tcMar>
            <w:vAlign w:val="center"/>
          </w:tcPr>
          <w:p>
            <w:pPr>
              <w:pStyle w:val="TableContents"/>
              <w:bidi w:val="0"/>
              <w:spacing w:before="0" w:after="283"/>
              <w:jc w:val="center"/>
              <w:rPr>
                <w:color w:val="000000"/>
              </w:rPr>
            </w:pPr>
            <w:r>
              <w:rPr>
                <w:color w:val="000000"/>
              </w:rPr>
              <w:t>March 26, 2026</w:t>
            </w:r>
          </w:p>
        </w:tc>
      </w:tr>
      <w:tr>
        <w:trPr/>
        <w:tc>
          <w:tcPr>
            <w:tcW w:w="2013" w:type="dxa"/>
            <w:tcBorders/>
            <w:tcMar>
              <w:bottom w:w="0" w:type="dxa"/>
            </w:tcMar>
            <w:vAlign w:val="center"/>
          </w:tcPr>
          <w:p>
            <w:pPr>
              <w:pStyle w:val="TableContents"/>
              <w:bidi w:val="0"/>
              <w:spacing w:before="0" w:after="0"/>
              <w:jc w:val="left"/>
              <w:rPr/>
            </w:pPr>
            <w:r>
              <w:rPr>
                <w:color w:val="000000"/>
              </w:rPr>
              <w:t>Marc Savas</w:t>
            </w:r>
            <w:r>
              <w:rPr/>
              <w:t xml:space="preserve"> </w:t>
            </w:r>
          </w:p>
        </w:tc>
        <w:tc>
          <w:tcPr>
            <w:tcW w:w="146" w:type="dxa"/>
            <w:tcBorders/>
            <w:tcMar>
              <w:bottom w:w="0" w:type="dxa"/>
            </w:tcMar>
            <w:vAlign w:val="center"/>
          </w:tcPr>
          <w:p>
            <w:pPr>
              <w:pStyle w:val="TableContents"/>
              <w:bidi w:val="0"/>
              <w:spacing w:before="0" w:after="283"/>
              <w:jc w:val="left"/>
              <w:rPr/>
            </w:pPr>
            <w:r>
              <w:rPr/>
              <w:t> </w:t>
            </w:r>
          </w:p>
        </w:tc>
        <w:tc>
          <w:tcPr>
            <w:tcW w:w="650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1400" w:type="dxa"/>
            <w:tcBorders/>
            <w:tcMar>
              <w:bottom w:w="0" w:type="dxa"/>
            </w:tcMar>
            <w:vAlign w:val="center"/>
          </w:tcPr>
          <w:p>
            <w:pPr>
              <w:pStyle w:val="TableContents"/>
              <w:bidi w:val="0"/>
              <w:spacing w:before="0" w:after="283"/>
              <w:jc w:val="left"/>
              <w:rPr/>
            </w:pPr>
            <w:r>
              <w:rPr/>
              <w:t> </w:t>
            </w:r>
          </w:p>
        </w:tc>
      </w:tr>
      <w:tr>
        <w:trPr/>
        <w:tc>
          <w:tcPr>
            <w:tcW w:w="2013"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650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1400" w:type="dxa"/>
            <w:tcBorders/>
            <w:tcMar>
              <w:bottom w:w="0" w:type="dxa"/>
            </w:tcMar>
            <w:vAlign w:val="center"/>
          </w:tcPr>
          <w:p>
            <w:pPr>
              <w:pStyle w:val="TableContents"/>
              <w:bidi w:val="0"/>
              <w:spacing w:before="0" w:after="283"/>
              <w:jc w:val="left"/>
              <w:rPr/>
            </w:pPr>
            <w:r>
              <w:rPr/>
              <w:t> </w:t>
            </w:r>
          </w:p>
        </w:tc>
      </w:tr>
      <w:tr>
        <w:trPr/>
        <w:tc>
          <w:tcPr>
            <w:tcW w:w="2013" w:type="dxa"/>
            <w:tcBorders>
              <w:bottom w:val="single" w:sz="8" w:space="0" w:color="000000"/>
            </w:tcBorders>
            <w:vAlign w:val="center"/>
          </w:tcPr>
          <w:p>
            <w:pPr>
              <w:pStyle w:val="TableContents"/>
              <w:bidi w:val="0"/>
              <w:spacing w:before="0" w:after="283"/>
              <w:jc w:val="both"/>
              <w:rPr/>
            </w:pPr>
            <w:r>
              <w:rPr>
                <w:color w:val="000000"/>
              </w:rPr>
              <w:t>/s/ Rajiv Srinivasan</w:t>
            </w:r>
            <w:r>
              <w:rPr/>
              <w:t xml:space="preserve"> </w:t>
            </w:r>
          </w:p>
        </w:tc>
        <w:tc>
          <w:tcPr>
            <w:tcW w:w="146" w:type="dxa"/>
            <w:tcBorders/>
            <w:tcMar>
              <w:bottom w:w="0" w:type="dxa"/>
            </w:tcMar>
            <w:vAlign w:val="center"/>
          </w:tcPr>
          <w:p>
            <w:pPr>
              <w:pStyle w:val="TableContents"/>
              <w:bidi w:val="0"/>
              <w:spacing w:before="0" w:after="283"/>
              <w:jc w:val="left"/>
              <w:rPr/>
            </w:pPr>
            <w:r>
              <w:rPr/>
              <w:t> </w:t>
            </w:r>
          </w:p>
        </w:tc>
        <w:tc>
          <w:tcPr>
            <w:tcW w:w="6500" w:type="dxa"/>
            <w:tcBorders/>
            <w:tcMar>
              <w:bottom w:w="0" w:type="dxa"/>
            </w:tcMar>
            <w:vAlign w:val="center"/>
          </w:tcPr>
          <w:p>
            <w:pPr>
              <w:pStyle w:val="TableContents"/>
              <w:bidi w:val="0"/>
              <w:spacing w:before="0" w:after="0"/>
              <w:jc w:val="left"/>
              <w:rPr/>
            </w:pPr>
            <w:r>
              <w:rPr>
                <w:color w:val="000000"/>
              </w:rPr>
              <w:t>Director</w:t>
            </w:r>
            <w:r>
              <w:rPr/>
              <w:t xml:space="preserve"> </w:t>
            </w:r>
          </w:p>
        </w:tc>
        <w:tc>
          <w:tcPr>
            <w:tcW w:w="146" w:type="dxa"/>
            <w:tcBorders/>
            <w:tcMar>
              <w:bottom w:w="0" w:type="dxa"/>
            </w:tcMar>
            <w:vAlign w:val="center"/>
          </w:tcPr>
          <w:p>
            <w:pPr>
              <w:pStyle w:val="TableContents"/>
              <w:bidi w:val="0"/>
              <w:spacing w:before="0" w:after="283"/>
              <w:jc w:val="left"/>
              <w:rPr/>
            </w:pPr>
            <w:r>
              <w:rPr/>
              <w:t> </w:t>
            </w:r>
          </w:p>
        </w:tc>
        <w:tc>
          <w:tcPr>
            <w:tcW w:w="1400" w:type="dxa"/>
            <w:tcBorders/>
            <w:tcMar>
              <w:bottom w:w="0" w:type="dxa"/>
            </w:tcMar>
            <w:vAlign w:val="center"/>
          </w:tcPr>
          <w:p>
            <w:pPr>
              <w:pStyle w:val="TableContents"/>
              <w:bidi w:val="0"/>
              <w:spacing w:before="0" w:after="283"/>
              <w:jc w:val="center"/>
              <w:rPr>
                <w:color w:val="000000"/>
              </w:rPr>
            </w:pPr>
            <w:r>
              <w:rPr>
                <w:color w:val="000000"/>
              </w:rPr>
              <w:t>March 26, 2026</w:t>
            </w:r>
          </w:p>
        </w:tc>
      </w:tr>
      <w:tr>
        <w:trPr/>
        <w:tc>
          <w:tcPr>
            <w:tcW w:w="2013" w:type="dxa"/>
            <w:tcBorders/>
            <w:tcMar>
              <w:bottom w:w="0" w:type="dxa"/>
            </w:tcMar>
            <w:vAlign w:val="center"/>
          </w:tcPr>
          <w:p>
            <w:pPr>
              <w:pStyle w:val="TableContents"/>
              <w:bidi w:val="0"/>
              <w:spacing w:before="0" w:after="283"/>
              <w:jc w:val="both"/>
              <w:rPr/>
            </w:pPr>
            <w:r>
              <w:rPr>
                <w:color w:val="000000"/>
              </w:rPr>
              <w:t>Rajiv Srinivasan</w:t>
            </w:r>
            <w:r>
              <w:rPr/>
              <w:t xml:space="preserve"> </w:t>
            </w:r>
          </w:p>
        </w:tc>
        <w:tc>
          <w:tcPr>
            <w:tcW w:w="146" w:type="dxa"/>
            <w:tcBorders/>
            <w:tcMar>
              <w:bottom w:w="0" w:type="dxa"/>
            </w:tcMar>
            <w:vAlign w:val="center"/>
          </w:tcPr>
          <w:p>
            <w:pPr>
              <w:pStyle w:val="TableContents"/>
              <w:bidi w:val="0"/>
              <w:spacing w:before="0" w:after="283"/>
              <w:jc w:val="left"/>
              <w:rPr/>
            </w:pPr>
            <w:r>
              <w:rPr/>
              <w:t> </w:t>
            </w:r>
          </w:p>
        </w:tc>
        <w:tc>
          <w:tcPr>
            <w:tcW w:w="650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1400" w:type="dxa"/>
            <w:tcBorders/>
            <w:tcMar>
              <w:bottom w:w="0" w:type="dxa"/>
            </w:tcMar>
            <w:vAlign w:val="center"/>
          </w:tcPr>
          <w:p>
            <w:pPr>
              <w:pStyle w:val="TableContents"/>
              <w:bidi w:val="0"/>
              <w:spacing w:before="0" w:after="283"/>
              <w:jc w:val="left"/>
              <w:rPr/>
            </w:pPr>
            <w:r>
              <w:rPr/>
              <w:t> </w:t>
            </w:r>
          </w:p>
        </w:tc>
      </w:tr>
      <w:tr>
        <w:trPr/>
        <w:tc>
          <w:tcPr>
            <w:tcW w:w="2013"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650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1400" w:type="dxa"/>
            <w:tcBorders/>
            <w:tcMar>
              <w:bottom w:w="0" w:type="dxa"/>
            </w:tcMar>
            <w:vAlign w:val="center"/>
          </w:tcPr>
          <w:p>
            <w:pPr>
              <w:pStyle w:val="TableContents"/>
              <w:bidi w:val="0"/>
              <w:spacing w:before="0" w:after="283"/>
              <w:jc w:val="left"/>
              <w:rPr/>
            </w:pPr>
            <w:r>
              <w:rPr/>
              <w:t> </w:t>
            </w:r>
          </w:p>
        </w:tc>
      </w:tr>
      <w:tr>
        <w:trPr/>
        <w:tc>
          <w:tcPr>
            <w:tcW w:w="2013" w:type="dxa"/>
            <w:tcBorders>
              <w:bottom w:val="single" w:sz="2" w:space="0" w:color="000000"/>
            </w:tcBorders>
            <w:vAlign w:val="center"/>
          </w:tcPr>
          <w:p>
            <w:pPr>
              <w:pStyle w:val="TableContents"/>
              <w:bidi w:val="0"/>
              <w:spacing w:before="0" w:after="283"/>
              <w:jc w:val="both"/>
              <w:rPr/>
            </w:pPr>
            <w:r>
              <w:rPr>
                <w:color w:val="000000"/>
              </w:rPr>
              <w:t>/s/ Timothy Szymanski</w:t>
            </w:r>
            <w:r>
              <w:rPr/>
              <w:t xml:space="preserve"> </w:t>
            </w:r>
          </w:p>
        </w:tc>
        <w:tc>
          <w:tcPr>
            <w:tcW w:w="146" w:type="dxa"/>
            <w:tcBorders/>
            <w:tcMar>
              <w:bottom w:w="0" w:type="dxa"/>
            </w:tcMar>
            <w:vAlign w:val="center"/>
          </w:tcPr>
          <w:p>
            <w:pPr>
              <w:pStyle w:val="TableContents"/>
              <w:bidi w:val="0"/>
              <w:spacing w:before="0" w:after="283"/>
              <w:jc w:val="left"/>
              <w:rPr/>
            </w:pPr>
            <w:r>
              <w:rPr/>
              <w:t> </w:t>
            </w:r>
          </w:p>
        </w:tc>
        <w:tc>
          <w:tcPr>
            <w:tcW w:w="6500" w:type="dxa"/>
            <w:tcBorders/>
            <w:tcMar>
              <w:bottom w:w="0" w:type="dxa"/>
            </w:tcMar>
            <w:vAlign w:val="center"/>
          </w:tcPr>
          <w:p>
            <w:pPr>
              <w:pStyle w:val="TableContents"/>
              <w:bidi w:val="0"/>
              <w:spacing w:before="0" w:after="0"/>
              <w:jc w:val="left"/>
              <w:rPr/>
            </w:pPr>
            <w:r>
              <w:rPr>
                <w:color w:val="000000"/>
              </w:rPr>
              <w:t>Director</w:t>
            </w:r>
            <w:r>
              <w:rPr/>
              <w:t xml:space="preserve"> </w:t>
            </w:r>
          </w:p>
        </w:tc>
        <w:tc>
          <w:tcPr>
            <w:tcW w:w="146" w:type="dxa"/>
            <w:tcBorders/>
            <w:tcMar>
              <w:bottom w:w="0" w:type="dxa"/>
            </w:tcMar>
            <w:vAlign w:val="center"/>
          </w:tcPr>
          <w:p>
            <w:pPr>
              <w:pStyle w:val="TableContents"/>
              <w:bidi w:val="0"/>
              <w:spacing w:before="0" w:after="283"/>
              <w:jc w:val="left"/>
              <w:rPr/>
            </w:pPr>
            <w:r>
              <w:rPr/>
              <w:t> </w:t>
            </w:r>
          </w:p>
        </w:tc>
        <w:tc>
          <w:tcPr>
            <w:tcW w:w="1400" w:type="dxa"/>
            <w:tcBorders/>
            <w:tcMar>
              <w:bottom w:w="0" w:type="dxa"/>
            </w:tcMar>
            <w:vAlign w:val="center"/>
          </w:tcPr>
          <w:p>
            <w:pPr>
              <w:pStyle w:val="TableContents"/>
              <w:bidi w:val="0"/>
              <w:spacing w:before="0" w:after="283"/>
              <w:jc w:val="center"/>
              <w:rPr>
                <w:color w:val="000000"/>
              </w:rPr>
            </w:pPr>
            <w:r>
              <w:rPr>
                <w:color w:val="000000"/>
              </w:rPr>
              <w:t>March 26, 2026</w:t>
            </w:r>
          </w:p>
        </w:tc>
      </w:tr>
      <w:tr>
        <w:trPr/>
        <w:tc>
          <w:tcPr>
            <w:tcW w:w="2013" w:type="dxa"/>
            <w:tcBorders/>
            <w:tcMar>
              <w:bottom w:w="0" w:type="dxa"/>
            </w:tcMar>
            <w:vAlign w:val="center"/>
          </w:tcPr>
          <w:p>
            <w:pPr>
              <w:pStyle w:val="TableContents"/>
              <w:bidi w:val="0"/>
              <w:spacing w:before="0" w:after="283"/>
              <w:jc w:val="both"/>
              <w:rPr>
                <w:color w:val="000000"/>
              </w:rPr>
            </w:pPr>
            <w:r>
              <w:rPr>
                <w:color w:val="000000"/>
              </w:rPr>
              <w:t>Timothy Szymanski</w:t>
            </w:r>
          </w:p>
        </w:tc>
        <w:tc>
          <w:tcPr>
            <w:tcW w:w="146" w:type="dxa"/>
            <w:tcBorders/>
            <w:tcMar>
              <w:bottom w:w="0" w:type="dxa"/>
            </w:tcMar>
            <w:vAlign w:val="center"/>
          </w:tcPr>
          <w:p>
            <w:pPr>
              <w:pStyle w:val="TableContents"/>
              <w:bidi w:val="0"/>
              <w:spacing w:before="0" w:after="283"/>
              <w:jc w:val="left"/>
              <w:rPr/>
            </w:pPr>
            <w:r>
              <w:rPr/>
              <w:t> </w:t>
            </w:r>
          </w:p>
        </w:tc>
        <w:tc>
          <w:tcPr>
            <w:tcW w:w="6500"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1400" w:type="dxa"/>
            <w:tcBorders/>
            <w:tcMar>
              <w:bottom w:w="0" w:type="dxa"/>
            </w:tcMar>
            <w:vAlign w:val="center"/>
          </w:tcPr>
          <w:p>
            <w:pPr>
              <w:pStyle w:val="TableContents"/>
              <w:bidi w:val="0"/>
              <w:spacing w:before="0" w:after="283"/>
              <w:jc w:val="left"/>
              <w:rPr/>
            </w:pPr>
            <w:r>
              <w:rPr/>
              <w:t> </w:t>
            </w:r>
          </w:p>
        </w:tc>
      </w:tr>
      <w:tr>
        <w:trPr/>
        <w:tc>
          <w:tcPr>
            <w:tcW w:w="2013" w:type="dxa"/>
            <w:tcBorders/>
            <w:tcMar>
              <w:top w:w="28" w:type="dxa"/>
              <w:left w:w="28" w:type="dxa"/>
              <w:right w:w="28" w:type="dxa"/>
            </w:tcMar>
            <w:vAlign w:val="center"/>
          </w:tcPr>
          <w:p>
            <w:pPr>
              <w:pStyle w:val="TableContents"/>
              <w:bidi w:val="0"/>
              <w:spacing w:before="0" w:after="283"/>
              <w:jc w:val="both"/>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500"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400" w:type="dxa"/>
            <w:tcBorders/>
            <w:tcMar>
              <w:top w:w="28" w:type="dxa"/>
              <w:left w:w="28" w:type="dxa"/>
              <w:right w:w="28" w:type="dxa"/>
            </w:tcMar>
            <w:vAlign w:val="center"/>
          </w:tcPr>
          <w:p>
            <w:pPr>
              <w:pStyle w:val="TableContents"/>
              <w:bidi w:val="0"/>
              <w:spacing w:before="0" w:after="283"/>
              <w:jc w:val="left"/>
              <w:rPr/>
            </w:pPr>
            <w:r>
              <w:rPr/>
              <w:t> </w:t>
            </w:r>
          </w:p>
        </w:tc>
      </w:tr>
      <w:tr>
        <w:trPr/>
        <w:tc>
          <w:tcPr>
            <w:tcW w:w="2013" w:type="dxa"/>
            <w:tcBorders>
              <w:bottom w:val="single" w:sz="2" w:space="0" w:color="000000"/>
            </w:tcBorders>
            <w:vAlign w:val="center"/>
          </w:tcPr>
          <w:p>
            <w:pPr>
              <w:pStyle w:val="TableContents"/>
              <w:bidi w:val="0"/>
              <w:spacing w:before="0" w:after="283"/>
              <w:jc w:val="both"/>
              <w:rPr/>
            </w:pPr>
            <w:r>
              <w:rPr/>
              <w:t>/s/ John Shulman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500" w:type="dxa"/>
            <w:tcBorders/>
            <w:tcMar>
              <w:top w:w="28" w:type="dxa"/>
              <w:left w:w="28" w:type="dxa"/>
              <w:right w:w="28" w:type="dxa"/>
            </w:tcMar>
            <w:vAlign w:val="center"/>
          </w:tcPr>
          <w:p>
            <w:pPr>
              <w:pStyle w:val="TableContents"/>
              <w:bidi w:val="0"/>
              <w:spacing w:before="0" w:after="283"/>
              <w:jc w:val="left"/>
              <w:rPr/>
            </w:pPr>
            <w:r>
              <w:rPr/>
              <w:t>Director</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400" w:type="dxa"/>
            <w:tcBorders/>
            <w:tcMar>
              <w:top w:w="28" w:type="dxa"/>
              <w:left w:w="28" w:type="dxa"/>
              <w:right w:w="28" w:type="dxa"/>
            </w:tcMar>
            <w:vAlign w:val="center"/>
          </w:tcPr>
          <w:p>
            <w:pPr>
              <w:pStyle w:val="TableContents"/>
              <w:bidi w:val="0"/>
              <w:spacing w:before="0" w:after="283"/>
              <w:jc w:val="center"/>
              <w:rPr/>
            </w:pPr>
            <w:r>
              <w:rPr/>
              <w:t>March 26, 2026</w:t>
            </w:r>
          </w:p>
        </w:tc>
      </w:tr>
      <w:tr>
        <w:trPr/>
        <w:tc>
          <w:tcPr>
            <w:tcW w:w="2013" w:type="dxa"/>
            <w:tcBorders/>
            <w:tcMar>
              <w:top w:w="28" w:type="dxa"/>
              <w:left w:w="28" w:type="dxa"/>
              <w:right w:w="28" w:type="dxa"/>
            </w:tcMar>
            <w:vAlign w:val="center"/>
          </w:tcPr>
          <w:p>
            <w:pPr>
              <w:pStyle w:val="TableContents"/>
              <w:bidi w:val="0"/>
              <w:spacing w:before="0" w:after="283"/>
              <w:jc w:val="left"/>
              <w:rPr/>
            </w:pPr>
            <w:r>
              <w:rPr/>
              <w:t>John Shulman</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6500" w:type="dxa"/>
            <w:tcBorders/>
            <w:tcMar>
              <w:top w:w="28" w:type="dxa"/>
              <w:left w:w="28" w:type="dxa"/>
              <w:right w:w="28" w:type="dxa"/>
            </w:tcMar>
            <w:vAlign w:val="center"/>
          </w:tcPr>
          <w:p>
            <w:pPr>
              <w:pStyle w:val="TableContents"/>
              <w:bidi w:val="0"/>
              <w:spacing w:before="0" w:after="283"/>
              <w:jc w:val="left"/>
              <w:rPr/>
            </w:pPr>
            <w:r>
              <w:rPr/>
              <w:t> </w:t>
            </w:r>
          </w:p>
        </w:tc>
        <w:tc>
          <w:tcPr>
            <w:tcW w:w="146" w:type="dxa"/>
            <w:tcBorders/>
            <w:tcMar>
              <w:top w:w="28" w:type="dxa"/>
              <w:left w:w="28" w:type="dxa"/>
              <w:right w:w="28" w:type="dxa"/>
            </w:tcMar>
            <w:vAlign w:val="center"/>
          </w:tcPr>
          <w:p>
            <w:pPr>
              <w:pStyle w:val="TableContents"/>
              <w:bidi w:val="0"/>
              <w:spacing w:before="0" w:after="283"/>
              <w:jc w:val="left"/>
              <w:rPr/>
            </w:pPr>
            <w:r>
              <w:rPr/>
              <w:t> </w:t>
            </w:r>
          </w:p>
        </w:tc>
        <w:tc>
          <w:tcPr>
            <w:tcW w:w="1400" w:type="dxa"/>
            <w:tcBorders/>
            <w:tcMar>
              <w:top w:w="28" w:type="dxa"/>
              <w:left w:w="28" w:type="dxa"/>
              <w:right w:w="28" w:type="dxa"/>
            </w:tcMar>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TextBody"/>
        <w:bidi w:val="0"/>
        <w:spacing w:before="0" w:after="0"/>
        <w:ind w:left="0" w:right="0" w:hanging="0"/>
        <w:jc w:val="cente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pPr>
      <w:r>
        <w:rPr>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78</w:t>
      </w:r>
    </w:p>
    <w:p>
      <w:pPr>
        <w:pStyle w:val="HorizontalLine"/>
        <w:bidi w:val="0"/>
        <w:spacing w:before="0" w:after="0"/>
        <w:jc w:val="left"/>
        <w:rPr/>
      </w:pPr>
      <w:r>
        <w:rPr/>
      </w:r>
    </w:p>
    <w:p>
      <w:pPr>
        <w:pStyle w:val="TextBody"/>
        <w:bidi w:val="0"/>
        <w:jc w:val="left"/>
        <w:rPr/>
      </w:pPr>
      <w:hyperlink w:anchor="tableOfContents0">
        <w:r>
          <w:rPr>
            <w:rStyle w:val="InternetLink"/>
            <w:rFonts w:ascii="TimesNewRoman;Times New Roman;Times;Baskerville;Georgia;serif" w:hAnsi="TimesNewRoman;Times New Roman;Times;Baskerville;Georgia;serif"/>
            <w:b w:val="false"/>
            <w:i w:val="false"/>
            <w:caps w:val="false"/>
            <w:smallCaps w:val="false"/>
            <w:strike w:val="false"/>
            <w:dstrike w:val="false"/>
            <w:sz w:val="15"/>
            <w:u w:val="none"/>
            <w:effect w:val="none"/>
          </w:rPr>
          <w:t>Table of Contents</w:t>
        </w:r>
      </w:hyperlink>
    </w:p>
    <w:p>
      <w:pPr>
        <w:pStyle w:val="TextBody"/>
        <w:bidi w:val="0"/>
        <w:spacing w:before="0" w:after="0"/>
        <w:jc w:val="left"/>
        <w:rPr/>
      </w:pPr>
      <w:bookmarkStart w:id="35" w:name="ex4-7.htm"/>
      <w:bookmarkStart w:id="36" w:name="ksex47"/>
      <w:bookmarkEnd w:id="35"/>
      <w:bookmarkEnd w:id="36"/>
      <w:r>
        <w:rPr/>
        <w:t xml:space="preserve">  </w:t>
      </w:r>
      <w:r>
        <w:br w:type="page"/>
      </w:r>
    </w:p>
    <w:p>
      <w:pPr>
        <w:pStyle w:val="TextBody"/>
        <w:bidi w:val="0"/>
        <w:spacing w:before="0" w:after="0"/>
        <w:jc w:val="center"/>
        <w:rPr/>
      </w:pPr>
      <w:r>
        <w:rPr/>
        <w:t xml:space="preserve">DESCRIPTION OF CAPITAL STOCK </w:t>
      </w:r>
    </w:p>
    <w:p>
      <w:pPr>
        <w:pStyle w:val="TextBody"/>
        <w:bidi w:val="0"/>
        <w:spacing w:before="0" w:after="0"/>
        <w:jc w:val="left"/>
        <w:rPr/>
      </w:pPr>
      <w:r>
        <w:rPr/>
        <w:t xml:space="preserve">  </w:t>
      </w:r>
    </w:p>
    <w:p>
      <w:pPr>
        <w:pStyle w:val="TextBody"/>
        <w:bidi w:val="0"/>
        <w:spacing w:before="0" w:after="0"/>
        <w:jc w:val="left"/>
        <w:rPr/>
      </w:pPr>
      <w:r>
        <w:rPr>
          <w:b/>
        </w:rPr>
        <w:t>General</w:t>
      </w:r>
      <w:r>
        <w:rPr/>
        <w:t xml:space="preserve"> </w:t>
      </w:r>
    </w:p>
    <w:p>
      <w:pPr>
        <w:pStyle w:val="TextBody"/>
        <w:bidi w:val="0"/>
        <w:spacing w:before="0" w:after="0"/>
        <w:jc w:val="left"/>
        <w:rPr/>
      </w:pPr>
      <w:r>
        <w:rPr/>
        <w:t xml:space="preserve">  </w:t>
      </w:r>
    </w:p>
    <w:p>
      <w:pPr>
        <w:pStyle w:val="TextBody"/>
        <w:bidi w:val="0"/>
        <w:spacing w:before="0" w:after="0"/>
        <w:jc w:val="both"/>
        <w:rPr/>
      </w:pPr>
      <w:r>
        <w:rPr/>
        <w:t xml:space="preserve">The following description of Wrap Technologies, Inc.’s (the “Company”) capital stock and provisions of its amended and restated certificate of incorporation (as amended, the “Articles of Incorporation”), and amended and restated bylaws (as amended, the “Bylaws”) are summaries and are qualified by reference to the Articles of Incorporation and the Bylaws filed with the Securities and Exchange Commission. </w:t>
      </w:r>
    </w:p>
    <w:p>
      <w:pPr>
        <w:pStyle w:val="TextBody"/>
        <w:bidi w:val="0"/>
        <w:spacing w:before="0" w:after="0"/>
        <w:jc w:val="left"/>
        <w:rPr/>
      </w:pPr>
      <w:r>
        <w:rPr/>
        <w:t xml:space="preserve">  </w:t>
      </w:r>
    </w:p>
    <w:p>
      <w:pPr>
        <w:pStyle w:val="TextBody"/>
        <w:bidi w:val="0"/>
        <w:spacing w:before="0" w:after="0"/>
        <w:jc w:val="left"/>
        <w:rPr/>
      </w:pPr>
      <w:r>
        <w:rPr>
          <w:b/>
        </w:rPr>
        <w:t>Authorized Capital Stock</w:t>
      </w:r>
      <w:r>
        <w:rPr/>
        <w:t xml:space="preserve"> </w:t>
      </w:r>
    </w:p>
    <w:p>
      <w:pPr>
        <w:pStyle w:val="TextBody"/>
        <w:bidi w:val="0"/>
        <w:spacing w:before="0" w:after="0"/>
        <w:jc w:val="left"/>
        <w:rPr/>
      </w:pPr>
      <w:r>
        <w:rPr/>
        <w:t xml:space="preserve">  </w:t>
      </w:r>
    </w:p>
    <w:p>
      <w:pPr>
        <w:pStyle w:val="TextBody"/>
        <w:bidi w:val="0"/>
        <w:spacing w:before="0" w:after="0"/>
        <w:jc w:val="both"/>
        <w:rPr/>
      </w:pPr>
      <w:r>
        <w:rPr/>
        <w:t xml:space="preserve">The Articles of Incorporation authorize the Company to issue 200,000,000shares of common stock, par value $0.0001 per share, and 5,000,000 shares of preferred stock, par value $0.0001 per share. </w:t>
      </w:r>
    </w:p>
    <w:p>
      <w:pPr>
        <w:pStyle w:val="TextBody"/>
        <w:bidi w:val="0"/>
        <w:spacing w:before="0" w:after="0"/>
        <w:jc w:val="left"/>
        <w:rPr/>
      </w:pPr>
      <w:r>
        <w:rPr/>
        <w:t xml:space="preserve">  </w:t>
      </w:r>
    </w:p>
    <w:p>
      <w:pPr>
        <w:pStyle w:val="TextBody"/>
        <w:bidi w:val="0"/>
        <w:spacing w:before="0" w:after="0"/>
        <w:jc w:val="left"/>
        <w:rPr/>
      </w:pPr>
      <w:r>
        <w:rPr>
          <w:b/>
        </w:rPr>
        <w:t>Common Stock</w:t>
      </w:r>
      <w:r>
        <w:rPr/>
        <w:t xml:space="preserve"> </w:t>
      </w:r>
    </w:p>
    <w:p>
      <w:pPr>
        <w:pStyle w:val="TextBody"/>
        <w:bidi w:val="0"/>
        <w:spacing w:before="0" w:after="0"/>
        <w:jc w:val="left"/>
        <w:rPr/>
      </w:pPr>
      <w:r>
        <w:rPr/>
        <w:t xml:space="preserve">  </w:t>
      </w:r>
    </w:p>
    <w:p>
      <w:pPr>
        <w:pStyle w:val="TextBody"/>
        <w:bidi w:val="0"/>
        <w:spacing w:before="0" w:after="0"/>
        <w:jc w:val="both"/>
        <w:rPr/>
      </w:pPr>
      <w:r>
        <w:rPr/>
        <w:t xml:space="preserve">The Board of Directors (the “Board”) may from time to time declare, and the Company may pay, dividends on its outstanding shares in the manner and upon the terms and conditions provided by law. Holders of the Company’s common stock are entitled to one vote for each share held on all matters submitted to a vote of at a meeting of stockholders. There is no cumulative voting of the election of directors then standing for election. The common stock is not entitled to pre-emptive rights and is not subject to conversion or redemption. There are no redemption or sinking fund provisions applicable to the common stock. All outstanding shares of common stock are, when sold, validly issued, fully paid, and nonassessable. </w:t>
      </w:r>
    </w:p>
    <w:p>
      <w:pPr>
        <w:pStyle w:val="TextBody"/>
        <w:bidi w:val="0"/>
        <w:spacing w:before="0" w:after="0"/>
        <w:jc w:val="left"/>
        <w:rPr/>
      </w:pPr>
      <w:r>
        <w:rPr/>
        <w:t xml:space="preserve">  </w:t>
      </w:r>
    </w:p>
    <w:p>
      <w:pPr>
        <w:pStyle w:val="TextBody"/>
        <w:bidi w:val="0"/>
        <w:spacing w:before="0" w:after="0"/>
        <w:jc w:val="left"/>
        <w:rPr/>
      </w:pPr>
      <w:r>
        <w:rPr>
          <w:b/>
        </w:rPr>
        <w:t>Preferred Stock</w:t>
      </w:r>
      <w:r>
        <w:rPr/>
        <w:t xml:space="preserve">  </w:t>
      </w:r>
    </w:p>
    <w:p>
      <w:pPr>
        <w:pStyle w:val="TextBody"/>
        <w:bidi w:val="0"/>
        <w:spacing w:before="0" w:after="0"/>
        <w:jc w:val="left"/>
        <w:rPr/>
      </w:pPr>
      <w:r>
        <w:rPr/>
        <w:t xml:space="preserve">  </w:t>
      </w:r>
    </w:p>
    <w:p>
      <w:pPr>
        <w:pStyle w:val="TextBody"/>
        <w:bidi w:val="0"/>
        <w:spacing w:before="0" w:after="0"/>
        <w:jc w:val="both"/>
        <w:rPr/>
      </w:pPr>
      <w:r>
        <w:rPr/>
        <w:t xml:space="preserve">The Board is authorized to issue 5,000,000 shares of preferred stock without further action by the holders of common stock. The shares of preferred stock may be issued from time to time in one or more series, each of which will have such distinctive designation or title as shall be determined by the Board prior to the issuance of any shares thereof. </w:t>
      </w:r>
    </w:p>
    <w:p>
      <w:pPr>
        <w:pStyle w:val="TextBody"/>
        <w:bidi w:val="0"/>
        <w:spacing w:before="0" w:after="0"/>
        <w:jc w:val="both"/>
        <w:rPr/>
      </w:pPr>
      <w:r>
        <w:rPr/>
        <w:t xml:space="preserve">  </w:t>
      </w:r>
    </w:p>
    <w:p>
      <w:pPr>
        <w:pStyle w:val="TextBody"/>
        <w:bidi w:val="0"/>
        <w:spacing w:before="0" w:after="0"/>
        <w:jc w:val="both"/>
        <w:rPr/>
      </w:pPr>
      <w:r>
        <w:rPr/>
        <w:t xml:space="preserve">The Board is authorized, subject to limitations prescribed by law, to fix by resolution or resolutions the designations, powers, preferences, and rights and the qualifications, limitations, or restrictions thereof, of each such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wholly unissued series of preferred stock, and the number of shares constituting such series and the designation thereof, or any of the foregoing. </w:t>
      </w:r>
    </w:p>
    <w:p>
      <w:pPr>
        <w:pStyle w:val="TextBody"/>
        <w:bidi w:val="0"/>
        <w:spacing w:before="0" w:after="0"/>
        <w:jc w:val="both"/>
        <w:rPr/>
      </w:pPr>
      <w:r>
        <w:rPr/>
        <w:t xml:space="preserve">  </w:t>
      </w:r>
    </w:p>
    <w:p>
      <w:pPr>
        <w:pStyle w:val="TextBody"/>
        <w:bidi w:val="0"/>
        <w:jc w:val="both"/>
        <w:rPr/>
      </w:pPr>
      <w:r>
        <w:rPr/>
        <w:t>The issuance of preferred stock could adversely affect the rights of the holders of common stock and, therefore, reduce the value of the common stock. It is not possible to state the actual effect of the issuance of any shares of preferred stock on the rights of holders of the common stock until the Board determines the specific rights of the holders of the preferred stock; however, these effects may include:</w:t>
      </w:r>
    </w:p>
    <w:p>
      <w:pPr>
        <w:pStyle w:val="TextBody"/>
        <w:numPr>
          <w:ilvl w:val="0"/>
          <w:numId w:val="86"/>
        </w:numPr>
        <w:tabs>
          <w:tab w:val="clear" w:pos="1134"/>
          <w:tab w:val="left" w:pos="709" w:leader="none"/>
        </w:tabs>
        <w:bidi w:val="0"/>
        <w:spacing w:before="0" w:after="0"/>
        <w:ind w:left="709" w:hanging="283"/>
        <w:jc w:val="left"/>
        <w:rPr>
          <w:sz w:val="20"/>
        </w:rPr>
      </w:pPr>
      <w:r>
        <w:rPr>
          <w:sz w:val="20"/>
        </w:rPr>
        <w:t>Restricting </w:t>
      </w:r>
      <w:r>
        <w:rPr>
          <w:spacing w:val="0"/>
          <w:sz w:val="20"/>
        </w:rPr>
        <w:t>dividends on the common stock;</w:t>
      </w:r>
    </w:p>
    <w:p>
      <w:pPr>
        <w:pStyle w:val="TextBody"/>
        <w:numPr>
          <w:ilvl w:val="0"/>
          <w:numId w:val="86"/>
        </w:numPr>
        <w:tabs>
          <w:tab w:val="clear" w:pos="1134"/>
          <w:tab w:val="left" w:pos="709" w:leader="none"/>
        </w:tabs>
        <w:bidi w:val="0"/>
        <w:spacing w:before="0" w:after="0"/>
        <w:ind w:left="709" w:right="0" w:firstLine="227"/>
        <w:jc w:val="left"/>
        <w:rPr>
          <w:spacing w:val="0"/>
          <w:sz w:val="20"/>
        </w:rPr>
      </w:pPr>
      <w:r>
        <w:rPr>
          <w:spacing w:val="0"/>
          <w:sz w:val="20"/>
        </w:rPr>
        <w:t>Diluting the voting power of the common stock;</w:t>
      </w:r>
    </w:p>
    <w:p>
      <w:pPr>
        <w:pStyle w:val="TextBody"/>
        <w:numPr>
          <w:ilvl w:val="0"/>
          <w:numId w:val="86"/>
        </w:numPr>
        <w:tabs>
          <w:tab w:val="clear" w:pos="1134"/>
          <w:tab w:val="left" w:pos="709" w:leader="none"/>
        </w:tabs>
        <w:bidi w:val="0"/>
        <w:spacing w:before="0" w:after="0"/>
        <w:ind w:left="709" w:hanging="283"/>
        <w:jc w:val="left"/>
        <w:rPr>
          <w:spacing w:val="0"/>
          <w:sz w:val="20"/>
        </w:rPr>
      </w:pPr>
      <w:r>
        <w:rPr>
          <w:spacing w:val="0"/>
          <w:sz w:val="20"/>
        </w:rPr>
        <w:t>Impairing the liquidation rights of the common stock; or</w:t>
      </w:r>
    </w:p>
    <w:p>
      <w:pPr>
        <w:pStyle w:val="TextBody"/>
        <w:numPr>
          <w:ilvl w:val="0"/>
          <w:numId w:val="86"/>
        </w:numPr>
        <w:tabs>
          <w:tab w:val="clear" w:pos="1134"/>
          <w:tab w:val="left" w:pos="709" w:leader="none"/>
        </w:tabs>
        <w:bidi w:val="0"/>
        <w:ind w:left="709" w:hanging="283"/>
        <w:jc w:val="left"/>
        <w:rPr>
          <w:spacing w:val="0"/>
          <w:sz w:val="20"/>
        </w:rPr>
      </w:pPr>
      <w:r>
        <w:rPr>
          <w:spacing w:val="0"/>
          <w:sz w:val="20"/>
        </w:rPr>
        <w:t>Delaying or preventing a change in control of the Company without further action by the stockholder</w:t>
      </w:r>
    </w:p>
    <w:p>
      <w:pPr>
        <w:pStyle w:val="TextBody"/>
        <w:bidi w:val="0"/>
        <w:spacing w:before="0" w:after="0"/>
        <w:jc w:val="left"/>
        <w:rPr>
          <w:b/>
        </w:rPr>
      </w:pPr>
      <w:r>
        <w:rPr>
          <w:b/>
        </w:rPr>
        <w:t xml:space="preserve">Series A Convertible Preferred Stock </w:t>
      </w:r>
    </w:p>
    <w:p>
      <w:pPr>
        <w:pStyle w:val="TextBody"/>
        <w:bidi w:val="0"/>
        <w:spacing w:before="0" w:after="0"/>
        <w:jc w:val="left"/>
        <w:rPr/>
      </w:pPr>
      <w:r>
        <w:rPr/>
        <w:t xml:space="preserve">  </w:t>
      </w:r>
    </w:p>
    <w:p>
      <w:pPr>
        <w:pStyle w:val="TextBody"/>
        <w:bidi w:val="0"/>
        <w:spacing w:before="0" w:after="0"/>
        <w:jc w:val="left"/>
        <w:rPr/>
      </w:pPr>
      <w:r>
        <w:rPr/>
        <w:t xml:space="preserve">The following are the principal terms of the Series A Convertible Preferred Stock (the “Series A Preferred Stock”): </w:t>
      </w:r>
    </w:p>
    <w:p>
      <w:pPr>
        <w:pStyle w:val="TextBody"/>
        <w:bidi w:val="0"/>
        <w:spacing w:before="0" w:after="0"/>
        <w:jc w:val="left"/>
        <w:rPr/>
      </w:pPr>
      <w:r>
        <w:rPr/>
        <w:t xml:space="preserve">  </w:t>
      </w:r>
    </w:p>
    <w:p>
      <w:pPr>
        <w:pStyle w:val="TextBody"/>
        <w:bidi w:val="0"/>
        <w:spacing w:before="0" w:after="0"/>
        <w:jc w:val="left"/>
        <w:rPr>
          <w:i/>
        </w:rPr>
      </w:pPr>
      <w:r>
        <w:rPr>
          <w:i/>
        </w:rPr>
        <w:t>Dividends</w:t>
      </w:r>
    </w:p>
    <w:p>
      <w:pPr>
        <w:pStyle w:val="TextBody"/>
        <w:bidi w:val="0"/>
        <w:spacing w:before="0" w:after="0"/>
        <w:jc w:val="left"/>
        <w:rPr/>
      </w:pPr>
      <w:r>
        <w:rPr/>
        <w:t>  </w:t>
      </w:r>
    </w:p>
    <w:p>
      <w:pPr>
        <w:pStyle w:val="TextBody"/>
        <w:bidi w:val="0"/>
        <w:spacing w:before="0" w:after="0"/>
        <w:jc w:val="both"/>
        <w:rPr/>
      </w:pPr>
      <w:r>
        <w:rPr/>
        <w:t xml:space="preserve">The holders of the Series A Preferred Stock are entitled to dividends of 8% per annum, compounded monthly, which are payable in cash or shares of Common Stock, or a combination thereof, at the Company’s option in accordance with the terms of the Series A Preferred Stock Certificate of Designations (“Certificate of Designations”). Upon the occurrence and during the continuance of a Triggering Event (as defined in the Certificate of Designations), the Series A Preferred Stock will accrue dividends at the rate of 20% per annum and shall compound monthly. </w:t>
      </w:r>
    </w:p>
    <w:p>
      <w:pPr>
        <w:pStyle w:val="TextBody"/>
        <w:bidi w:val="0"/>
        <w:spacing w:before="0" w:after="0"/>
        <w:jc w:val="left"/>
        <w:rPr/>
      </w:pPr>
      <w:r>
        <w:rPr/>
        <w:t xml:space="preserve">  </w:t>
      </w:r>
    </w:p>
    <w:p>
      <w:pPr>
        <w:pStyle w:val="TextBody"/>
        <w:bidi w:val="0"/>
        <w:spacing w:before="0" w:after="0"/>
        <w:jc w:val="left"/>
        <w:rPr/>
      </w:pPr>
      <w:r>
        <w:rPr>
          <w:i/>
        </w:rPr>
        <w:t>Voting Rights</w:t>
      </w:r>
      <w:r>
        <w:rPr/>
        <w:t xml:space="preserve"> </w:t>
      </w:r>
    </w:p>
    <w:p>
      <w:pPr>
        <w:pStyle w:val="TextBody"/>
        <w:bidi w:val="0"/>
        <w:spacing w:before="0" w:after="0"/>
        <w:jc w:val="left"/>
        <w:rPr/>
      </w:pPr>
      <w:r>
        <w:rPr/>
        <w:t xml:space="preserve">  </w:t>
      </w:r>
    </w:p>
    <w:p>
      <w:pPr>
        <w:pStyle w:val="TextBody"/>
        <w:bidi w:val="0"/>
        <w:spacing w:before="0" w:after="0"/>
        <w:jc w:val="both"/>
        <w:rPr/>
      </w:pPr>
      <w:r>
        <w:rPr/>
        <w:t xml:space="preserve">The Series A Preferred Stock has no voting rights, except as required by law (including without limitation, the Delaware General Corporation Law (the “DGCL”) and as expressly provided in the Series A Certificate of Designation. To the extent that under the DGCL the vote of the holders of the Series A Preferred Stock; provided, that such holders must include Iroquois Master Fund Ltd. (the “Required Holders”), voting separately as a class or series, as applicable, is required to authorize a given action of the Company, the affirmative vote or consent of the Series A Preferred Stock of the shares of Series A Preferred Stock, voting together in the aggregate and not in separate series unless required under the DGCL, represented at a duly held meeting at which a quorum is presented or by written consent of the Required Holders (except as otherwise may be required under the DGCL), voting together in the aggregate and not in separate series unless required under the DGCL, shall constitute the approval of such action by both the class or the series, as applicable. To the extent that under the DGCL holders of the Series A Preferred Stock are entitled to vote on a matter with holders of shares of common stock, voting together as one class, each share of Series A Preferred Stock shall entitle the holder thereof to cast that number of votes per share as is equal to the number of shares of common stock into which it is then convertible (subject to the ownership limitations specified in the Certificate of Designations) using the record date for determining the stockholders of the Company eligible to vote on such matters as the date as of which the conversion price is calculated. </w:t>
      </w:r>
    </w:p>
    <w:p>
      <w:pPr>
        <w:pStyle w:val="TextBody"/>
        <w:bidi w:val="0"/>
        <w:spacing w:before="0" w:after="0"/>
        <w:jc w:val="left"/>
        <w:rPr/>
      </w:pPr>
      <w:r>
        <w:rPr/>
        <w:t xml:space="preserve">  </w:t>
      </w:r>
    </w:p>
    <w:p>
      <w:pPr>
        <w:pStyle w:val="TextBody"/>
        <w:bidi w:val="0"/>
        <w:spacing w:before="0" w:after="0"/>
        <w:jc w:val="left"/>
        <w:rPr/>
      </w:pPr>
      <w:r>
        <w:rPr>
          <w:i/>
        </w:rPr>
        <w:t>Liquidation</w:t>
      </w:r>
      <w:r>
        <w:rPr/>
        <w:t xml:space="preserve"> </w:t>
      </w:r>
    </w:p>
    <w:p>
      <w:pPr>
        <w:pStyle w:val="TextBody"/>
        <w:bidi w:val="0"/>
        <w:spacing w:before="0" w:after="0"/>
        <w:jc w:val="left"/>
        <w:rPr/>
      </w:pPr>
      <w:r>
        <w:rPr/>
        <w:t xml:space="preserve">  </w:t>
      </w:r>
    </w:p>
    <w:p>
      <w:pPr>
        <w:pStyle w:val="TextBody"/>
        <w:bidi w:val="0"/>
        <w:spacing w:before="0" w:after="0"/>
        <w:jc w:val="both"/>
        <w:rPr/>
      </w:pPr>
      <w:r>
        <w:rPr/>
        <w:t xml:space="preserve">Upon any liquidation, dissolution or winding-up of the Company, whether voluntary or involuntary, the each holder of the shares of the Series A Preferred Stock shall be entitled to receive out of the assets, whether capital or surplus, of the Company an amount per share of Series A Preferred Stock equal to the greater of (A) 150% of the stated value of such share of Series A Preferred Stock (plus any applicable make-whole amount, unpaid late charge or other applicable amount) on the date of such payment and (B) the amount per share such holder would receive if such holder converted such Series A Preferred Share into common stock immediately prior to the date of such payment. </w:t>
      </w:r>
    </w:p>
    <w:p>
      <w:pPr>
        <w:pStyle w:val="TextBody"/>
        <w:bidi w:val="0"/>
        <w:spacing w:before="0" w:after="0"/>
        <w:jc w:val="left"/>
        <w:rPr/>
      </w:pPr>
      <w:r>
        <w:rPr/>
        <w:t xml:space="preserve">  </w:t>
      </w:r>
    </w:p>
    <w:p>
      <w:pPr>
        <w:pStyle w:val="TextBody"/>
        <w:bidi w:val="0"/>
        <w:spacing w:before="0" w:after="0"/>
        <w:jc w:val="left"/>
        <w:rPr/>
      </w:pPr>
      <w:r>
        <w:rPr>
          <w:i/>
        </w:rPr>
        <w:t>Conversion</w:t>
      </w:r>
      <w:r>
        <w:rPr/>
        <w:t xml:space="preserve"> </w:t>
      </w:r>
    </w:p>
    <w:p>
      <w:pPr>
        <w:pStyle w:val="TextBody"/>
        <w:bidi w:val="0"/>
        <w:spacing w:before="0" w:after="0"/>
        <w:jc w:val="left"/>
        <w:rPr/>
      </w:pPr>
      <w:r>
        <w:rPr/>
        <w:t xml:space="preserve">  </w:t>
      </w:r>
    </w:p>
    <w:p>
      <w:pPr>
        <w:pStyle w:val="TextBody"/>
        <w:bidi w:val="0"/>
        <w:spacing w:before="0" w:after="0"/>
        <w:jc w:val="both"/>
        <w:rPr/>
      </w:pPr>
      <w:r>
        <w:rPr/>
        <w:t xml:space="preserve">The Series A Preferred Stock is convertible into shares of common stock (the “Conversion Shares”) at the election of the holder at any time at an initial conversion price of $1.45 (the “Conversion Price”). The Conversion Price is subject to customary adjustments for stock dividends, stock splits, reclassifications and the like, and subject to price-based adjustment in the event of any issuances of common stock, or securities convertible, exercisable or exchangeable for common stock, at a price below the then-applicable Conversion Price (subject to certain exceptions). </w:t>
      </w:r>
    </w:p>
    <w:p>
      <w:pPr>
        <w:pStyle w:val="TextBody"/>
        <w:bidi w:val="0"/>
        <w:spacing w:before="0" w:after="0"/>
        <w:jc w:val="left"/>
        <w:rPr/>
      </w:pPr>
      <w:r>
        <w:rPr/>
        <w:t xml:space="preserve">  </w:t>
      </w:r>
    </w:p>
    <w:p>
      <w:pPr>
        <w:pStyle w:val="TextBody"/>
        <w:bidi w:val="0"/>
        <w:spacing w:before="0" w:after="0"/>
        <w:jc w:val="left"/>
        <w:rPr/>
      </w:pPr>
      <w:r>
        <w:rPr>
          <w:i/>
        </w:rPr>
        <w:t>Exchange Cap</w:t>
      </w:r>
      <w:r>
        <w:rPr/>
        <w:t xml:space="preserve"> </w:t>
      </w:r>
    </w:p>
    <w:p>
      <w:pPr>
        <w:pStyle w:val="TextBody"/>
        <w:bidi w:val="0"/>
        <w:spacing w:before="0" w:after="0"/>
        <w:jc w:val="left"/>
        <w:rPr/>
      </w:pPr>
      <w:r>
        <w:rPr/>
        <w:t xml:space="preserve">  </w:t>
      </w:r>
    </w:p>
    <w:p>
      <w:pPr>
        <w:pStyle w:val="TextBody"/>
        <w:bidi w:val="0"/>
        <w:spacing w:before="0" w:after="0"/>
        <w:jc w:val="both"/>
        <w:rPr/>
      </w:pPr>
      <w:r>
        <w:rPr/>
        <w:t xml:space="preserve">The Series A Certificate of Designations provide that the Series A Preferred Stock shall not be convertible into shares of common stock in excess of 19.99% of the shares of common stock outstanding as of the date immediately prior to the date of the prospectus supplement under which the shares of Series A Preferred Stock were registered (the “Issuable Maximum”) except in the event that the Company (A) obtains the stockholder approval for issuances of shares of common stock in excess of the Issuable Maximum or (“Stockholder Approval”) or (B) obtains a written opinion from outside counsel to the Company that such approval is not required. Until such approval or such written opinion was obtained, no holder of Series A Preferred Stock would be issued in the aggregate more shares of common stock than such holder’s pro rata share of the Issuable Maximum. The Company received the Stockholder Approval on September 19, 2023. </w:t>
      </w:r>
    </w:p>
    <w:p>
      <w:pPr>
        <w:pStyle w:val="TextBody"/>
        <w:bidi w:val="0"/>
        <w:spacing w:before="0" w:after="0"/>
        <w:jc w:val="left"/>
        <w:rPr/>
      </w:pPr>
      <w:r>
        <w:rPr/>
        <w:t xml:space="preserve">  </w:t>
      </w:r>
    </w:p>
    <w:p>
      <w:pPr>
        <w:pStyle w:val="TextBody"/>
        <w:bidi w:val="0"/>
        <w:spacing w:before="0" w:after="0"/>
        <w:jc w:val="left"/>
        <w:rPr/>
      </w:pPr>
      <w:r>
        <w:rPr>
          <w:i/>
        </w:rPr>
        <w:t>Optional Conversion</w:t>
      </w:r>
      <w:r>
        <w:rPr/>
        <w:t xml:space="preserve"> </w:t>
      </w:r>
    </w:p>
    <w:p>
      <w:pPr>
        <w:pStyle w:val="TextBody"/>
        <w:bidi w:val="0"/>
        <w:spacing w:before="0" w:after="0"/>
        <w:jc w:val="left"/>
        <w:rPr/>
      </w:pPr>
      <w:r>
        <w:rPr/>
        <w:t xml:space="preserve">  </w:t>
      </w:r>
    </w:p>
    <w:p>
      <w:pPr>
        <w:pStyle w:val="TextBody"/>
        <w:bidi w:val="0"/>
        <w:spacing w:before="0" w:after="0"/>
        <w:jc w:val="both"/>
        <w:rPr/>
      </w:pPr>
      <w:r>
        <w:rPr/>
        <w:t xml:space="preserve">The Series A Preferred Stock can be converted at the option of the holder at any time and from time to time after the original issuance date. </w:t>
      </w:r>
    </w:p>
    <w:p>
      <w:pPr>
        <w:pStyle w:val="TextBody"/>
        <w:bidi w:val="0"/>
        <w:spacing w:before="0" w:after="0"/>
        <w:jc w:val="left"/>
        <w:rPr/>
      </w:pPr>
      <w:r>
        <w:rPr/>
        <w:t xml:space="preserve">  </w:t>
      </w:r>
    </w:p>
    <w:p>
      <w:pPr>
        <w:pStyle w:val="TextBody"/>
        <w:bidi w:val="0"/>
        <w:spacing w:before="0" w:after="0"/>
        <w:jc w:val="left"/>
        <w:rPr/>
      </w:pPr>
      <w:r>
        <w:rPr>
          <w:i/>
        </w:rPr>
        <w:t>Mandatory Conversion</w:t>
      </w:r>
      <w:r>
        <w:rPr/>
        <w:t xml:space="preserve"> </w:t>
      </w:r>
    </w:p>
    <w:p>
      <w:pPr>
        <w:pStyle w:val="TextBody"/>
        <w:bidi w:val="0"/>
        <w:spacing w:before="0" w:after="0"/>
        <w:jc w:val="left"/>
        <w:rPr/>
      </w:pPr>
      <w:r>
        <w:rPr/>
        <w:t xml:space="preserve">  </w:t>
      </w:r>
    </w:p>
    <w:p>
      <w:pPr>
        <w:pStyle w:val="TextBody"/>
        <w:bidi w:val="0"/>
        <w:spacing w:before="0" w:after="0"/>
        <w:jc w:val="both"/>
        <w:rPr/>
      </w:pPr>
      <w:r>
        <w:rPr/>
        <w:t xml:space="preserve">If on any day after the issuance of the shares of Series A Preferred Stock the closing price of the Common Stock exceeds $8.00 per share (subject to adjustment for stock splits, stock dividends, stock combinations, recapitalizations or other similar events) for 20 consecutive trading days and the daily dollar trading volume of the Common Stock exceeds $2,000,000 per day during the same period, provided that certain equity conditions described in the Certificate of Designations are satisfied, then the Company shall have the right to require the holder to mandatorily convert all or any portion of the Series A Preferred Stock, including the make-whole amount, the additional amount and any accrued but unpaid late charges, as designated in a Mandatory Conversion Notice on the Mandatory Conversion Date (each as defined in the Certificate of Designations) into fully paid, validly issued and nonassessable shares of common stock at the then-applicable conversion price as of the Mandatory Conversion Date (a “Mandatory Conversion”). If any of the equity conditions shall cease to be satisfied at any time on or after the Mandatory Conversion Date through and including the actual delivery of all of the Conversion Shares to the holders, the Mandatory Conversion shall be deemed withdrawn and void ab initio. </w:t>
      </w:r>
    </w:p>
    <w:p>
      <w:pPr>
        <w:pStyle w:val="TextBody"/>
        <w:bidi w:val="0"/>
        <w:spacing w:before="0" w:after="0"/>
        <w:jc w:val="left"/>
        <w:rPr/>
      </w:pPr>
      <w:r>
        <w:rPr/>
        <w:t xml:space="preserve">  </w:t>
      </w:r>
    </w:p>
    <w:p>
      <w:pPr>
        <w:pStyle w:val="TextBody"/>
        <w:bidi w:val="0"/>
        <w:spacing w:before="0" w:after="0"/>
        <w:jc w:val="left"/>
        <w:rPr/>
      </w:pPr>
      <w:r>
        <w:rPr>
          <w:i/>
        </w:rPr>
        <w:t>Beneficial Ownership Limitation</w:t>
      </w:r>
      <w:r>
        <w:rPr/>
        <w:t xml:space="preserve"> </w:t>
      </w:r>
    </w:p>
    <w:p>
      <w:pPr>
        <w:pStyle w:val="TextBody"/>
        <w:bidi w:val="0"/>
        <w:spacing w:before="0" w:after="0"/>
        <w:jc w:val="left"/>
        <w:rPr/>
      </w:pPr>
      <w:r>
        <w:rPr/>
        <w:t xml:space="preserve">  </w:t>
      </w:r>
    </w:p>
    <w:p>
      <w:pPr>
        <w:pStyle w:val="TextBody"/>
        <w:bidi w:val="0"/>
        <w:spacing w:before="0" w:after="0"/>
        <w:jc w:val="both"/>
        <w:rPr/>
      </w:pPr>
      <w:r>
        <w:rPr/>
        <w:t xml:space="preserve">The Series A Preferred Stock cannot be converted to Common Stock if the holder and its affiliates would beneficially own more than 4.99% or 9.99% at the election of the holder of the outstanding Common Stock. However, any holder may increase or decrease such percentage to any other percentage not in excess of 9.99% upon notice to us, provided that any increase in this limitation will not be effective until 61 days after such notice from the holder to the Company and such increase or decrease will apply only to the holder providing such notice. </w:t>
      </w:r>
    </w:p>
    <w:p>
      <w:pPr>
        <w:pStyle w:val="TextBody"/>
        <w:bidi w:val="0"/>
        <w:spacing w:before="0" w:after="0"/>
        <w:jc w:val="left"/>
        <w:rPr/>
      </w:pPr>
      <w:r>
        <w:rPr/>
        <w:t xml:space="preserve">  </w:t>
      </w:r>
    </w:p>
    <w:p>
      <w:pPr>
        <w:pStyle w:val="TextBody"/>
        <w:bidi w:val="0"/>
        <w:spacing w:before="0" w:after="0"/>
        <w:jc w:val="left"/>
        <w:rPr>
          <w:b/>
        </w:rPr>
      </w:pPr>
      <w:r>
        <w:rPr>
          <w:b/>
        </w:rPr>
        <w:t xml:space="preserve">Series B Convertible Preferred Stock </w:t>
      </w:r>
    </w:p>
    <w:p>
      <w:pPr>
        <w:pStyle w:val="TextBody"/>
        <w:bidi w:val="0"/>
        <w:spacing w:before="0" w:after="0"/>
        <w:jc w:val="left"/>
        <w:rPr/>
      </w:pPr>
      <w:r>
        <w:rPr/>
        <w:t xml:space="preserve">  </w:t>
      </w:r>
    </w:p>
    <w:p>
      <w:pPr>
        <w:pStyle w:val="TextBody"/>
        <w:bidi w:val="0"/>
        <w:spacing w:before="0" w:after="0"/>
        <w:jc w:val="left"/>
        <w:rPr/>
      </w:pPr>
      <w:r>
        <w:rPr/>
        <w:t xml:space="preserve">The following are the principal terms of the Series B Convertible Preferred Stock (the “Series B Preferred Stock”): </w:t>
      </w:r>
    </w:p>
    <w:p>
      <w:pPr>
        <w:pStyle w:val="TextBody"/>
        <w:bidi w:val="0"/>
        <w:spacing w:before="0" w:after="0"/>
        <w:jc w:val="left"/>
        <w:rPr/>
      </w:pPr>
      <w:r>
        <w:rPr/>
        <w:t xml:space="preserve">  </w:t>
      </w:r>
    </w:p>
    <w:p>
      <w:pPr>
        <w:pStyle w:val="TextBody"/>
        <w:bidi w:val="0"/>
        <w:spacing w:before="0" w:after="0"/>
        <w:jc w:val="left"/>
        <w:rPr/>
      </w:pPr>
      <w:r>
        <w:rPr>
          <w:i/>
        </w:rPr>
        <w:t>Dividends</w:t>
      </w:r>
      <w:r>
        <w:rPr/>
        <w:t xml:space="preserve"> </w:t>
      </w:r>
    </w:p>
    <w:p>
      <w:pPr>
        <w:pStyle w:val="TextBody"/>
        <w:bidi w:val="0"/>
        <w:spacing w:before="0" w:after="0"/>
        <w:jc w:val="left"/>
        <w:rPr/>
      </w:pPr>
      <w:r>
        <w:rPr/>
        <w:t xml:space="preserve">  </w:t>
      </w:r>
    </w:p>
    <w:p>
      <w:pPr>
        <w:pStyle w:val="TextBody"/>
        <w:bidi w:val="0"/>
        <w:spacing w:before="0" w:after="0"/>
        <w:jc w:val="both"/>
        <w:rPr/>
      </w:pPr>
      <w:r>
        <w:rPr/>
        <w:t xml:space="preserve">The holders of the Series B Preferred Stock are entitled to receive dividends when and as declared by the Board, from time to time, in its sole discretion, which dividends may be paid by the Company out of funds legally available therefor, payable, subject to the conditions and other terms thereof, in cash, in securities of the Company, or using assets as determined by the Board on the stated value of such Series B Preferred Stock. No other dividends may be paid on shares of Series B Preferred Stock. </w:t>
      </w:r>
    </w:p>
    <w:p>
      <w:pPr>
        <w:pStyle w:val="TextBody"/>
        <w:bidi w:val="0"/>
        <w:spacing w:before="0" w:after="0"/>
        <w:jc w:val="left"/>
        <w:rPr/>
      </w:pPr>
      <w:r>
        <w:rPr/>
        <w:t xml:space="preserve">  </w:t>
      </w:r>
    </w:p>
    <w:p>
      <w:pPr>
        <w:pStyle w:val="TextBody"/>
        <w:bidi w:val="0"/>
        <w:spacing w:before="0" w:after="0"/>
        <w:jc w:val="left"/>
        <w:rPr/>
      </w:pPr>
      <w:r>
        <w:rPr>
          <w:i/>
        </w:rPr>
        <w:t>Voting Rights</w:t>
      </w:r>
      <w:r>
        <w:rPr/>
        <w:t xml:space="preserve"> </w:t>
      </w:r>
    </w:p>
    <w:p>
      <w:pPr>
        <w:pStyle w:val="TextBody"/>
        <w:bidi w:val="0"/>
        <w:spacing w:before="0" w:after="0"/>
        <w:jc w:val="left"/>
        <w:rPr/>
      </w:pPr>
      <w:r>
        <w:rPr/>
        <w:t xml:space="preserve">  </w:t>
      </w:r>
    </w:p>
    <w:p>
      <w:pPr>
        <w:pStyle w:val="TextBody"/>
        <w:bidi w:val="0"/>
        <w:spacing w:before="0" w:after="0"/>
        <w:jc w:val="both"/>
        <w:rPr/>
      </w:pPr>
      <w:r>
        <w:rPr/>
        <w:t xml:space="preserve">The Series B Preferred Stock has no voting rights, except as required by law (including without limitation, the DGCL) and as expressly provided in the Certificate of Designation for the Series B Convertible Preferred Stock (the “Series B Certificate of Designations”). However, as long as any shares of Series B Preferred Stock are outstanding, the Company may not, without the affirmative vote of the holders of a majority of the then outstanding shares of the Series B Preferred Stock, (a) alter or change adversely the powers, preferences or rights given to the Series B Preferred Stock or alter or amend the Series B Certificate of Designations, (b) amend its certificate of incorporation or other charter documents in any manner that adversely affects any rights of the holders of the Series B Preferred Stock, (c) increase the number of authorized shares of Series B Preferred Stock, or (d) enter into any agreement with respect to any of the foregoing. </w:t>
      </w:r>
    </w:p>
    <w:p>
      <w:pPr>
        <w:pStyle w:val="TextBody"/>
        <w:bidi w:val="0"/>
        <w:spacing w:before="0" w:after="0"/>
        <w:jc w:val="left"/>
        <w:rPr/>
      </w:pPr>
      <w:r>
        <w:rPr/>
        <w:t xml:space="preserve">  </w:t>
      </w:r>
    </w:p>
    <w:p>
      <w:pPr>
        <w:pStyle w:val="TextBody"/>
        <w:bidi w:val="0"/>
        <w:spacing w:before="0" w:after="0"/>
        <w:jc w:val="left"/>
        <w:rPr/>
      </w:pPr>
      <w:r>
        <w:rPr>
          <w:i/>
        </w:rPr>
        <w:t>Liquidation</w:t>
      </w:r>
      <w:r>
        <w:rPr/>
        <w:t xml:space="preserve"> </w:t>
      </w:r>
    </w:p>
    <w:p>
      <w:pPr>
        <w:pStyle w:val="TextBody"/>
        <w:bidi w:val="0"/>
        <w:spacing w:before="0" w:after="0"/>
        <w:jc w:val="left"/>
        <w:rPr/>
      </w:pPr>
      <w:r>
        <w:rPr/>
        <w:t xml:space="preserve">  </w:t>
      </w:r>
    </w:p>
    <w:p>
      <w:pPr>
        <w:pStyle w:val="TextBody"/>
        <w:bidi w:val="0"/>
        <w:spacing w:before="0" w:after="0"/>
        <w:jc w:val="both"/>
        <w:rPr/>
      </w:pPr>
      <w:r>
        <w:rPr/>
        <w:t>Upon any liquidation, dissolution or winding-up of the Company, whether voluntary or involuntary, the holders of the Series B Preferred Stock are entitled to receive out of the assets, whether capital or surplus, of the Company an amount equal to the stated value of such shares of Series B Preferred Stock, plus any declared, accrued and unpaid dividends thereon, if any, and any other fees or liquidated damages then due and owing thereon under the Series B Certificate </w:t>
      </w:r>
      <w:r>
        <w:rPr>
          <w:spacing w:val="0"/>
        </w:rPr>
        <w:t>of Designation, for each share of Series B Preferred Stock. If the assets of the Company are insufficient to pay in full such amounts, then the entire assets to be distributed to the holders of Series B Preferred Stock shall be ratably distributed among the holders in accordance with the respective amounts that would be payable on such shares if all amounts payable thereon were paid in full.</w:t>
      </w:r>
    </w:p>
    <w:p>
      <w:pPr>
        <w:pStyle w:val="TextBody"/>
        <w:bidi w:val="0"/>
        <w:spacing w:before="0" w:after="0"/>
        <w:jc w:val="left"/>
        <w:rPr/>
      </w:pPr>
      <w:r>
        <w:rPr/>
        <w:t xml:space="preserve">  </w:t>
      </w:r>
    </w:p>
    <w:p>
      <w:pPr>
        <w:pStyle w:val="TextBody"/>
        <w:bidi w:val="0"/>
        <w:spacing w:before="0" w:after="0"/>
        <w:jc w:val="left"/>
        <w:rPr/>
      </w:pPr>
      <w:r>
        <w:rPr>
          <w:i/>
        </w:rPr>
        <w:t>Conversion</w:t>
      </w:r>
      <w:r>
        <w:rPr/>
        <w:t xml:space="preserve"> </w:t>
      </w:r>
    </w:p>
    <w:p>
      <w:pPr>
        <w:pStyle w:val="TextBody"/>
        <w:bidi w:val="0"/>
        <w:spacing w:before="0" w:after="0"/>
        <w:jc w:val="left"/>
        <w:rPr/>
      </w:pPr>
      <w:r>
        <w:rPr/>
        <w:t xml:space="preserve">  </w:t>
      </w:r>
    </w:p>
    <w:p>
      <w:pPr>
        <w:pStyle w:val="TextBody"/>
        <w:bidi w:val="0"/>
        <w:spacing w:before="0" w:after="0"/>
        <w:jc w:val="both"/>
        <w:rPr/>
      </w:pPr>
      <w:r>
        <w:rPr/>
        <w:t xml:space="preserve">The Series B Preferred Stock is convertible into shares of common stock (the “Series B Conversion Shares”) at the election of the holder at any time at an initial conversion price of $1.50 (the “Series B Conversion Price”). The Series B Conversion Price is subject to customary adjustments for stock dividends, stock splits, reclassifications and the like. </w:t>
      </w:r>
    </w:p>
    <w:p>
      <w:pPr>
        <w:pStyle w:val="TextBody"/>
        <w:bidi w:val="0"/>
        <w:spacing w:before="0" w:after="0"/>
        <w:jc w:val="left"/>
        <w:rPr/>
      </w:pPr>
      <w:r>
        <w:rPr/>
        <w:t xml:space="preserve">   </w:t>
      </w:r>
    </w:p>
    <w:p>
      <w:pPr>
        <w:pStyle w:val="TextBody"/>
        <w:bidi w:val="0"/>
        <w:spacing w:before="0" w:after="0"/>
        <w:jc w:val="left"/>
        <w:rPr/>
      </w:pPr>
      <w:r>
        <w:rPr>
          <w:i/>
        </w:rPr>
        <w:t>Optional Conversion</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The Series B Preferred Stock can be converted at the option of the holder at any time and from time to time after the original issuance date. </w:t>
      </w:r>
    </w:p>
    <w:p>
      <w:pPr>
        <w:pStyle w:val="TextBody"/>
        <w:bidi w:val="0"/>
        <w:spacing w:before="0" w:after="0"/>
        <w:jc w:val="left"/>
        <w:rPr/>
      </w:pPr>
      <w:r>
        <w:rPr/>
        <w:t xml:space="preserve">   </w:t>
      </w:r>
    </w:p>
    <w:p>
      <w:pPr>
        <w:pStyle w:val="TextBody"/>
        <w:bidi w:val="0"/>
        <w:spacing w:before="0" w:after="0"/>
        <w:jc w:val="left"/>
        <w:rPr/>
      </w:pPr>
      <w:r>
        <w:rPr>
          <w:i/>
        </w:rPr>
        <w:t>Beneficial Ownership Limitation</w:t>
      </w:r>
      <w:r>
        <w:rPr/>
        <w:t xml:space="preserve"> </w:t>
      </w:r>
    </w:p>
    <w:p>
      <w:pPr>
        <w:pStyle w:val="TextBody"/>
        <w:bidi w:val="0"/>
        <w:spacing w:before="0" w:after="0"/>
        <w:jc w:val="left"/>
        <w:rPr/>
      </w:pPr>
      <w:r>
        <w:rPr/>
        <w:t xml:space="preserve">  </w:t>
      </w:r>
    </w:p>
    <w:p>
      <w:pPr>
        <w:pStyle w:val="TextBody"/>
        <w:bidi w:val="0"/>
        <w:spacing w:before="0" w:after="0"/>
        <w:jc w:val="both"/>
        <w:rPr/>
      </w:pPr>
      <w:r>
        <w:rPr/>
        <w:t xml:space="preserve">The Series B Preferred Stock cannot be converted to Common Stock if the holder and its affiliates would beneficially own more than 4.99% or 9.99% at the election of the holder of the outstanding Common Stock. However, any holder may increase or decrease such percentage to any other percentage not in excess of 9.99% upon notice to us, provided that any increase in this limitation will not be effective until 61 days after such notice from the holder to the Company and such increase or decrease will apply only to the holder providing such notice. </w:t>
      </w:r>
    </w:p>
    <w:p>
      <w:pPr>
        <w:pStyle w:val="TextBody"/>
        <w:bidi w:val="0"/>
        <w:spacing w:before="0" w:after="0"/>
        <w:jc w:val="left"/>
        <w:rPr/>
      </w:pPr>
      <w:r>
        <w:rPr/>
        <w:t xml:space="preserve">  </w:t>
      </w:r>
    </w:p>
    <w:p>
      <w:pPr>
        <w:pStyle w:val="TextBody"/>
        <w:bidi w:val="0"/>
        <w:spacing w:before="0" w:after="0"/>
        <w:jc w:val="left"/>
        <w:rPr/>
      </w:pPr>
      <w:r>
        <w:rPr>
          <w:b/>
        </w:rPr>
        <w:t>Anti-Takeover Effects of Delaware Law and Specified Articles of Incorporation and Bylaws Provisions</w:t>
      </w:r>
      <w:r>
        <w:rPr/>
        <w:t xml:space="preserve"> </w:t>
      </w:r>
    </w:p>
    <w:p>
      <w:pPr>
        <w:pStyle w:val="TextBody"/>
        <w:bidi w:val="0"/>
        <w:spacing w:before="0" w:after="0"/>
        <w:jc w:val="left"/>
        <w:rPr/>
      </w:pPr>
      <w:r>
        <w:rPr/>
        <w:t xml:space="preserve">  </w:t>
      </w:r>
    </w:p>
    <w:p>
      <w:pPr>
        <w:pStyle w:val="TextBody"/>
        <w:bidi w:val="0"/>
        <w:spacing w:before="0" w:after="0"/>
        <w:jc w:val="both"/>
        <w:rPr/>
      </w:pPr>
      <w:r>
        <w:rPr>
          <w:i/>
        </w:rPr>
        <w:t>Preferred Stock</w:t>
      </w:r>
      <w:r>
        <w:rPr/>
        <w:t xml:space="preserve">. The existence of authorized but unissued shares of preferred stock may enable the Board to render more difficult or to discourage an attempt to gain control of the Company by means of a merger, tender offer, proxy contest or otherwise. For example, if in the due exercise of its fiduciary obligations, the Board were to determine that a takeover proposal is not in the best interests of the Company or stockholders, the Board could cause shares of preferred stock to be issued without stockholder approval in one or more private offerings or other transactions that might dilute the voting or other rights of the proposed acquirer or insurgent stockholder or stockholder group. In this regard, the Articles of Incorporation grant the Board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the Company. </w:t>
      </w:r>
    </w:p>
    <w:p>
      <w:pPr>
        <w:pStyle w:val="TextBody"/>
        <w:bidi w:val="0"/>
        <w:spacing w:before="0" w:after="0"/>
        <w:jc w:val="left"/>
        <w:rPr/>
      </w:pPr>
      <w:r>
        <w:rPr/>
        <w:t xml:space="preserve">  </w:t>
      </w:r>
    </w:p>
    <w:p>
      <w:pPr>
        <w:pStyle w:val="TextBody"/>
        <w:bidi w:val="0"/>
        <w:spacing w:before="0" w:after="0"/>
        <w:jc w:val="both"/>
        <w:rPr/>
      </w:pPr>
      <w:r>
        <w:rPr>
          <w:i/>
        </w:rPr>
        <w:t>Stockholder Action; Special Meeting of Stockholders</w:t>
      </w:r>
      <w:r>
        <w:rPr/>
        <w:t xml:space="preserve">. The Articles of Incorporation and By-laws provide that stockholders may take action only at a duly called annual or special meeting of stockholders and may not take action by written consent. The Articles of Incorporation and Bylaws further provide that special meetings of the Company’s stockholders may be called by the Chairman of the Board or by the Board, and shall be called by the Chairman of the Board at the request of the holders of not less than a majority of all the outstanding shares of the Corporation entitled to vote at the meeting.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both"/>
        <w:rPr/>
      </w:pPr>
      <w:r>
        <w:rPr>
          <w:i/>
        </w:rPr>
        <w:t>Business Combinations</w:t>
      </w:r>
      <w:r>
        <w:rPr/>
        <w:t>. Section 203 of the Delaware General Corporation Law, which relate to business combinations with interested stockholders, applies to the Company. Subject to certain exceptions, Section 203 prevents a publicly held Delaware corporation from engaging in a “business combination” with any “interested stockholder” for three years following the date that such person became an interested stockholder, unless either the interested stockholder attained such status with the approval of the Board, the business combination is approved by the Board and stockholders in a prescribed manner or the interested stockholder acquired at least 85% of the Company’s outstanding voting stock in the transaction in which such person became an interested stockholder. A “business combination” includes, among other things, a merger or consolidation involving the Company and the “interested stockholder” and the sale of more than 10% of the Company’s assets. In general, an “interested stockholder” is any entity or person </w:t>
      </w:r>
      <w:r>
        <w:rPr>
          <w:spacing w:val="0"/>
        </w:rPr>
        <w:t>beneficially owning 15% or more of the Company’s outstanding voting stock and any entity or person affiliated with or controlling or controlled by such entity or person.</w:t>
      </w:r>
    </w:p>
    <w:p>
      <w:pPr>
        <w:pStyle w:val="TextBody"/>
        <w:bidi w:val="0"/>
        <w:spacing w:before="0" w:after="0"/>
        <w:jc w:val="both"/>
        <w:rPr/>
      </w:pPr>
      <w:r>
        <w:rPr/>
        <w:t xml:space="preserve">  </w:t>
      </w:r>
    </w:p>
    <w:p>
      <w:pPr>
        <w:pStyle w:val="TextBody"/>
        <w:bidi w:val="0"/>
        <w:spacing w:before="0" w:after="0"/>
        <w:jc w:val="both"/>
        <w:rPr/>
      </w:pPr>
      <w:r>
        <w:rPr>
          <w:i/>
        </w:rPr>
        <w:t>Advance Notice Requirements for Stockholder Proposals and Director Nominations</w:t>
      </w:r>
      <w:r>
        <w:rPr/>
        <w:t xml:space="preserve">. The Company’s Bylaws provide that stockholders seeking to bring business before an annual meeting of stockholders, or to nominate candidates for election as directors at an annual meeting of stockholders, must meet specified procedural requirements. These provisions may preclude stockholders from bringing matters before an annual meeting of stockholders or from making nominations for directors at an annual or special meeting of stockholders. </w:t>
      </w:r>
    </w:p>
    <w:p>
      <w:pPr>
        <w:pStyle w:val="TextBody"/>
        <w:bidi w:val="0"/>
        <w:spacing w:before="0" w:after="0"/>
        <w:jc w:val="both"/>
        <w:rPr/>
      </w:pPr>
      <w:r>
        <w:rPr/>
        <w:t xml:space="preserve">  </w:t>
      </w:r>
    </w:p>
    <w:p>
      <w:pPr>
        <w:pStyle w:val="TextBody"/>
        <w:bidi w:val="0"/>
        <w:spacing w:before="0" w:after="0"/>
        <w:jc w:val="both"/>
        <w:rPr/>
      </w:pPr>
      <w:r>
        <w:rPr>
          <w:i/>
        </w:rPr>
        <w:t>Exclusive Forum Charter Provision</w:t>
      </w:r>
      <w:r>
        <w:rPr/>
        <w:t xml:space="preserve">. The Articles of Incorporation and Bylaws require that the Court of Chancery of the State of Delaware will, to the fullest extent permitted by applicable law, be the sole and exclusive forum for a stockholder (including a beneficial owner) to bring an action relating to the resolution of any complaint asserting a cause of action arising under the Securities Act of 1933, as amended, against any person in connection with any offering of the Company’s securities, including, without limitation and for the avoidance of doubt, any auditor, underwriter, expert, control person, or other defendant. Because the applicability of the exclusive forum provision is limited to the extent permitted by applicable law, the Company does not intend that the exclusive forum provision would apply to suits brought to enforce any duty or liability created by the Exchange Act or any other claim for which the federal courts have exclusive jurisdiction, and acknowledge that federal courts have concurrent jurisdiction over all suits brought to enforce any duty or liability created by the Securities Act. The Company notes that there is uncertainty as to whether a court would enforce the provision and that investors cannot waive compliance with the federal securities laws and the rules and regulations thereunder. Although the Company believes this provision benefits the Company by providing increased consistency in the application of Delaware law in the types of lawsuits to which it applies, the provision may have the effect of discouraging lawsuits against the Company’s directors and officers. </w:t>
      </w:r>
    </w:p>
    <w:p>
      <w:pPr>
        <w:pStyle w:val="TextBody"/>
        <w:bidi w:val="0"/>
        <w:spacing w:before="0" w:after="0"/>
        <w:jc w:val="both"/>
        <w:rPr/>
      </w:pPr>
      <w:r>
        <w:rPr/>
        <w:t xml:space="preserve">  </w:t>
      </w:r>
    </w:p>
    <w:p>
      <w:pPr>
        <w:pStyle w:val="TextBody"/>
        <w:bidi w:val="0"/>
        <w:spacing w:before="0" w:after="0"/>
        <w:jc w:val="both"/>
        <w:rPr/>
      </w:pPr>
      <w:r>
        <w:rPr>
          <w:i/>
        </w:rPr>
        <w:t>Directors</w:t>
      </w:r>
      <w:r>
        <w:rPr/>
        <w:t xml:space="preserve">’ </w:t>
      </w:r>
      <w:r>
        <w:rPr>
          <w:i/>
        </w:rPr>
        <w:t>Liability</w:t>
      </w:r>
      <w:r>
        <w:rPr/>
        <w:t xml:space="preserve">. The Articles of Incorporation limit the personal liability of directors to the Company or its stockholders for monetary damages for breach of fiduciary duty as a director to the maximum extent permitted by the Delaware General Corporation Law and provides that no director will have personal liability to the Company or to its stockholders for monetary damages for breach of fiduciary duty. However, these provisions do not eliminate or limit the liability of any of the Company’s directors: </w:t>
      </w:r>
    </w:p>
    <w:p>
      <w:pPr>
        <w:pStyle w:val="TextBody"/>
        <w:bidi w:val="0"/>
        <w:spacing w:before="0" w:after="283"/>
        <w:jc w:val="left"/>
        <w:rPr/>
      </w:pPr>
      <w:r>
        <w:rPr/>
        <w:t> </w:t>
      </w:r>
    </w:p>
    <w:p>
      <w:pPr>
        <w:pStyle w:val="TextBody"/>
        <w:numPr>
          <w:ilvl w:val="0"/>
          <w:numId w:val="87"/>
        </w:numPr>
        <w:tabs>
          <w:tab w:val="clear" w:pos="1134"/>
          <w:tab w:val="left" w:pos="709" w:leader="none"/>
        </w:tabs>
        <w:bidi w:val="0"/>
        <w:spacing w:before="0" w:after="0"/>
        <w:ind w:left="709" w:hanging="283"/>
        <w:jc w:val="left"/>
        <w:rPr>
          <w:spacing w:val="0"/>
          <w:sz w:val="20"/>
        </w:rPr>
      </w:pPr>
      <w:r>
        <w:rPr>
          <w:spacing w:val="0"/>
          <w:sz w:val="20"/>
        </w:rPr>
        <w:t>for any breach of the director’s duty of loyalty to the Company or its stockholders;</w:t>
      </w:r>
    </w:p>
    <w:p>
      <w:pPr>
        <w:pStyle w:val="TextBody"/>
        <w:numPr>
          <w:ilvl w:val="0"/>
          <w:numId w:val="87"/>
        </w:numPr>
        <w:tabs>
          <w:tab w:val="clear" w:pos="1134"/>
          <w:tab w:val="left" w:pos="709" w:leader="none"/>
        </w:tabs>
        <w:bidi w:val="0"/>
        <w:spacing w:before="0" w:after="0"/>
        <w:ind w:left="709" w:right="0" w:hanging="283"/>
        <w:jc w:val="left"/>
        <w:rPr>
          <w:spacing w:val="0"/>
          <w:sz w:val="20"/>
        </w:rPr>
      </w:pPr>
      <w:r>
        <w:rPr>
          <w:spacing w:val="0"/>
          <w:sz w:val="20"/>
        </w:rPr>
        <w:t>for acts or omissions not in good faith or which involve intentional misconduct or a knowing violation of law;</w:t>
      </w:r>
    </w:p>
    <w:p>
      <w:pPr>
        <w:pStyle w:val="TextBody"/>
        <w:numPr>
          <w:ilvl w:val="0"/>
          <w:numId w:val="87"/>
        </w:numPr>
        <w:tabs>
          <w:tab w:val="clear" w:pos="1134"/>
          <w:tab w:val="left" w:pos="709" w:leader="none"/>
        </w:tabs>
        <w:bidi w:val="0"/>
        <w:spacing w:before="0" w:after="0"/>
        <w:ind w:left="709" w:hanging="283"/>
        <w:jc w:val="left"/>
        <w:rPr>
          <w:spacing w:val="0"/>
          <w:sz w:val="20"/>
        </w:rPr>
      </w:pPr>
      <w:r>
        <w:rPr>
          <w:spacing w:val="0"/>
          <w:sz w:val="20"/>
        </w:rPr>
        <w:t>under the Delaware General Corporation Law; or</w:t>
      </w:r>
    </w:p>
    <w:p>
      <w:pPr>
        <w:pStyle w:val="TextBody"/>
        <w:numPr>
          <w:ilvl w:val="0"/>
          <w:numId w:val="87"/>
        </w:numPr>
        <w:tabs>
          <w:tab w:val="clear" w:pos="1134"/>
          <w:tab w:val="left" w:pos="709" w:leader="none"/>
        </w:tabs>
        <w:bidi w:val="0"/>
        <w:ind w:left="709" w:hanging="283"/>
        <w:jc w:val="left"/>
        <w:rPr>
          <w:spacing w:val="0"/>
          <w:sz w:val="20"/>
        </w:rPr>
      </w:pPr>
      <w:r>
        <w:rPr>
          <w:spacing w:val="0"/>
          <w:sz w:val="20"/>
        </w:rPr>
        <w:t>for any transaction from which the director derived an improper personal benefit.</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283"/>
        <w:jc w:val="left"/>
        <w:rPr/>
      </w:pPr>
      <w:r>
        <w:rPr/>
        <w:t xml:space="preserve">  </w:t>
      </w:r>
    </w:p>
    <w:p>
      <w:pPr>
        <w:pStyle w:val="TextBody"/>
        <w:bidi w:val="0"/>
        <w:spacing w:before="0" w:after="0"/>
        <w:jc w:val="left"/>
        <w:rPr/>
      </w:pPr>
      <w:bookmarkStart w:id="37" w:name="ex21-1.htm"/>
      <w:bookmarkStart w:id="38" w:name="ksex211"/>
      <w:bookmarkEnd w:id="37"/>
      <w:bookmarkEnd w:id="38"/>
      <w:r>
        <w:rPr/>
        <w:t xml:space="preserve">  </w:t>
      </w:r>
      <w:r>
        <w:br w:type="page"/>
      </w:r>
    </w:p>
    <w:p>
      <w:pPr>
        <w:pStyle w:val="TextBody"/>
        <w:bidi w:val="0"/>
        <w:spacing w:before="0" w:after="0"/>
        <w:jc w:val="right"/>
        <w:rPr/>
      </w:pPr>
      <w:r>
        <w:rPr/>
        <w:t xml:space="preserve">  </w:t>
      </w:r>
      <w:r>
        <w:rPr>
          <w:b/>
        </w:rPr>
        <w:t>Exhibit 21.1</w:t>
      </w:r>
      <w:r>
        <w:rPr/>
        <w:t xml:space="preserve"> </w:t>
      </w:r>
    </w:p>
    <w:p>
      <w:pPr>
        <w:pStyle w:val="TextBody"/>
        <w:bidi w:val="0"/>
        <w:spacing w:before="0" w:after="0"/>
        <w:jc w:val="both"/>
        <w:rPr/>
      </w:pPr>
      <w:r>
        <w:rPr/>
        <w:t xml:space="preserve">  </w:t>
      </w:r>
    </w:p>
    <w:p>
      <w:pPr>
        <w:pStyle w:val="TextBody"/>
        <w:bidi w:val="0"/>
        <w:spacing w:before="0" w:after="0"/>
        <w:jc w:val="center"/>
        <w:rPr/>
      </w:pPr>
      <w:r>
        <w:rPr>
          <w:b/>
        </w:rPr>
        <w:t>SUBSIDIARIES OF WRAP TECHNOLOGIES, INC.</w:t>
      </w:r>
      <w:r>
        <w:rPr/>
        <w:t xml:space="preserve"> </w:t>
      </w:r>
    </w:p>
    <w:p>
      <w:pPr>
        <w:pStyle w:val="TextBody"/>
        <w:bidi w:val="0"/>
        <w:spacing w:before="0" w:after="0"/>
        <w:jc w:val="both"/>
        <w:rPr/>
      </w:pPr>
      <w:r>
        <w:rPr/>
        <w:t xml:space="preserve">  </w:t>
      </w:r>
    </w:p>
    <w:p>
      <w:pPr>
        <w:pStyle w:val="TextBody"/>
        <w:bidi w:val="0"/>
        <w:spacing w:before="0" w:after="0"/>
        <w:jc w:val="both"/>
        <w:rPr/>
      </w:pPr>
      <w:r>
        <w:rPr/>
      </w:r>
    </w:p>
    <w:tbl>
      <w:tblPr>
        <w:tblW w:w="5057" w:type="dxa"/>
        <w:jc w:val="left"/>
        <w:tblInd w:w="0" w:type="dxa"/>
        <w:tblLayout w:type="fixed"/>
        <w:tblCellMar>
          <w:top w:w="28" w:type="dxa"/>
          <w:left w:w="28" w:type="dxa"/>
          <w:bottom w:w="28" w:type="dxa"/>
          <w:right w:w="28" w:type="dxa"/>
        </w:tblCellMar>
      </w:tblPr>
      <w:tblGrid>
        <w:gridCol w:w="2176"/>
        <w:gridCol w:w="2881"/>
      </w:tblGrid>
      <w:tr>
        <w:trPr/>
        <w:tc>
          <w:tcPr>
            <w:tcW w:w="2176" w:type="dxa"/>
            <w:tcBorders/>
            <w:vAlign w:val="center"/>
          </w:tcPr>
          <w:p>
            <w:pPr>
              <w:pStyle w:val="TableContents"/>
              <w:bidi w:val="0"/>
              <w:spacing w:before="0" w:after="0"/>
              <w:jc w:val="left"/>
              <w:rPr/>
            </w:pPr>
            <w:r>
              <w:rPr>
                <w:color w:val="000000"/>
                <w:u w:val="single"/>
              </w:rPr>
              <w:t>Subsidiary Name</w:t>
            </w:r>
            <w:r>
              <w:rPr/>
              <w:t xml:space="preserve"> </w:t>
            </w:r>
          </w:p>
        </w:tc>
        <w:tc>
          <w:tcPr>
            <w:tcW w:w="2881" w:type="dxa"/>
            <w:tcBorders/>
            <w:vAlign w:val="center"/>
          </w:tcPr>
          <w:p>
            <w:pPr>
              <w:pStyle w:val="TableContents"/>
              <w:bidi w:val="0"/>
              <w:spacing w:before="0" w:after="0"/>
              <w:jc w:val="center"/>
              <w:rPr/>
            </w:pPr>
            <w:r>
              <w:rPr>
                <w:color w:val="000000"/>
                <w:u w:val="single"/>
              </w:rPr>
              <w:t>Jurisdiction of Incorporation</w:t>
            </w:r>
            <w:r>
              <w:rPr/>
              <w:t xml:space="preserve"> </w:t>
            </w:r>
          </w:p>
        </w:tc>
      </w:tr>
      <w:tr>
        <w:trPr/>
        <w:tc>
          <w:tcPr>
            <w:tcW w:w="2176" w:type="dxa"/>
            <w:tcBorders/>
            <w:vAlign w:val="center"/>
          </w:tcPr>
          <w:p>
            <w:pPr>
              <w:pStyle w:val="TableContents"/>
              <w:bidi w:val="0"/>
              <w:spacing w:before="0" w:after="0"/>
              <w:jc w:val="left"/>
              <w:rPr/>
            </w:pPr>
            <w:r>
              <w:rPr>
                <w:color w:val="000000"/>
              </w:rPr>
              <w:t> </w:t>
            </w:r>
            <w:r>
              <w:rPr/>
              <w:t xml:space="preserve"> </w:t>
            </w:r>
          </w:p>
          <w:p>
            <w:pPr>
              <w:pStyle w:val="TableContents"/>
              <w:bidi w:val="0"/>
              <w:spacing w:before="0" w:after="0"/>
              <w:jc w:val="left"/>
              <w:rPr/>
            </w:pPr>
            <w:r>
              <w:rPr>
                <w:color w:val="000000"/>
              </w:rPr>
              <w:t>Wrap Reality, Inc.</w:t>
            </w:r>
            <w:r>
              <w:rPr/>
              <w:t xml:space="preserve"> </w:t>
            </w:r>
          </w:p>
        </w:tc>
        <w:tc>
          <w:tcPr>
            <w:tcW w:w="2881" w:type="dxa"/>
            <w:tcBorders/>
            <w:vAlign w:val="center"/>
          </w:tcPr>
          <w:p>
            <w:pPr>
              <w:pStyle w:val="TableContents"/>
              <w:bidi w:val="0"/>
              <w:spacing w:before="0" w:after="0"/>
              <w:jc w:val="center"/>
              <w:rPr/>
            </w:pPr>
            <w:r>
              <w:rPr>
                <w:color w:val="000000"/>
              </w:rPr>
              <w:t> </w:t>
            </w:r>
            <w:r>
              <w:rPr/>
              <w:t xml:space="preserve"> </w:t>
            </w:r>
          </w:p>
          <w:p>
            <w:pPr>
              <w:pStyle w:val="TableContents"/>
              <w:bidi w:val="0"/>
              <w:spacing w:before="0" w:after="0"/>
              <w:jc w:val="center"/>
              <w:rPr>
                <w:color w:val="000000"/>
              </w:rPr>
            </w:pPr>
            <w:r>
              <w:rPr>
                <w:color w:val="000000"/>
              </w:rPr>
              <w:t xml:space="preserve">Arizona </w:t>
            </w:r>
          </w:p>
        </w:tc>
      </w:tr>
      <w:tr>
        <w:trPr/>
        <w:tc>
          <w:tcPr>
            <w:tcW w:w="2176" w:type="dxa"/>
            <w:tcBorders/>
            <w:vAlign w:val="center"/>
          </w:tcPr>
          <w:p>
            <w:pPr>
              <w:pStyle w:val="TableContents"/>
              <w:bidi w:val="0"/>
              <w:spacing w:before="0" w:after="0"/>
              <w:jc w:val="left"/>
              <w:rPr/>
            </w:pPr>
            <w:r>
              <w:rPr>
                <w:color w:val="000000"/>
              </w:rPr>
              <w:t>Intrensic, LLC</w:t>
            </w:r>
            <w:r>
              <w:rPr/>
              <w:t xml:space="preserve"> </w:t>
            </w:r>
          </w:p>
        </w:tc>
        <w:tc>
          <w:tcPr>
            <w:tcW w:w="2881" w:type="dxa"/>
            <w:tcBorders/>
            <w:vAlign w:val="center"/>
          </w:tcPr>
          <w:p>
            <w:pPr>
              <w:pStyle w:val="TableContents"/>
              <w:bidi w:val="0"/>
              <w:spacing w:before="0" w:after="0"/>
              <w:jc w:val="center"/>
              <w:rPr/>
            </w:pPr>
            <w:r>
              <w:rPr>
                <w:color w:val="000000"/>
              </w:rPr>
              <w:t>Delaware</w:t>
            </w:r>
            <w:r>
              <w:rPr/>
              <w:t xml:space="preserve"> </w:t>
            </w:r>
          </w:p>
        </w:tc>
      </w:tr>
      <w:tr>
        <w:trPr/>
        <w:tc>
          <w:tcPr>
            <w:tcW w:w="2176" w:type="dxa"/>
            <w:tcBorders/>
            <w:vAlign w:val="center"/>
          </w:tcPr>
          <w:p>
            <w:pPr>
              <w:pStyle w:val="TableContents"/>
              <w:bidi w:val="0"/>
              <w:spacing w:before="0" w:after="0"/>
              <w:jc w:val="left"/>
              <w:rPr/>
            </w:pPr>
            <w:r>
              <w:rPr>
                <w:color w:val="000000"/>
              </w:rPr>
              <w:t>GSRI Services, LLC</w:t>
            </w:r>
            <w:r>
              <w:rPr/>
              <w:t xml:space="preserve"> </w:t>
            </w:r>
          </w:p>
        </w:tc>
        <w:tc>
          <w:tcPr>
            <w:tcW w:w="2881" w:type="dxa"/>
            <w:tcBorders/>
            <w:vAlign w:val="center"/>
          </w:tcPr>
          <w:p>
            <w:pPr>
              <w:pStyle w:val="TableContents"/>
              <w:bidi w:val="0"/>
              <w:spacing w:before="0" w:after="0"/>
              <w:jc w:val="center"/>
              <w:rPr/>
            </w:pPr>
            <w:r>
              <w:rPr>
                <w:color w:val="000000"/>
              </w:rPr>
              <w:t>Delaware</w:t>
            </w:r>
            <w:r>
              <w:rPr/>
              <w:t xml:space="preserve"> </w:t>
            </w:r>
          </w:p>
        </w:tc>
      </w:tr>
      <w:tr>
        <w:trPr/>
        <w:tc>
          <w:tcPr>
            <w:tcW w:w="2176" w:type="dxa"/>
            <w:tcBorders/>
            <w:vAlign w:val="center"/>
          </w:tcPr>
          <w:p>
            <w:pPr>
              <w:pStyle w:val="TableContents"/>
              <w:bidi w:val="0"/>
              <w:spacing w:before="0" w:after="0"/>
              <w:jc w:val="left"/>
              <w:rPr/>
            </w:pPr>
            <w:r>
              <w:rPr>
                <w:color w:val="000000"/>
              </w:rPr>
              <w:t>Wrap Federal, LLC</w:t>
            </w:r>
            <w:r>
              <w:rPr/>
              <w:t xml:space="preserve"> </w:t>
            </w:r>
          </w:p>
        </w:tc>
        <w:tc>
          <w:tcPr>
            <w:tcW w:w="2881" w:type="dxa"/>
            <w:tcBorders/>
            <w:vAlign w:val="center"/>
          </w:tcPr>
          <w:p>
            <w:pPr>
              <w:pStyle w:val="TableContents"/>
              <w:bidi w:val="0"/>
              <w:spacing w:before="0" w:after="0"/>
              <w:jc w:val="center"/>
              <w:rPr/>
            </w:pPr>
            <w:r>
              <w:rPr>
                <w:color w:val="000000"/>
              </w:rPr>
              <w:t>Delaware</w:t>
            </w:r>
            <w:r>
              <w:rPr/>
              <w:t xml:space="preserve"> </w:t>
            </w:r>
          </w:p>
        </w:tc>
      </w:tr>
    </w:tbl>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283"/>
        <w:jc w:val="left"/>
        <w:rPr/>
      </w:pPr>
      <w:r>
        <w:rPr/>
        <w:t xml:space="preserve">  </w:t>
      </w:r>
    </w:p>
    <w:p>
      <w:pPr>
        <w:pStyle w:val="TextBody"/>
        <w:bidi w:val="0"/>
        <w:spacing w:before="0" w:after="0"/>
        <w:jc w:val="right"/>
        <w:rPr/>
      </w:pPr>
      <w:bookmarkStart w:id="39" w:name="ex23-1.htm"/>
      <w:bookmarkStart w:id="40" w:name="ksex231"/>
      <w:bookmarkEnd w:id="39"/>
      <w:bookmarkEnd w:id="40"/>
      <w:r>
        <w:rPr>
          <w:b/>
          <w:sz w:val="20"/>
        </w:rPr>
        <w:t>Exhibit 23.1</w:t>
      </w:r>
      <w:r>
        <w:rPr/>
        <w:t xml:space="preserve"> </w:t>
      </w:r>
      <w:r>
        <w:br w:type="page"/>
      </w:r>
    </w:p>
    <w:p>
      <w:pPr>
        <w:pStyle w:val="TextBody"/>
        <w:bidi w:val="0"/>
        <w:spacing w:before="0" w:after="0"/>
        <w:jc w:val="left"/>
        <w:rPr/>
      </w:pPr>
      <w:r>
        <w:rPr/>
        <w:t xml:space="preserve">  </w:t>
      </w:r>
    </w:p>
    <w:p>
      <w:pPr>
        <w:pStyle w:val="TextBody"/>
        <w:bidi w:val="0"/>
        <w:spacing w:before="0" w:after="0"/>
        <w:jc w:val="center"/>
        <w:rPr/>
      </w:pPr>
      <w:r>
        <w:rPr>
          <w:sz w:val="20"/>
        </w:rPr>
        <w:t>CONSENT OF INDEPENDENT REGISTERED PUBLIC ACCOUNTING FIRM</w:t>
      </w:r>
      <w:r>
        <w:rPr/>
        <w:t xml:space="preserve"> </w:t>
      </w:r>
    </w:p>
    <w:p>
      <w:pPr>
        <w:pStyle w:val="TextBody"/>
        <w:bidi w:val="0"/>
        <w:spacing w:before="0" w:after="0"/>
        <w:jc w:val="left"/>
        <w:rPr/>
      </w:pPr>
      <w:r>
        <w:rPr/>
        <w:t xml:space="preserve">  </w:t>
      </w:r>
    </w:p>
    <w:p>
      <w:pPr>
        <w:pStyle w:val="TextBody"/>
        <w:bidi w:val="0"/>
        <w:spacing w:before="0" w:after="0"/>
        <w:jc w:val="both"/>
        <w:rPr>
          <w:sz w:val="20"/>
        </w:rPr>
      </w:pPr>
      <w:r>
        <w:rPr>
          <w:sz w:val="20"/>
        </w:rPr>
        <w:t xml:space="preserve">We consent to the incorporation by reference in the Registration Statements on Form S-8 (No. 333-225102, 333-232314, 333-239234 and 333-260841) and Form S-3 (No. 333-293318, 333-291707, 333-290946, 333-239329, and 333-275605) of our report dated March 26, 2026, relating to the consolidated financial statements of Wrap Technologies, Inc., as of and for the year ended December 31, 2025, appearing in this Annual Report on Form 10-K of Wrap Technologies, Inc. </w:t>
      </w:r>
    </w:p>
    <w:p>
      <w:pPr>
        <w:pStyle w:val="TextBody"/>
        <w:bidi w:val="0"/>
        <w:spacing w:before="0" w:after="0"/>
        <w:jc w:val="left"/>
        <w:rPr/>
      </w:pPr>
      <w:r>
        <w:rPr/>
        <w:t xml:space="preserve">  </w:t>
      </w:r>
    </w:p>
    <w:tbl>
      <w:tblPr>
        <w:tblW w:w="2952" w:type="dxa"/>
        <w:jc w:val="left"/>
        <w:tblInd w:w="0" w:type="dxa"/>
        <w:tblLayout w:type="fixed"/>
        <w:tblCellMar>
          <w:top w:w="28" w:type="dxa"/>
          <w:left w:w="28" w:type="dxa"/>
          <w:bottom w:w="28" w:type="dxa"/>
          <w:right w:w="28" w:type="dxa"/>
        </w:tblCellMar>
      </w:tblPr>
      <w:tblGrid>
        <w:gridCol w:w="2761"/>
        <w:gridCol w:w="191"/>
      </w:tblGrid>
      <w:tr>
        <w:trPr/>
        <w:tc>
          <w:tcPr>
            <w:tcW w:w="276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2761" w:type="dxa"/>
            <w:tcBorders/>
            <w:vAlign w:val="center"/>
          </w:tcPr>
          <w:p>
            <w:pPr>
              <w:pStyle w:val="TableContents"/>
              <w:bidi w:val="0"/>
              <w:spacing w:before="0" w:after="283"/>
              <w:jc w:val="left"/>
              <w:rPr/>
            </w:pPr>
            <w:r>
              <w:rPr/>
              <w:t xml:space="preserve">/s/ HTL International, LLC </w:t>
            </w:r>
          </w:p>
        </w:tc>
        <w:tc>
          <w:tcPr>
            <w:tcW w:w="191" w:type="dxa"/>
            <w:tcBorders/>
            <w:vAlign w:val="center"/>
          </w:tcPr>
          <w:p>
            <w:pPr>
              <w:pStyle w:val="TableContents"/>
              <w:bidi w:val="0"/>
              <w:spacing w:before="0" w:after="283"/>
              <w:jc w:val="left"/>
              <w:rPr/>
            </w:pPr>
            <w:r>
              <w:rPr/>
              <w:t> </w:t>
            </w:r>
          </w:p>
        </w:tc>
      </w:tr>
      <w:tr>
        <w:trPr/>
        <w:tc>
          <w:tcPr>
            <w:tcW w:w="2761"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2761" w:type="dxa"/>
            <w:tcBorders/>
            <w:vAlign w:val="center"/>
          </w:tcPr>
          <w:p>
            <w:pPr>
              <w:pStyle w:val="TableContents"/>
              <w:bidi w:val="0"/>
              <w:spacing w:before="0" w:after="283"/>
              <w:jc w:val="left"/>
              <w:rPr/>
            </w:pPr>
            <w:r>
              <w:rPr/>
              <w:t xml:space="preserve">Houston, Texas </w:t>
            </w:r>
          </w:p>
        </w:tc>
        <w:tc>
          <w:tcPr>
            <w:tcW w:w="191" w:type="dxa"/>
            <w:tcBorders/>
            <w:vAlign w:val="center"/>
          </w:tcPr>
          <w:p>
            <w:pPr>
              <w:pStyle w:val="TableContents"/>
              <w:bidi w:val="0"/>
              <w:spacing w:before="0" w:after="283"/>
              <w:jc w:val="left"/>
              <w:rPr/>
            </w:pPr>
            <w:r>
              <w:rPr/>
              <w:t> </w:t>
            </w:r>
          </w:p>
        </w:tc>
      </w:tr>
      <w:tr>
        <w:trPr/>
        <w:tc>
          <w:tcPr>
            <w:tcW w:w="2761" w:type="dxa"/>
            <w:tcBorders/>
            <w:vAlign w:val="center"/>
          </w:tcPr>
          <w:p>
            <w:pPr>
              <w:pStyle w:val="TableContents"/>
              <w:bidi w:val="0"/>
              <w:spacing w:before="0" w:after="283"/>
              <w:jc w:val="left"/>
              <w:rPr/>
            </w:pPr>
            <w:r>
              <w:rPr/>
              <w:t>March 26, 2026</w:t>
            </w:r>
          </w:p>
        </w:tc>
        <w:tc>
          <w:tcPr>
            <w:tcW w:w="191"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right"/>
        <w:rPr/>
      </w:pPr>
      <w:bookmarkStart w:id="41" w:name="ex31-1.htm"/>
      <w:bookmarkStart w:id="42" w:name="ksex311"/>
      <w:bookmarkEnd w:id="41"/>
      <w:bookmarkEnd w:id="42"/>
      <w:r>
        <w:rPr>
          <w:b/>
          <w:sz w:val="20"/>
        </w:rPr>
        <w:t>Exhibit 31.1</w:t>
      </w:r>
      <w:r>
        <w:rPr/>
        <w:t xml:space="preserve"> </w:t>
      </w:r>
      <w:r>
        <w:br w:type="page"/>
      </w:r>
    </w:p>
    <w:p>
      <w:pPr>
        <w:pStyle w:val="TextBody"/>
        <w:bidi w:val="0"/>
        <w:spacing w:before="0" w:after="0"/>
        <w:jc w:val="left"/>
        <w:rPr/>
      </w:pPr>
      <w:r>
        <w:rPr/>
        <w:t xml:space="preserve">  </w:t>
      </w:r>
    </w:p>
    <w:p>
      <w:pPr>
        <w:pStyle w:val="TextBody"/>
        <w:bidi w:val="0"/>
        <w:spacing w:before="0" w:after="0"/>
        <w:jc w:val="center"/>
        <w:rPr/>
      </w:pPr>
      <w:r>
        <w:rPr>
          <w:b/>
          <w:sz w:val="20"/>
        </w:rPr>
        <w:t>CERTIFICATION UNDER SECTION 302</w:t>
      </w:r>
      <w:r>
        <w:rPr/>
        <w:t xml:space="preserve"> </w:t>
      </w:r>
    </w:p>
    <w:p>
      <w:pPr>
        <w:pStyle w:val="TextBody"/>
        <w:bidi w:val="0"/>
        <w:spacing w:before="0" w:after="0"/>
        <w:jc w:val="left"/>
        <w:rPr/>
      </w:pPr>
      <w:r>
        <w:rPr/>
        <w:t xml:space="preserve">  </w:t>
      </w:r>
    </w:p>
    <w:p>
      <w:pPr>
        <w:pStyle w:val="TextBody"/>
        <w:bidi w:val="0"/>
        <w:spacing w:before="0" w:after="0"/>
        <w:jc w:val="left"/>
        <w:rPr/>
      </w:pPr>
      <w:r>
        <w:rPr>
          <w:sz w:val="20"/>
        </w:rPr>
        <w:t>I, Scot Cohen,</w:t>
      </w:r>
      <w:r>
        <w:rPr/>
        <w:t> </w:t>
      </w:r>
      <w:r>
        <w:rPr>
          <w:sz w:val="20"/>
        </w:rPr>
        <w:t>certify that:</w:t>
      </w:r>
      <w:r>
        <w:rPr/>
        <w:t xml:space="preserve"> </w:t>
      </w:r>
    </w:p>
    <w:p>
      <w:pPr>
        <w:pStyle w:val="TextBody"/>
        <w:bidi w:val="0"/>
        <w:spacing w:before="0" w:after="0"/>
        <w:jc w:val="left"/>
        <w:rPr/>
      </w:pPr>
      <w:r>
        <w:rPr/>
        <w:t xml:space="preserve">  </w:t>
      </w:r>
    </w:p>
    <w:p>
      <w:pPr>
        <w:pStyle w:val="TextBody"/>
        <w:bidi w:val="0"/>
        <w:spacing w:before="0" w:after="0"/>
        <w:jc w:val="left"/>
        <w:rPr/>
      </w:pPr>
      <w:r>
        <w:rPr>
          <w:sz w:val="20"/>
        </w:rPr>
        <w:t>1. I have reviewed this annual report on Form</w:t>
      </w:r>
      <w:r>
        <w:rPr/>
        <w:t> </w:t>
      </w:r>
      <w:r>
        <w:rPr>
          <w:sz w:val="20"/>
        </w:rPr>
        <w:t>10-K of Wrap Technologies, Inc.;</w:t>
      </w:r>
      <w:r>
        <w:rPr/>
        <w:t xml:space="preserve"> </w:t>
      </w:r>
    </w:p>
    <w:p>
      <w:pPr>
        <w:pStyle w:val="TextBody"/>
        <w:bidi w:val="0"/>
        <w:spacing w:before="0" w:after="0"/>
        <w:jc w:val="left"/>
        <w:rPr/>
      </w:pPr>
      <w:r>
        <w:rPr/>
        <w:t xml:space="preserve">  </w:t>
      </w:r>
    </w:p>
    <w:p>
      <w:pPr>
        <w:pStyle w:val="TextBody"/>
        <w:bidi w:val="0"/>
        <w:spacing w:before="0" w:after="0"/>
        <w:ind w:left="0" w:right="0" w:hanging="225"/>
        <w:jc w:val="both"/>
        <w:rPr/>
      </w:pPr>
      <w:r>
        <w:rPr>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t xml:space="preserve"> </w:t>
      </w:r>
    </w:p>
    <w:p>
      <w:pPr>
        <w:pStyle w:val="TextBody"/>
        <w:bidi w:val="0"/>
        <w:spacing w:before="0" w:after="0"/>
        <w:jc w:val="left"/>
        <w:rPr/>
      </w:pPr>
      <w:r>
        <w:rPr/>
        <w:t xml:space="preserve">  </w:t>
      </w:r>
    </w:p>
    <w:p>
      <w:pPr>
        <w:pStyle w:val="TextBody"/>
        <w:bidi w:val="0"/>
        <w:spacing w:before="0" w:after="0"/>
        <w:ind w:left="0" w:right="0" w:hanging="225"/>
        <w:jc w:val="both"/>
        <w:rPr/>
      </w:pPr>
      <w:r>
        <w:rPr>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t xml:space="preserve"> </w:t>
      </w:r>
    </w:p>
    <w:p>
      <w:pPr>
        <w:pStyle w:val="TextBody"/>
        <w:bidi w:val="0"/>
        <w:spacing w:before="0" w:after="0"/>
        <w:jc w:val="left"/>
        <w:rPr/>
      </w:pPr>
      <w:r>
        <w:rPr/>
        <w:t xml:space="preserve">  </w:t>
      </w:r>
    </w:p>
    <w:p>
      <w:pPr>
        <w:pStyle w:val="TextBody"/>
        <w:bidi w:val="0"/>
        <w:spacing w:before="0" w:after="0"/>
        <w:ind w:left="0" w:right="0" w:hanging="225"/>
        <w:jc w:val="both"/>
        <w:rPr/>
      </w:pPr>
      <w:r>
        <w:rPr>
          <w:sz w:val="20"/>
        </w:rPr>
        <w:t>4. The registrant’s other certifying officer and I are responsible for establishing and maintaining disclosure controls and procedures (as defined in Exchange Act Rules 13a-15(e) and 15d-15(e)) and 15d-15(e)) and internal control over financial reporting (as defined in Exchange Act Rules 13a-15(f) and 15d-15(f)) for the registrant and have:</w:t>
      </w:r>
      <w:r>
        <w:rPr/>
        <w:t xml:space="preserve"> </w:t>
      </w:r>
    </w:p>
    <w:p>
      <w:pPr>
        <w:pStyle w:val="TextBody"/>
        <w:bidi w:val="0"/>
        <w:spacing w:before="0" w:after="0"/>
        <w:ind w:left="200" w:right="0" w:hanging="0"/>
        <w:jc w:val="left"/>
        <w:rPr/>
      </w:pPr>
      <w:r>
        <w:rPr/>
        <w:t xml:space="preserve">  </w:t>
      </w:r>
    </w:p>
    <w:p>
      <w:pPr>
        <w:pStyle w:val="TextBody"/>
        <w:bidi w:val="0"/>
        <w:spacing w:before="0" w:after="0"/>
        <w:ind w:left="500" w:right="0" w:hanging="300"/>
        <w:jc w:val="both"/>
        <w:rPr/>
      </w:pPr>
      <w:r>
        <w:rPr>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t xml:space="preserve"> </w:t>
      </w:r>
    </w:p>
    <w:p>
      <w:pPr>
        <w:pStyle w:val="TextBody"/>
        <w:bidi w:val="0"/>
        <w:spacing w:before="0" w:after="0"/>
        <w:jc w:val="left"/>
        <w:rPr/>
      </w:pPr>
      <w:r>
        <w:rPr/>
        <w:t xml:space="preserve">  </w:t>
      </w:r>
    </w:p>
    <w:p>
      <w:pPr>
        <w:pStyle w:val="TextBody"/>
        <w:bidi w:val="0"/>
        <w:spacing w:before="0" w:after="0"/>
        <w:ind w:left="500" w:right="0" w:hanging="300"/>
        <w:jc w:val="both"/>
        <w:rPr/>
      </w:pPr>
      <w:r>
        <w:rPr>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t xml:space="preserve"> </w:t>
      </w:r>
    </w:p>
    <w:p>
      <w:pPr>
        <w:pStyle w:val="TextBody"/>
        <w:bidi w:val="0"/>
        <w:spacing w:before="0" w:after="0"/>
        <w:jc w:val="left"/>
        <w:rPr/>
      </w:pPr>
      <w:r>
        <w:rPr/>
        <w:t xml:space="preserve">  </w:t>
      </w:r>
    </w:p>
    <w:p>
      <w:pPr>
        <w:pStyle w:val="TextBody"/>
        <w:bidi w:val="0"/>
        <w:spacing w:before="0" w:after="0"/>
        <w:ind w:left="500" w:right="0" w:hanging="300"/>
        <w:jc w:val="both"/>
        <w:rPr/>
      </w:pPr>
      <w:r>
        <w:rPr>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t xml:space="preserve"> </w:t>
      </w:r>
    </w:p>
    <w:p>
      <w:pPr>
        <w:pStyle w:val="TextBody"/>
        <w:bidi w:val="0"/>
        <w:spacing w:before="0" w:after="0"/>
        <w:jc w:val="left"/>
        <w:rPr/>
      </w:pPr>
      <w:r>
        <w:rPr/>
        <w:t xml:space="preserve">  </w:t>
      </w:r>
    </w:p>
    <w:p>
      <w:pPr>
        <w:pStyle w:val="TextBody"/>
        <w:bidi w:val="0"/>
        <w:spacing w:before="0" w:after="0"/>
        <w:ind w:left="500" w:right="0" w:hanging="300"/>
        <w:jc w:val="both"/>
        <w:rPr/>
      </w:pPr>
      <w:r>
        <w:rPr>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t xml:space="preserve"> </w:t>
      </w:r>
    </w:p>
    <w:p>
      <w:pPr>
        <w:pStyle w:val="TextBody"/>
        <w:bidi w:val="0"/>
        <w:spacing w:before="0" w:after="0"/>
        <w:jc w:val="left"/>
        <w:rPr/>
      </w:pPr>
      <w:r>
        <w:rPr/>
        <w:t xml:space="preserve">  </w:t>
      </w:r>
    </w:p>
    <w:p>
      <w:pPr>
        <w:pStyle w:val="TextBody"/>
        <w:bidi w:val="0"/>
        <w:spacing w:before="0" w:after="0"/>
        <w:ind w:left="0" w:right="0" w:hanging="225"/>
        <w:jc w:val="both"/>
        <w:rPr/>
      </w:pPr>
      <w:r>
        <w:rPr>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t xml:space="preserve"> </w:t>
      </w:r>
    </w:p>
    <w:p>
      <w:pPr>
        <w:pStyle w:val="TextBody"/>
        <w:bidi w:val="0"/>
        <w:spacing w:before="0" w:after="0"/>
        <w:jc w:val="left"/>
        <w:rPr/>
      </w:pPr>
      <w:r>
        <w:rPr/>
        <w:t xml:space="preserve">  </w:t>
      </w:r>
    </w:p>
    <w:p>
      <w:pPr>
        <w:pStyle w:val="TextBody"/>
        <w:bidi w:val="0"/>
        <w:spacing w:before="0" w:after="0"/>
        <w:ind w:left="500" w:right="0" w:hanging="300"/>
        <w:jc w:val="both"/>
        <w:rPr/>
      </w:pPr>
      <w:r>
        <w:rPr>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t xml:space="preserve"> </w:t>
      </w:r>
    </w:p>
    <w:p>
      <w:pPr>
        <w:pStyle w:val="TextBody"/>
        <w:bidi w:val="0"/>
        <w:spacing w:before="0" w:after="0"/>
        <w:jc w:val="left"/>
        <w:rPr/>
      </w:pPr>
      <w:r>
        <w:rPr/>
        <w:t xml:space="preserve">  </w:t>
      </w:r>
    </w:p>
    <w:p>
      <w:pPr>
        <w:pStyle w:val="TextBody"/>
        <w:bidi w:val="0"/>
        <w:spacing w:before="0" w:after="0"/>
        <w:ind w:left="500" w:right="0" w:hanging="300"/>
        <w:jc w:val="both"/>
        <w:rPr/>
      </w:pPr>
      <w:r>
        <w:rPr>
          <w:color w:val="000000"/>
          <w:sz w:val="20"/>
        </w:rPr>
        <w:t>b)  any fraud, whether or not material, that involves management or other employees who have a significant role in the registrant’s internal control over financial reporting.</w:t>
      </w:r>
      <w:r>
        <w:rPr/>
        <w:t xml:space="preserve">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10014"/>
        <w:gridCol w:w="191"/>
      </w:tblGrid>
      <w:tr>
        <w:trPr/>
        <w:tc>
          <w:tcPr>
            <w:tcW w:w="10014"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0014" w:type="dxa"/>
            <w:tcBorders/>
            <w:vAlign w:val="center"/>
          </w:tcPr>
          <w:p>
            <w:pPr>
              <w:pStyle w:val="TableContents"/>
              <w:bidi w:val="0"/>
              <w:spacing w:before="0" w:after="283"/>
              <w:jc w:val="left"/>
              <w:rPr/>
            </w:pPr>
            <w:r>
              <w:rPr/>
              <w:t xml:space="preserve">Date: March 26, 2026 </w:t>
            </w:r>
          </w:p>
        </w:tc>
        <w:tc>
          <w:tcPr>
            <w:tcW w:w="191" w:type="dxa"/>
            <w:tcBorders/>
            <w:vAlign w:val="center"/>
          </w:tcPr>
          <w:p>
            <w:pPr>
              <w:pStyle w:val="TableContents"/>
              <w:bidi w:val="0"/>
              <w:spacing w:before="0" w:after="283"/>
              <w:jc w:val="left"/>
              <w:rPr/>
            </w:pPr>
            <w:r>
              <w:rPr/>
              <w:t> </w:t>
            </w:r>
          </w:p>
        </w:tc>
      </w:tr>
      <w:tr>
        <w:trPr/>
        <w:tc>
          <w:tcPr>
            <w:tcW w:w="10014"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10014" w:type="dxa"/>
            <w:tcBorders/>
            <w:vAlign w:val="center"/>
          </w:tcPr>
          <w:p>
            <w:pPr>
              <w:pStyle w:val="TableContents"/>
              <w:bidi w:val="0"/>
              <w:spacing w:before="0" w:after="283"/>
              <w:jc w:val="left"/>
              <w:rPr/>
            </w:pPr>
            <w:r>
              <w:rPr/>
              <w:t xml:space="preserve">Scot Cohen </w:t>
            </w:r>
          </w:p>
        </w:tc>
        <w:tc>
          <w:tcPr>
            <w:tcW w:w="191" w:type="dxa"/>
            <w:tcBorders/>
            <w:vAlign w:val="center"/>
          </w:tcPr>
          <w:p>
            <w:pPr>
              <w:pStyle w:val="TableContents"/>
              <w:bidi w:val="0"/>
              <w:spacing w:before="0" w:after="283"/>
              <w:jc w:val="left"/>
              <w:rPr/>
            </w:pPr>
            <w:r>
              <w:rPr/>
              <w:t> </w:t>
            </w:r>
          </w:p>
        </w:tc>
      </w:tr>
      <w:tr>
        <w:trPr/>
        <w:tc>
          <w:tcPr>
            <w:tcW w:w="10014"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xml:space="preserve">/s/ Scot Cohen </w:t>
            </w:r>
          </w:p>
        </w:tc>
        <w:tc>
          <w:tcPr>
            <w:tcW w:w="191" w:type="dxa"/>
            <w:tcBorders/>
            <w:vAlign w:val="center"/>
          </w:tcPr>
          <w:p>
            <w:pPr>
              <w:pStyle w:val="TableContents"/>
              <w:bidi w:val="0"/>
              <w:spacing w:before="0" w:after="283"/>
              <w:jc w:val="left"/>
              <w:rPr/>
            </w:pPr>
            <w:r>
              <w:rPr/>
              <w:t> </w:t>
            </w:r>
          </w:p>
        </w:tc>
      </w:tr>
      <w:tr>
        <w:trPr/>
        <w:tc>
          <w:tcPr>
            <w:tcW w:w="10014" w:type="dxa"/>
            <w:tcBorders/>
            <w:vAlign w:val="center"/>
          </w:tcPr>
          <w:p>
            <w:pPr>
              <w:pStyle w:val="TableContents"/>
              <w:bidi w:val="0"/>
              <w:spacing w:before="0" w:after="283"/>
              <w:jc w:val="left"/>
              <w:rPr/>
            </w:pPr>
            <w:r>
              <w:rPr/>
              <w:t xml:space="preserve">Chief Executive Officer (Principal Executive Officer, Principal Financial Officer and Principal Accounting Officer) </w:t>
            </w:r>
          </w:p>
        </w:tc>
        <w:tc>
          <w:tcPr>
            <w:tcW w:w="191"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t xml:space="preserve">  </w:t>
      </w:r>
    </w:p>
    <w:p>
      <w:pPr>
        <w:pStyle w:val="TextBody"/>
        <w:bidi w:val="0"/>
        <w:spacing w:before="0" w:after="0"/>
        <w:jc w:val="right"/>
        <w:rPr/>
      </w:pPr>
      <w:bookmarkStart w:id="43" w:name="ex31-2.htm"/>
      <w:bookmarkStart w:id="44" w:name="ksex312"/>
      <w:bookmarkEnd w:id="43"/>
      <w:bookmarkEnd w:id="44"/>
      <w:r>
        <w:rPr>
          <w:b/>
          <w:sz w:val="20"/>
        </w:rPr>
        <w:t>Exhibit 31.2</w:t>
      </w:r>
      <w:r>
        <w:rPr/>
        <w:t xml:space="preserve"> </w:t>
      </w:r>
      <w:r>
        <w:br w:type="page"/>
      </w:r>
    </w:p>
    <w:p>
      <w:pPr>
        <w:pStyle w:val="TextBody"/>
        <w:bidi w:val="0"/>
        <w:spacing w:before="0" w:after="0"/>
        <w:jc w:val="left"/>
        <w:rPr/>
      </w:pPr>
      <w:r>
        <w:rPr/>
        <w:t xml:space="preserve">  </w:t>
      </w:r>
    </w:p>
    <w:p>
      <w:pPr>
        <w:pStyle w:val="TextBody"/>
        <w:bidi w:val="0"/>
        <w:spacing w:before="0" w:after="0"/>
        <w:jc w:val="center"/>
        <w:rPr/>
      </w:pPr>
      <w:r>
        <w:rPr>
          <w:b/>
          <w:sz w:val="20"/>
        </w:rPr>
        <w:t>CERTIFICATION UNDER SECTION 302</w:t>
      </w:r>
      <w:r>
        <w:rPr/>
        <w:t xml:space="preserve"> </w:t>
      </w:r>
    </w:p>
    <w:p>
      <w:pPr>
        <w:pStyle w:val="TextBody"/>
        <w:bidi w:val="0"/>
        <w:spacing w:before="0" w:after="0"/>
        <w:jc w:val="left"/>
        <w:rPr/>
      </w:pPr>
      <w:r>
        <w:rPr/>
        <w:t xml:space="preserve">  </w:t>
      </w:r>
    </w:p>
    <w:p>
      <w:pPr>
        <w:pStyle w:val="TextBody"/>
        <w:bidi w:val="0"/>
        <w:spacing w:before="0" w:after="0"/>
        <w:jc w:val="left"/>
        <w:rPr/>
      </w:pPr>
      <w:r>
        <w:rPr>
          <w:sz w:val="20"/>
        </w:rPr>
        <w:t>I, Scot Cohen,</w:t>
      </w:r>
      <w:r>
        <w:rPr/>
        <w:t> </w:t>
      </w:r>
      <w:r>
        <w:rPr>
          <w:sz w:val="20"/>
        </w:rPr>
        <w:t>certify that:</w:t>
      </w:r>
      <w:r>
        <w:rPr/>
        <w:t xml:space="preserve"> </w:t>
      </w:r>
    </w:p>
    <w:p>
      <w:pPr>
        <w:pStyle w:val="TextBody"/>
        <w:bidi w:val="0"/>
        <w:spacing w:before="0" w:after="0"/>
        <w:jc w:val="left"/>
        <w:rPr/>
      </w:pPr>
      <w:r>
        <w:rPr/>
        <w:t xml:space="preserve">  </w:t>
      </w:r>
    </w:p>
    <w:p>
      <w:pPr>
        <w:pStyle w:val="TextBody"/>
        <w:bidi w:val="0"/>
        <w:spacing w:before="0" w:after="0"/>
        <w:jc w:val="left"/>
        <w:rPr/>
      </w:pPr>
      <w:r>
        <w:rPr>
          <w:sz w:val="20"/>
        </w:rPr>
        <w:t>1. I have reviewed this annual report on Form</w:t>
      </w:r>
      <w:r>
        <w:rPr/>
        <w:t> </w:t>
      </w:r>
      <w:r>
        <w:rPr>
          <w:sz w:val="20"/>
        </w:rPr>
        <w:t>10-K of Wrap Technologies, Inc.;</w:t>
      </w:r>
      <w:r>
        <w:rPr/>
        <w:t xml:space="preserve"> </w:t>
      </w:r>
    </w:p>
    <w:p>
      <w:pPr>
        <w:pStyle w:val="TextBody"/>
        <w:bidi w:val="0"/>
        <w:spacing w:before="0" w:after="0"/>
        <w:jc w:val="left"/>
        <w:rPr/>
      </w:pPr>
      <w:r>
        <w:rPr/>
        <w:t xml:space="preserve">  </w:t>
      </w:r>
    </w:p>
    <w:p>
      <w:pPr>
        <w:pStyle w:val="TextBody"/>
        <w:bidi w:val="0"/>
        <w:spacing w:before="0" w:after="0"/>
        <w:ind w:left="0" w:right="0" w:hanging="225"/>
        <w:jc w:val="both"/>
        <w:rPr/>
      </w:pPr>
      <w:r>
        <w:rPr>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t xml:space="preserve"> </w:t>
      </w:r>
    </w:p>
    <w:p>
      <w:pPr>
        <w:pStyle w:val="TextBody"/>
        <w:bidi w:val="0"/>
        <w:spacing w:before="0" w:after="0"/>
        <w:jc w:val="left"/>
        <w:rPr/>
      </w:pPr>
      <w:r>
        <w:rPr/>
        <w:t xml:space="preserve">  </w:t>
      </w:r>
    </w:p>
    <w:p>
      <w:pPr>
        <w:pStyle w:val="TextBody"/>
        <w:bidi w:val="0"/>
        <w:spacing w:before="0" w:after="0"/>
        <w:ind w:left="0" w:right="0" w:hanging="225"/>
        <w:jc w:val="both"/>
        <w:rPr/>
      </w:pPr>
      <w:r>
        <w:rPr>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t xml:space="preserve"> </w:t>
      </w:r>
    </w:p>
    <w:p>
      <w:pPr>
        <w:pStyle w:val="TextBody"/>
        <w:bidi w:val="0"/>
        <w:spacing w:before="0" w:after="0"/>
        <w:jc w:val="left"/>
        <w:rPr/>
      </w:pPr>
      <w:r>
        <w:rPr/>
        <w:t xml:space="preserve">  </w:t>
      </w:r>
    </w:p>
    <w:p>
      <w:pPr>
        <w:pStyle w:val="TextBody"/>
        <w:bidi w:val="0"/>
        <w:spacing w:before="0" w:after="0"/>
        <w:ind w:left="0" w:right="0" w:hanging="225"/>
        <w:jc w:val="both"/>
        <w:rPr/>
      </w:pPr>
      <w:r>
        <w:rPr>
          <w:sz w:val="20"/>
        </w:rPr>
        <w:t>4. The registrant’s other certifying officer and I are responsible for establishing and maintaining disclosure controls and procedures (as defined in Exchange Act Rules 13a-15(e) and 15d-15(e)) and 15d-15(e)) and internal control over financial reporting (as defined in Exchange Act Rules 13a-15(f) and 15d-15(f)) for the registrant and have:</w:t>
      </w:r>
      <w:r>
        <w:rPr/>
        <w:t xml:space="preserve"> </w:t>
      </w:r>
    </w:p>
    <w:p>
      <w:pPr>
        <w:pStyle w:val="TextBody"/>
        <w:bidi w:val="0"/>
        <w:spacing w:before="0" w:after="0"/>
        <w:ind w:left="200" w:right="0" w:hanging="0"/>
        <w:jc w:val="left"/>
        <w:rPr/>
      </w:pPr>
      <w:r>
        <w:rPr/>
        <w:t xml:space="preserve">  </w:t>
      </w:r>
    </w:p>
    <w:p>
      <w:pPr>
        <w:pStyle w:val="TextBody"/>
        <w:bidi w:val="0"/>
        <w:spacing w:before="0" w:after="0"/>
        <w:ind w:left="0" w:right="0" w:hanging="300"/>
        <w:jc w:val="both"/>
        <w:rPr/>
      </w:pPr>
      <w:r>
        <w:rPr>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t xml:space="preserve"> </w:t>
      </w:r>
    </w:p>
    <w:p>
      <w:pPr>
        <w:pStyle w:val="TextBody"/>
        <w:bidi w:val="0"/>
        <w:spacing w:before="0" w:after="0"/>
        <w:jc w:val="left"/>
        <w:rPr/>
      </w:pPr>
      <w:r>
        <w:rPr/>
        <w:t xml:space="preserve">  </w:t>
      </w:r>
    </w:p>
    <w:p>
      <w:pPr>
        <w:pStyle w:val="TextBody"/>
        <w:bidi w:val="0"/>
        <w:spacing w:before="0" w:after="0"/>
        <w:ind w:left="0" w:right="0" w:hanging="300"/>
        <w:jc w:val="both"/>
        <w:rPr/>
      </w:pPr>
      <w:r>
        <w:rPr>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t xml:space="preserve"> </w:t>
      </w:r>
    </w:p>
    <w:p>
      <w:pPr>
        <w:pStyle w:val="TextBody"/>
        <w:bidi w:val="0"/>
        <w:spacing w:before="0" w:after="0"/>
        <w:jc w:val="left"/>
        <w:rPr/>
      </w:pPr>
      <w:r>
        <w:rPr/>
        <w:t xml:space="preserve">  </w:t>
      </w:r>
    </w:p>
    <w:p>
      <w:pPr>
        <w:pStyle w:val="TextBody"/>
        <w:bidi w:val="0"/>
        <w:spacing w:before="0" w:after="0"/>
        <w:ind w:left="0" w:right="0" w:hanging="300"/>
        <w:jc w:val="both"/>
        <w:rPr/>
      </w:pPr>
      <w:r>
        <w:rPr>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t xml:space="preserve"> </w:t>
      </w:r>
    </w:p>
    <w:p>
      <w:pPr>
        <w:pStyle w:val="TextBody"/>
        <w:bidi w:val="0"/>
        <w:spacing w:before="0" w:after="0"/>
        <w:jc w:val="left"/>
        <w:rPr/>
      </w:pPr>
      <w:r>
        <w:rPr/>
        <w:t xml:space="preserve">  </w:t>
      </w:r>
    </w:p>
    <w:p>
      <w:pPr>
        <w:pStyle w:val="TextBody"/>
        <w:bidi w:val="0"/>
        <w:spacing w:before="0" w:after="0"/>
        <w:ind w:left="0" w:right="0" w:hanging="300"/>
        <w:jc w:val="both"/>
        <w:rPr/>
      </w:pPr>
      <w:r>
        <w:rPr>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t xml:space="preserve"> </w:t>
      </w:r>
    </w:p>
    <w:p>
      <w:pPr>
        <w:pStyle w:val="TextBody"/>
        <w:bidi w:val="0"/>
        <w:spacing w:before="0" w:after="0"/>
        <w:jc w:val="left"/>
        <w:rPr/>
      </w:pPr>
      <w:r>
        <w:rPr/>
        <w:t xml:space="preserve">  </w:t>
      </w:r>
    </w:p>
    <w:p>
      <w:pPr>
        <w:pStyle w:val="TextBody"/>
        <w:bidi w:val="0"/>
        <w:spacing w:before="0" w:after="0"/>
        <w:ind w:left="0" w:right="0" w:hanging="225"/>
        <w:jc w:val="both"/>
        <w:rPr/>
      </w:pPr>
      <w:r>
        <w:rPr>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r>
        <w:rPr/>
        <w:t xml:space="preserve"> </w:t>
      </w:r>
    </w:p>
    <w:p>
      <w:pPr>
        <w:pStyle w:val="TextBody"/>
        <w:bidi w:val="0"/>
        <w:spacing w:before="0" w:after="0"/>
        <w:jc w:val="left"/>
        <w:rPr/>
      </w:pPr>
      <w:r>
        <w:rPr/>
        <w:t xml:space="preserve">  </w:t>
      </w:r>
    </w:p>
    <w:p>
      <w:pPr>
        <w:pStyle w:val="TextBody"/>
        <w:bidi w:val="0"/>
        <w:spacing w:before="0" w:after="0"/>
        <w:ind w:left="0" w:right="0" w:hanging="300"/>
        <w:jc w:val="both"/>
        <w:rPr/>
      </w:pPr>
      <w:r>
        <w:rPr>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t xml:space="preserve"> </w:t>
      </w:r>
    </w:p>
    <w:p>
      <w:pPr>
        <w:pStyle w:val="TextBody"/>
        <w:bidi w:val="0"/>
        <w:spacing w:before="0" w:after="0"/>
        <w:jc w:val="left"/>
        <w:rPr/>
      </w:pPr>
      <w:r>
        <w:rPr/>
        <w:t xml:space="preserve">  </w:t>
      </w:r>
    </w:p>
    <w:p>
      <w:pPr>
        <w:pStyle w:val="TextBody"/>
        <w:bidi w:val="0"/>
        <w:spacing w:before="0" w:after="0"/>
        <w:ind w:left="0" w:right="0" w:hanging="300"/>
        <w:jc w:val="both"/>
        <w:rPr/>
      </w:pPr>
      <w:r>
        <w:rPr>
          <w:color w:val="000000"/>
          <w:sz w:val="20"/>
        </w:rPr>
        <w:t>b)  any fraud, whether or not material, that involves management or other employees who have a significant role in the registrant’s internal control over financial reporting.</w:t>
      </w:r>
      <w:r>
        <w:rPr/>
        <w:t xml:space="preserve"> </w:t>
      </w:r>
    </w:p>
    <w:p>
      <w:pPr>
        <w:pStyle w:val="TextBody"/>
        <w:bidi w:val="0"/>
        <w:spacing w:before="0" w:after="0"/>
        <w:jc w:val="left"/>
        <w:rPr/>
      </w:pPr>
      <w:r>
        <w:rPr/>
        <w:t xml:space="preserve">  </w:t>
      </w:r>
    </w:p>
    <w:tbl>
      <w:tblPr>
        <w:tblW w:w="2187" w:type="dxa"/>
        <w:jc w:val="left"/>
        <w:tblInd w:w="0" w:type="dxa"/>
        <w:tblLayout w:type="fixed"/>
        <w:tblCellMar>
          <w:top w:w="0" w:type="dxa"/>
          <w:left w:w="0" w:type="dxa"/>
          <w:bottom w:w="0" w:type="dxa"/>
          <w:right w:w="0" w:type="dxa"/>
        </w:tblCellMar>
      </w:tblPr>
      <w:tblGrid>
        <w:gridCol w:w="1936"/>
        <w:gridCol w:w="251"/>
      </w:tblGrid>
      <w:tr>
        <w:trPr/>
        <w:tc>
          <w:tcPr>
            <w:tcW w:w="1936" w:type="dxa"/>
            <w:tcBorders/>
            <w:vAlign w:val="center"/>
          </w:tcPr>
          <w:p>
            <w:pPr>
              <w:pStyle w:val="TableContents"/>
              <w:bidi w:val="0"/>
              <w:spacing w:before="0" w:after="0"/>
              <w:jc w:val="left"/>
              <w:rPr/>
            </w:pPr>
            <w:r>
              <w:rPr>
                <w:color w:val="000000"/>
              </w:rPr>
              <w:t> </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1936" w:type="dxa"/>
            <w:tcBorders/>
            <w:vAlign w:val="center"/>
          </w:tcPr>
          <w:p>
            <w:pPr>
              <w:pStyle w:val="TableContents"/>
              <w:bidi w:val="0"/>
              <w:spacing w:before="0" w:after="0"/>
              <w:jc w:val="left"/>
              <w:rPr>
                <w:color w:val="000000"/>
                <w:sz w:val="20"/>
              </w:rPr>
            </w:pPr>
            <w:r>
              <w:rPr>
                <w:color w:val="000000"/>
                <w:sz w:val="20"/>
              </w:rPr>
              <w:t xml:space="preserve">Date: March 26, 2026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1936" w:type="dxa"/>
            <w:tcBorders/>
            <w:vAlign w:val="center"/>
          </w:tcPr>
          <w:p>
            <w:pPr>
              <w:pStyle w:val="TableContents"/>
              <w:bidi w:val="0"/>
              <w:spacing w:before="0" w:after="0"/>
              <w:jc w:val="left"/>
              <w:rPr/>
            </w:pPr>
            <w:r>
              <w:rPr>
                <w:color w:val="000000"/>
              </w:rPr>
              <w:t> </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1936" w:type="dxa"/>
            <w:tcBorders/>
            <w:vAlign w:val="center"/>
          </w:tcPr>
          <w:p>
            <w:pPr>
              <w:pStyle w:val="TableContents"/>
              <w:bidi w:val="0"/>
              <w:spacing w:before="0" w:after="0"/>
              <w:jc w:val="left"/>
              <w:rPr>
                <w:color w:val="000000"/>
                <w:sz w:val="20"/>
              </w:rPr>
            </w:pPr>
            <w:r>
              <w:rPr>
                <w:color w:val="000000"/>
                <w:sz w:val="20"/>
              </w:rPr>
              <w:t xml:space="preserve">Scot Cohen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1936" w:type="dxa"/>
            <w:tcBorders>
              <w:bottom w:val="single" w:sz="8" w:space="0" w:color="000000"/>
            </w:tcBorders>
            <w:tcMar>
              <w:bottom w:w="28" w:type="dxa"/>
            </w:tcMar>
            <w:vAlign w:val="center"/>
          </w:tcPr>
          <w:p>
            <w:pPr>
              <w:pStyle w:val="TableContents"/>
              <w:bidi w:val="0"/>
              <w:spacing w:before="0" w:after="0"/>
              <w:jc w:val="left"/>
              <w:rPr>
                <w:color w:val="000000"/>
                <w:sz w:val="20"/>
              </w:rPr>
            </w:pPr>
            <w:r>
              <w:rPr>
                <w:color w:val="000000"/>
                <w:sz w:val="20"/>
              </w:rPr>
              <w:t xml:space="preserve">/s/ Scot Cohen </w:t>
            </w:r>
          </w:p>
        </w:tc>
        <w:tc>
          <w:tcPr>
            <w:tcW w:w="251" w:type="dxa"/>
            <w:tcBorders/>
            <w:vAlign w:val="center"/>
          </w:tcPr>
          <w:p>
            <w:pPr>
              <w:pStyle w:val="TableContents"/>
              <w:bidi w:val="0"/>
              <w:spacing w:before="0" w:after="0"/>
              <w:jc w:val="left"/>
              <w:rPr/>
            </w:pPr>
            <w:r>
              <w:rPr>
                <w:color w:val="000000"/>
              </w:rPr>
              <w:t> </w:t>
            </w:r>
            <w:r>
              <w:rPr/>
              <w:t xml:space="preserve"> </w:t>
            </w:r>
          </w:p>
        </w:tc>
      </w:tr>
    </w:tbl>
    <w:p>
      <w:pPr>
        <w:pStyle w:val="HorizontalLine"/>
        <w:pBdr>
          <w:bottom w:val="double" w:sz="2" w:space="0" w:color="808080"/>
        </w:pBdr>
        <w:bidi w:val="0"/>
        <w:spacing w:before="0" w:after="283"/>
        <w:jc w:val="left"/>
        <w:rPr/>
      </w:pPr>
      <w:r>
        <w:rPr/>
      </w:r>
    </w:p>
    <w:tbl>
      <w:tblPr>
        <w:tblW w:w="9672" w:type="dxa"/>
        <w:jc w:val="left"/>
        <w:tblInd w:w="0" w:type="dxa"/>
        <w:tblLayout w:type="fixed"/>
        <w:tblCellMar>
          <w:top w:w="0" w:type="dxa"/>
          <w:left w:w="0" w:type="dxa"/>
          <w:bottom w:w="0" w:type="dxa"/>
          <w:right w:w="0" w:type="dxa"/>
        </w:tblCellMar>
      </w:tblPr>
      <w:tblGrid>
        <w:gridCol w:w="9421"/>
        <w:gridCol w:w="251"/>
      </w:tblGrid>
      <w:tr>
        <w:trPr/>
        <w:tc>
          <w:tcPr>
            <w:tcW w:w="9421" w:type="dxa"/>
            <w:tcBorders/>
            <w:vAlign w:val="center"/>
          </w:tcPr>
          <w:p>
            <w:pPr>
              <w:pStyle w:val="TableContents"/>
              <w:bidi w:val="0"/>
              <w:spacing w:before="0" w:after="0"/>
              <w:jc w:val="left"/>
              <w:rPr>
                <w:color w:val="000000"/>
                <w:sz w:val="20"/>
              </w:rPr>
            </w:pPr>
            <w:r>
              <w:rPr>
                <w:color w:val="000000"/>
                <w:sz w:val="20"/>
              </w:rPr>
              <w:t xml:space="preserve">Chief Executive Officer (Principal Executive Officer, Principal Financial Officer and Principal Accounting Officer) </w:t>
            </w:r>
          </w:p>
        </w:tc>
        <w:tc>
          <w:tcPr>
            <w:tcW w:w="251" w:type="dxa"/>
            <w:tcBorders/>
            <w:vAlign w:val="center"/>
          </w:tcPr>
          <w:p>
            <w:pPr>
              <w:pStyle w:val="TableContents"/>
              <w:bidi w:val="0"/>
              <w:spacing w:before="0" w:after="0"/>
              <w:jc w:val="left"/>
              <w:rPr/>
            </w:pPr>
            <w:r>
              <w:rPr>
                <w:color w:val="000000"/>
              </w:rPr>
              <w:t> </w:t>
            </w:r>
            <w:r>
              <w:rPr/>
              <w:t xml:space="preserve"> </w:t>
            </w:r>
          </w:p>
        </w:tc>
      </w:tr>
    </w:tbl>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t xml:space="preserve">  </w:t>
      </w:r>
    </w:p>
    <w:p>
      <w:pPr>
        <w:pStyle w:val="TextBody"/>
        <w:bidi w:val="0"/>
        <w:spacing w:before="0" w:after="0"/>
        <w:jc w:val="right"/>
        <w:rPr/>
      </w:pPr>
      <w:bookmarkStart w:id="45" w:name="ex32-1.htm"/>
      <w:bookmarkStart w:id="46" w:name="ksex321"/>
      <w:bookmarkEnd w:id="45"/>
      <w:bookmarkEnd w:id="46"/>
      <w:r>
        <w:rPr>
          <w:b/>
          <w:sz w:val="20"/>
        </w:rPr>
        <w:t>Exhibit 32.1</w:t>
      </w:r>
      <w:r>
        <w:rPr/>
        <w:t xml:space="preserve"> </w:t>
      </w:r>
      <w:r>
        <w:br w:type="page"/>
      </w:r>
    </w:p>
    <w:p>
      <w:pPr>
        <w:pStyle w:val="TextBody"/>
        <w:bidi w:val="0"/>
        <w:spacing w:before="0" w:after="0"/>
        <w:jc w:val="left"/>
        <w:rPr/>
      </w:pPr>
      <w:r>
        <w:rPr/>
        <w:t xml:space="preserve">  </w:t>
      </w:r>
    </w:p>
    <w:p>
      <w:pPr>
        <w:pStyle w:val="TextBody"/>
        <w:bidi w:val="0"/>
        <w:spacing w:before="0" w:after="0"/>
        <w:jc w:val="center"/>
        <w:rPr/>
      </w:pPr>
      <w:r>
        <w:rPr>
          <w:b/>
          <w:sz w:val="20"/>
        </w:rPr>
        <w:t>CERTIFICATION OF CHIEF EXECUTIVE OFFICER AND PRINCIPAL FINANCIAL OFFICER</w:t>
      </w:r>
      <w:r>
        <w:rPr/>
        <w:t xml:space="preserve"> </w:t>
      </w:r>
    </w:p>
    <w:p>
      <w:pPr>
        <w:pStyle w:val="TextBody"/>
        <w:bidi w:val="0"/>
        <w:spacing w:before="0" w:after="0"/>
        <w:jc w:val="center"/>
        <w:rPr/>
      </w:pPr>
      <w:r>
        <w:rPr>
          <w:b/>
          <w:sz w:val="20"/>
        </w:rPr>
        <w:t>PURSUANT TO</w:t>
      </w:r>
      <w:r>
        <w:rPr/>
        <w:t xml:space="preserve"> </w:t>
      </w:r>
    </w:p>
    <w:p>
      <w:pPr>
        <w:pStyle w:val="TextBody"/>
        <w:bidi w:val="0"/>
        <w:spacing w:before="0" w:after="0"/>
        <w:jc w:val="center"/>
        <w:rPr/>
      </w:pPr>
      <w:r>
        <w:rPr>
          <w:b/>
          <w:sz w:val="20"/>
        </w:rPr>
        <w:t>18 USC. SECTION 1350,</w:t>
      </w:r>
      <w:r>
        <w:rPr/>
        <w:t xml:space="preserve"> </w:t>
      </w:r>
    </w:p>
    <w:p>
      <w:pPr>
        <w:pStyle w:val="TextBody"/>
        <w:bidi w:val="0"/>
        <w:spacing w:before="0" w:after="0"/>
        <w:jc w:val="center"/>
        <w:rPr/>
      </w:pPr>
      <w:r>
        <w:rPr>
          <w:b/>
          <w:sz w:val="20"/>
        </w:rPr>
        <w:t>AS ADOPTED PURSUANT TO</w:t>
      </w:r>
      <w:r>
        <w:rPr/>
        <w:t xml:space="preserve"> </w:t>
      </w:r>
    </w:p>
    <w:p>
      <w:pPr>
        <w:pStyle w:val="TextBody"/>
        <w:bidi w:val="0"/>
        <w:spacing w:before="0" w:after="0"/>
        <w:jc w:val="center"/>
        <w:rPr/>
      </w:pPr>
      <w:r>
        <w:rPr>
          <w:b/>
          <w:sz w:val="20"/>
        </w:rPr>
        <w:t>SECTION 906 OF THE SARBANES-OXLEY ACT OF 2002</w:t>
      </w:r>
      <w:r>
        <w:rPr/>
        <w:t xml:space="preserve"> </w:t>
      </w:r>
    </w:p>
    <w:p>
      <w:pPr>
        <w:pStyle w:val="TextBody"/>
        <w:bidi w:val="0"/>
        <w:spacing w:before="0" w:after="0"/>
        <w:jc w:val="left"/>
        <w:rPr/>
      </w:pPr>
      <w:r>
        <w:rPr/>
        <w:t xml:space="preserve">  </w:t>
      </w:r>
    </w:p>
    <w:p>
      <w:pPr>
        <w:pStyle w:val="TextBody"/>
        <w:bidi w:val="0"/>
        <w:spacing w:before="0" w:after="0"/>
        <w:jc w:val="both"/>
        <w:rPr/>
      </w:pPr>
      <w:r>
        <w:rPr>
          <w:sz w:val="20"/>
        </w:rPr>
        <w:t>The undersigned hereby certifies, in accordance with 18 USC. 1350, as adopted pursuant to Section 906 of the Sarbanes-Oxley Act of 2002, in his or her capacity as an officer of Wrap Technologies, Inc. (the "Company"), that, to his or her knowledge, the Annual Report of the Company on Form 10-K for the period ended December 31, 2025, fully complies with the requirements of Section 13(a) or Section 15(d) of the Securities Exchange Act of 1934 and that the information contained in such report fairly presents, in all material respects, the financial condition and results of operation of the Company.</w:t>
      </w:r>
      <w:r>
        <w:rPr/>
        <w:t xml:space="preserve"> </w:t>
      </w:r>
    </w:p>
    <w:p>
      <w:pPr>
        <w:pStyle w:val="TextBody"/>
        <w:bidi w:val="0"/>
        <w:spacing w:before="0" w:after="0"/>
        <w:jc w:val="left"/>
        <w:rPr/>
      </w:pPr>
      <w:r>
        <w:rPr/>
        <w:t xml:space="preserve">  </w:t>
      </w:r>
    </w:p>
    <w:p>
      <w:pPr>
        <w:pStyle w:val="TextBody"/>
        <w:bidi w:val="0"/>
        <w:spacing w:before="0" w:after="0"/>
        <w:jc w:val="left"/>
        <w:rPr/>
      </w:pPr>
      <w:r>
        <w:rPr>
          <w:sz w:val="20"/>
        </w:rPr>
        <w:t>This Certification has not been, and shall not be deemed, “filed” with the Securities and Exchange Commission.</w:t>
      </w:r>
      <w:r>
        <w:rPr/>
        <w:t xml:space="preserve"> </w:t>
      </w:r>
    </w:p>
    <w:p>
      <w:pPr>
        <w:pStyle w:val="TextBody"/>
        <w:bidi w:val="0"/>
        <w:spacing w:before="0" w:after="0"/>
        <w:jc w:val="left"/>
        <w:rPr/>
      </w:pPr>
      <w:r>
        <w:rPr/>
        <w:t xml:space="preserve">  </w:t>
      </w:r>
    </w:p>
    <w:p>
      <w:pPr>
        <w:pStyle w:val="TextBody"/>
        <w:bidi w:val="0"/>
        <w:spacing w:before="0" w:after="0"/>
        <w:jc w:val="left"/>
        <w:rPr/>
      </w:pPr>
      <w:r>
        <w:rPr>
          <w:sz w:val="20"/>
        </w:rPr>
        <w:t>Date: March 26, 2026</w:t>
      </w:r>
      <w:r>
        <w:rPr/>
        <w:t xml:space="preserve"> </w:t>
      </w:r>
    </w:p>
    <w:p>
      <w:pPr>
        <w:pStyle w:val="TextBody"/>
        <w:bidi w:val="0"/>
        <w:spacing w:before="0" w:after="0"/>
        <w:jc w:val="left"/>
        <w:rPr/>
      </w:pPr>
      <w:r>
        <w:rPr/>
        <w:t xml:space="preserve">  </w:t>
      </w:r>
    </w:p>
    <w:tbl>
      <w:tblPr>
        <w:tblW w:w="8937" w:type="dxa"/>
        <w:jc w:val="left"/>
        <w:tblInd w:w="0" w:type="dxa"/>
        <w:tblLayout w:type="fixed"/>
        <w:tblCellMar>
          <w:top w:w="28" w:type="dxa"/>
          <w:left w:w="28" w:type="dxa"/>
          <w:bottom w:w="28" w:type="dxa"/>
          <w:right w:w="28" w:type="dxa"/>
        </w:tblCellMar>
      </w:tblPr>
      <w:tblGrid>
        <w:gridCol w:w="8746"/>
        <w:gridCol w:w="191"/>
      </w:tblGrid>
      <w:tr>
        <w:trPr/>
        <w:tc>
          <w:tcPr>
            <w:tcW w:w="8746"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r>
      <w:tr>
        <w:trPr/>
        <w:tc>
          <w:tcPr>
            <w:tcW w:w="87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xml:space="preserve">/s/ Scot Cohen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746" w:type="dxa"/>
            <w:tcBorders/>
            <w:vAlign w:val="center"/>
          </w:tcPr>
          <w:p>
            <w:pPr>
              <w:pStyle w:val="TableContents"/>
              <w:bidi w:val="0"/>
              <w:spacing w:before="0" w:after="283"/>
              <w:jc w:val="left"/>
              <w:rPr/>
            </w:pPr>
            <w:r>
              <w:rPr/>
              <w:t xml:space="preserve">Scot Cohen </w:t>
            </w:r>
          </w:p>
        </w:tc>
        <w:tc>
          <w:tcPr>
            <w:tcW w:w="191" w:type="dxa"/>
            <w:tcBorders/>
            <w:vAlign w:val="center"/>
          </w:tcPr>
          <w:p>
            <w:pPr>
              <w:pStyle w:val="TableContents"/>
              <w:bidi w:val="0"/>
              <w:spacing w:before="0" w:after="283"/>
              <w:jc w:val="left"/>
              <w:rPr/>
            </w:pPr>
            <w:r>
              <w:rPr/>
              <w:t> </w:t>
            </w:r>
          </w:p>
        </w:tc>
      </w:tr>
      <w:tr>
        <w:trPr/>
        <w:tc>
          <w:tcPr>
            <w:tcW w:w="8746" w:type="dxa"/>
            <w:tcBorders/>
            <w:vAlign w:val="center"/>
          </w:tcPr>
          <w:p>
            <w:pPr>
              <w:pStyle w:val="TableContents"/>
              <w:bidi w:val="0"/>
              <w:spacing w:before="0" w:after="283"/>
              <w:jc w:val="left"/>
              <w:rPr/>
            </w:pPr>
            <w:r>
              <w:rPr/>
              <w:t xml:space="preserve">Chief Executive Officer </w:t>
            </w:r>
          </w:p>
        </w:tc>
        <w:tc>
          <w:tcPr>
            <w:tcW w:w="191" w:type="dxa"/>
            <w:tcBorders/>
            <w:vAlign w:val="center"/>
          </w:tcPr>
          <w:p>
            <w:pPr>
              <w:pStyle w:val="TableContents"/>
              <w:bidi w:val="0"/>
              <w:spacing w:before="0" w:after="283"/>
              <w:jc w:val="left"/>
              <w:rPr/>
            </w:pPr>
            <w:r>
              <w:rPr/>
              <w:t> </w:t>
            </w:r>
          </w:p>
        </w:tc>
      </w:tr>
      <w:tr>
        <w:trPr/>
        <w:tc>
          <w:tcPr>
            <w:tcW w:w="8746" w:type="dxa"/>
            <w:tcBorders/>
            <w:vAlign w:val="center"/>
          </w:tcPr>
          <w:p>
            <w:pPr>
              <w:pStyle w:val="TableContents"/>
              <w:bidi w:val="0"/>
              <w:spacing w:before="0" w:after="283"/>
              <w:jc w:val="left"/>
              <w:rPr/>
            </w:pPr>
            <w:r>
              <w:rPr/>
              <w:t xml:space="preserve">(Principal Executive Officer, Principal Financial Officer and Principal Accounting Officer) </w:t>
            </w:r>
          </w:p>
        </w:tc>
        <w:tc>
          <w:tcPr>
            <w:tcW w:w="191" w:type="dxa"/>
            <w:tcBorders/>
            <w:vAlign w:val="center"/>
          </w:tcPr>
          <w:p>
            <w:pPr>
              <w:pStyle w:val="TableContents"/>
              <w:bidi w:val="0"/>
              <w:spacing w:before="0" w:after="283"/>
              <w:jc w:val="left"/>
              <w:rPr/>
            </w:pPr>
            <w:r>
              <w:rPr/>
              <w:t> </w:t>
            </w:r>
          </w:p>
        </w:tc>
      </w:tr>
    </w:tbl>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right"/>
        <w:rPr/>
      </w:pPr>
      <w:bookmarkStart w:id="47" w:name="ex32-2.htm"/>
      <w:bookmarkStart w:id="48" w:name="ksex322"/>
      <w:bookmarkEnd w:id="47"/>
      <w:bookmarkEnd w:id="48"/>
      <w:r>
        <w:rPr>
          <w:b/>
          <w:sz w:val="20"/>
        </w:rPr>
        <w:t>Exhibit 32.2</w:t>
      </w:r>
      <w:r>
        <w:rPr/>
        <w:t xml:space="preserve"> </w:t>
      </w:r>
      <w:r>
        <w:br w:type="page"/>
      </w:r>
    </w:p>
    <w:p>
      <w:pPr>
        <w:pStyle w:val="TextBody"/>
        <w:bidi w:val="0"/>
        <w:spacing w:before="0" w:after="0"/>
        <w:jc w:val="left"/>
        <w:rPr/>
      </w:pPr>
      <w:r>
        <w:rPr/>
        <w:t xml:space="preserve">  </w:t>
      </w:r>
    </w:p>
    <w:p>
      <w:pPr>
        <w:pStyle w:val="TextBody"/>
        <w:bidi w:val="0"/>
        <w:spacing w:before="0" w:after="0"/>
        <w:jc w:val="center"/>
        <w:rPr/>
      </w:pPr>
      <w:r>
        <w:rPr>
          <w:b/>
          <w:sz w:val="20"/>
        </w:rPr>
        <w:t>CERTIFICATION OF CHIEF EXECUTIVE OFFICER AND PRINCIPAL FINANCIAL OFFICER</w:t>
      </w:r>
      <w:r>
        <w:rPr/>
        <w:t xml:space="preserve"> </w:t>
      </w:r>
    </w:p>
    <w:p>
      <w:pPr>
        <w:pStyle w:val="TextBody"/>
        <w:bidi w:val="0"/>
        <w:spacing w:before="0" w:after="0"/>
        <w:jc w:val="center"/>
        <w:rPr/>
      </w:pPr>
      <w:r>
        <w:rPr>
          <w:b/>
          <w:sz w:val="20"/>
        </w:rPr>
        <w:t>PURSUANT TO</w:t>
      </w:r>
      <w:r>
        <w:rPr/>
        <w:t xml:space="preserve"> </w:t>
      </w:r>
    </w:p>
    <w:p>
      <w:pPr>
        <w:pStyle w:val="TextBody"/>
        <w:bidi w:val="0"/>
        <w:spacing w:before="0" w:after="0"/>
        <w:jc w:val="center"/>
        <w:rPr/>
      </w:pPr>
      <w:r>
        <w:rPr>
          <w:b/>
          <w:sz w:val="20"/>
        </w:rPr>
        <w:t>18 USC. SECTION 1350,</w:t>
      </w:r>
      <w:r>
        <w:rPr/>
        <w:t xml:space="preserve"> </w:t>
      </w:r>
    </w:p>
    <w:p>
      <w:pPr>
        <w:pStyle w:val="TextBody"/>
        <w:bidi w:val="0"/>
        <w:spacing w:before="0" w:after="0"/>
        <w:jc w:val="center"/>
        <w:rPr/>
      </w:pPr>
      <w:r>
        <w:rPr>
          <w:b/>
          <w:sz w:val="20"/>
        </w:rPr>
        <w:t>AS ADOPTED PURSUANT TO</w:t>
      </w:r>
      <w:r>
        <w:rPr/>
        <w:t xml:space="preserve"> </w:t>
      </w:r>
    </w:p>
    <w:p>
      <w:pPr>
        <w:pStyle w:val="TextBody"/>
        <w:bidi w:val="0"/>
        <w:spacing w:before="0" w:after="0"/>
        <w:jc w:val="center"/>
        <w:rPr/>
      </w:pPr>
      <w:r>
        <w:rPr>
          <w:b/>
          <w:sz w:val="20"/>
        </w:rPr>
        <w:t>SECTION 906 OF THE SARBANES-OXLEY ACT OF 2002</w:t>
      </w:r>
      <w:r>
        <w:rPr/>
        <w:t xml:space="preserve"> </w:t>
      </w:r>
    </w:p>
    <w:p>
      <w:pPr>
        <w:pStyle w:val="TextBody"/>
        <w:bidi w:val="0"/>
        <w:spacing w:before="0" w:after="0"/>
        <w:jc w:val="left"/>
        <w:rPr/>
      </w:pPr>
      <w:r>
        <w:rPr/>
        <w:t xml:space="preserve">  </w:t>
      </w:r>
    </w:p>
    <w:p>
      <w:pPr>
        <w:pStyle w:val="TextBody"/>
        <w:bidi w:val="0"/>
        <w:spacing w:before="0" w:after="0"/>
        <w:jc w:val="both"/>
        <w:rPr/>
      </w:pPr>
      <w:r>
        <w:rPr>
          <w:sz w:val="20"/>
        </w:rPr>
        <w:t>The undersigned hereby certifies, in accordance with 18 USC. 1350, as adopted pursuant to Section 906 of the Sarbanes-Oxley Act of 2002, in his or her capacity as an officer of Wrap Technologies, Inc. (the "Company"), that, to his or her knowledge, the Annual Report of the Company on Form 10-K for the period ended December 31, 2025, fully complies with the requirements of Section 13(a) or Section 15(d) of the Securities Exchange Act of 1934 and that the information contained in such report fairly presents, in all material respects, the financial condition and results of operation of the Company.</w:t>
      </w:r>
      <w:r>
        <w:rPr/>
        <w:t xml:space="preserve"> </w:t>
      </w:r>
    </w:p>
    <w:p>
      <w:pPr>
        <w:pStyle w:val="TextBody"/>
        <w:bidi w:val="0"/>
        <w:spacing w:before="0" w:after="0"/>
        <w:jc w:val="left"/>
        <w:rPr/>
      </w:pPr>
      <w:r>
        <w:rPr/>
        <w:t xml:space="preserve">  </w:t>
      </w:r>
    </w:p>
    <w:p>
      <w:pPr>
        <w:pStyle w:val="TextBody"/>
        <w:bidi w:val="0"/>
        <w:spacing w:before="0" w:after="0"/>
        <w:jc w:val="left"/>
        <w:rPr/>
      </w:pPr>
      <w:r>
        <w:rPr>
          <w:sz w:val="20"/>
        </w:rPr>
        <w:t>This Certification has not been, and shall not be deemed, “filed” with the Securities and Exchange Commission.</w:t>
      </w:r>
      <w:r>
        <w:rPr/>
        <w:t xml:space="preserve"> </w:t>
      </w:r>
    </w:p>
    <w:p>
      <w:pPr>
        <w:pStyle w:val="TextBody"/>
        <w:bidi w:val="0"/>
        <w:spacing w:before="0" w:after="0"/>
        <w:jc w:val="left"/>
        <w:rPr/>
      </w:pPr>
      <w:r>
        <w:rPr/>
        <w:t xml:space="preserve">  </w:t>
      </w:r>
    </w:p>
    <w:p>
      <w:pPr>
        <w:pStyle w:val="TextBody"/>
        <w:bidi w:val="0"/>
        <w:spacing w:before="0" w:after="0"/>
        <w:jc w:val="left"/>
        <w:rPr/>
      </w:pPr>
      <w:r>
        <w:rPr>
          <w:sz w:val="20"/>
        </w:rPr>
        <w:t>Date: March 26, 2026</w:t>
      </w:r>
      <w:r>
        <w:rPr/>
        <w:t xml:space="preserve"> </w:t>
      </w:r>
    </w:p>
    <w:p>
      <w:pPr>
        <w:pStyle w:val="TextBody"/>
        <w:bidi w:val="0"/>
        <w:spacing w:before="0" w:after="0"/>
        <w:jc w:val="left"/>
        <w:rPr/>
      </w:pPr>
      <w:r>
        <w:rPr/>
        <w:t xml:space="preserve">  </w:t>
      </w:r>
    </w:p>
    <w:tbl>
      <w:tblPr>
        <w:tblW w:w="7707" w:type="dxa"/>
        <w:jc w:val="left"/>
        <w:tblInd w:w="0" w:type="dxa"/>
        <w:tblLayout w:type="fixed"/>
        <w:tblCellMar>
          <w:top w:w="0" w:type="dxa"/>
          <w:left w:w="0" w:type="dxa"/>
          <w:bottom w:w="0" w:type="dxa"/>
          <w:right w:w="0" w:type="dxa"/>
        </w:tblCellMar>
      </w:tblPr>
      <w:tblGrid>
        <w:gridCol w:w="7456"/>
        <w:gridCol w:w="251"/>
      </w:tblGrid>
      <w:tr>
        <w:trPr/>
        <w:tc>
          <w:tcPr>
            <w:tcW w:w="7456" w:type="dxa"/>
            <w:tcBorders/>
            <w:vAlign w:val="center"/>
          </w:tcPr>
          <w:p>
            <w:pPr>
              <w:pStyle w:val="TableContents"/>
              <w:bidi w:val="0"/>
              <w:spacing w:before="0" w:after="0"/>
              <w:jc w:val="left"/>
              <w:rPr/>
            </w:pPr>
            <w:r>
              <w:rPr>
                <w:color w:val="000000"/>
              </w:rPr>
              <w:t> </w:t>
            </w:r>
            <w:r>
              <w:rPr/>
              <w:t xml:space="preserve">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7456" w:type="dxa"/>
            <w:tcBorders>
              <w:bottom w:val="single" w:sz="8" w:space="0" w:color="000000"/>
            </w:tcBorders>
            <w:tcMar>
              <w:bottom w:w="28" w:type="dxa"/>
            </w:tcMar>
            <w:vAlign w:val="center"/>
          </w:tcPr>
          <w:p>
            <w:pPr>
              <w:pStyle w:val="TableContents"/>
              <w:bidi w:val="0"/>
              <w:spacing w:before="0" w:after="0"/>
              <w:jc w:val="left"/>
              <w:rPr>
                <w:color w:val="000000"/>
                <w:sz w:val="20"/>
              </w:rPr>
            </w:pPr>
            <w:r>
              <w:rPr>
                <w:color w:val="000000"/>
                <w:sz w:val="20"/>
              </w:rPr>
              <w:t xml:space="preserve">/s/ Scot Cohen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7456" w:type="dxa"/>
            <w:tcBorders/>
            <w:vAlign w:val="center"/>
          </w:tcPr>
          <w:p>
            <w:pPr>
              <w:pStyle w:val="TableContents"/>
              <w:bidi w:val="0"/>
              <w:spacing w:before="0" w:after="0"/>
              <w:jc w:val="left"/>
              <w:rPr>
                <w:color w:val="000000"/>
                <w:sz w:val="20"/>
              </w:rPr>
            </w:pPr>
            <w:r>
              <w:rPr>
                <w:color w:val="000000"/>
                <w:sz w:val="20"/>
              </w:rPr>
              <w:t xml:space="preserve">Scot Cohen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7456" w:type="dxa"/>
            <w:tcBorders/>
            <w:vAlign w:val="center"/>
          </w:tcPr>
          <w:p>
            <w:pPr>
              <w:pStyle w:val="TableContents"/>
              <w:bidi w:val="0"/>
              <w:spacing w:before="0" w:after="0"/>
              <w:jc w:val="left"/>
              <w:rPr>
                <w:color w:val="000000"/>
                <w:sz w:val="20"/>
              </w:rPr>
            </w:pPr>
            <w:r>
              <w:rPr>
                <w:color w:val="000000"/>
                <w:sz w:val="20"/>
              </w:rPr>
              <w:t xml:space="preserve">Chief Executive Officer </w:t>
            </w:r>
          </w:p>
        </w:tc>
        <w:tc>
          <w:tcPr>
            <w:tcW w:w="251" w:type="dxa"/>
            <w:tcBorders/>
            <w:vAlign w:val="center"/>
          </w:tcPr>
          <w:p>
            <w:pPr>
              <w:pStyle w:val="TableContents"/>
              <w:bidi w:val="0"/>
              <w:spacing w:before="0" w:after="0"/>
              <w:jc w:val="left"/>
              <w:rPr/>
            </w:pPr>
            <w:r>
              <w:rPr>
                <w:color w:val="000000"/>
              </w:rPr>
              <w:t> </w:t>
            </w:r>
            <w:r>
              <w:rPr/>
              <w:t xml:space="preserve"> </w:t>
            </w:r>
          </w:p>
        </w:tc>
      </w:tr>
      <w:tr>
        <w:trPr/>
        <w:tc>
          <w:tcPr>
            <w:tcW w:w="7456" w:type="dxa"/>
            <w:tcBorders/>
            <w:vAlign w:val="center"/>
          </w:tcPr>
          <w:p>
            <w:pPr>
              <w:pStyle w:val="TableContents"/>
              <w:bidi w:val="0"/>
              <w:spacing w:before="0" w:after="0"/>
              <w:jc w:val="left"/>
              <w:rPr>
                <w:color w:val="000000"/>
                <w:sz w:val="20"/>
              </w:rPr>
            </w:pPr>
            <w:r>
              <w:rPr>
                <w:color w:val="000000"/>
                <w:sz w:val="20"/>
              </w:rPr>
              <w:t xml:space="preserve">(Principal Executive Officer, Principal Financial Officer and Principal Accounting Officer) </w:t>
            </w:r>
          </w:p>
        </w:tc>
        <w:tc>
          <w:tcPr>
            <w:tcW w:w="251" w:type="dxa"/>
            <w:tcBorders/>
            <w:vAlign w:val="center"/>
          </w:tcPr>
          <w:p>
            <w:pPr>
              <w:pStyle w:val="TableContents"/>
              <w:bidi w:val="0"/>
              <w:spacing w:before="0" w:after="0"/>
              <w:jc w:val="left"/>
              <w:rPr/>
            </w:pPr>
            <w:r>
              <w:rPr>
                <w:color w:val="000000"/>
              </w:rPr>
              <w:t> </w:t>
            </w:r>
            <w:r>
              <w:rPr/>
              <w:t xml:space="preserve"> </w:t>
            </w:r>
          </w:p>
        </w:tc>
      </w:tr>
    </w:tbl>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charset w:val="01"/>
    <w:family w:val="auto"/>
    <w:pitch w:val="default"/>
  </w:font>
  <w:font w:name="TimesNewRoman">
    <w:altName w:val="Times New Roman"/>
    <w:charset w:val="01"/>
    <w:family w:val="auto"/>
    <w:pitch w:val="default"/>
  </w:font>
  <w:font w:name="Symbol">
    <w:charset w:val="02"/>
    <w:family w:val="auto"/>
    <w:pitch w:val="default"/>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9">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0">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1">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9">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0">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1">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9">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0">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1">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9">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0">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1">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9">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0">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1">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69">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0">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1">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5">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6">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7">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8">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79">
    <w:lvl w:ilvl="0">
      <w:start w:val="1"/>
      <w:numFmt w:val="bullet"/>
      <w:lvlText w:val=""/>
      <w:lvlJc w:val="left"/>
      <w:pPr>
        <w:tabs>
          <w:tab w:val="num" w:pos="0"/>
        </w:tabs>
        <w:ind w:left="0"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0">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1">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2">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83">
    <w:lvl w:ilvl="0">
      <w:start w:val="1"/>
      <w:numFmt w:val="decimal"/>
      <w:lvlText w:val="%1."/>
      <w:lvlJc w:val="left"/>
      <w:pPr>
        <w:tabs>
          <w:tab w:val="num" w:pos="709"/>
        </w:tabs>
        <w:ind w:left="709" w:hanging="283"/>
      </w:pPr>
      <w:rPr/>
    </w:lvl>
    <w:lvl w:ilvl="1">
      <w:start w:val="1"/>
      <w:numFmt w:val="decimal"/>
      <w:lvlText w:val="%2."/>
      <w:lvlJc w:val="left"/>
      <w:pPr>
        <w:tabs>
          <w:tab w:val="num" w:pos="1418"/>
        </w:tabs>
        <w:ind w:left="1418" w:hanging="283"/>
      </w:pPr>
      <w:rPr/>
    </w:lvl>
    <w:lvl w:ilvl="2">
      <w:start w:val="1"/>
      <w:numFmt w:val="decimal"/>
      <w:lvlText w:val="%3."/>
      <w:lvlJc w:val="left"/>
      <w:pPr>
        <w:tabs>
          <w:tab w:val="num" w:pos="2127"/>
        </w:tabs>
        <w:ind w:left="2127" w:hanging="283"/>
      </w:pPr>
      <w:rPr/>
    </w:lvl>
    <w:lvl w:ilvl="3">
      <w:start w:val="1"/>
      <w:numFmt w:val="decimal"/>
      <w:lvlText w:val="%4."/>
      <w:lvlJc w:val="left"/>
      <w:pPr>
        <w:tabs>
          <w:tab w:val="num" w:pos="2836"/>
        </w:tabs>
        <w:ind w:left="2836" w:hanging="283"/>
      </w:pPr>
      <w:rPr/>
    </w:lvl>
    <w:lvl w:ilvl="4">
      <w:start w:val="1"/>
      <w:numFmt w:val="decimal"/>
      <w:lvlText w:val="%5."/>
      <w:lvlJc w:val="left"/>
      <w:pPr>
        <w:tabs>
          <w:tab w:val="num" w:pos="3545"/>
        </w:tabs>
        <w:ind w:left="3545" w:hanging="283"/>
      </w:pPr>
      <w:rPr/>
    </w:lvl>
    <w:lvl w:ilvl="5">
      <w:start w:val="1"/>
      <w:numFmt w:val="decimal"/>
      <w:lvlText w:val="%6."/>
      <w:lvlJc w:val="left"/>
      <w:pPr>
        <w:tabs>
          <w:tab w:val="num" w:pos="4254"/>
        </w:tabs>
        <w:ind w:left="4254" w:hanging="283"/>
      </w:pPr>
      <w:rPr/>
    </w:lvl>
    <w:lvl w:ilvl="6">
      <w:start w:val="1"/>
      <w:numFmt w:val="decimal"/>
      <w:lvlText w:val="%7."/>
      <w:lvlJc w:val="left"/>
      <w:pPr>
        <w:tabs>
          <w:tab w:val="num" w:pos="4963"/>
        </w:tabs>
        <w:ind w:left="4963" w:hanging="283"/>
      </w:pPr>
      <w:rPr/>
    </w:lvl>
    <w:lvl w:ilvl="7">
      <w:start w:val="1"/>
      <w:numFmt w:val="decimal"/>
      <w:lvlText w:val="%8."/>
      <w:lvlJc w:val="left"/>
      <w:pPr>
        <w:tabs>
          <w:tab w:val="num" w:pos="5672"/>
        </w:tabs>
        <w:ind w:left="5672" w:hanging="283"/>
      </w:pPr>
      <w:rPr/>
    </w:lvl>
    <w:lvl w:ilvl="8">
      <w:start w:val="1"/>
      <w:numFmt w:val="decimal"/>
      <w:lvlText w:val="%9."/>
      <w:lvlJc w:val="left"/>
      <w:pPr>
        <w:tabs>
          <w:tab w:val="num" w:pos="6381"/>
        </w:tabs>
        <w:ind w:left="6381" w:hanging="283"/>
      </w:pPr>
      <w:rPr/>
    </w:lvl>
  </w:abstractNum>
  <w:abstractNum w:abstractNumId="8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6">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7">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character" w:styleId="NumberingSymbols">
    <w:name w:val="Numbering Symbols"/>
    <w:qFormat/>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02924/000143774925004882/ex_781460.htm" TargetMode="External"/><Relationship Id="rId4" Type="http://schemas.openxmlformats.org/officeDocument/2006/relationships/hyperlink" Target="http://www.sec.gov/Archives/edgar/data/1702924/000165495417003384/ex3-1.htm" TargetMode="External"/><Relationship Id="rId5" Type="http://schemas.openxmlformats.org/officeDocument/2006/relationships/hyperlink" Target="https://www.sec.gov/Archives/edgar/data/1702924/000149315225028133/ex3-1.htm" TargetMode="External"/><Relationship Id="rId6" Type="http://schemas.openxmlformats.org/officeDocument/2006/relationships/hyperlink" Target="http://www.sec.gov/Archives/edgar/data/1702924/000185173423000054/ex_474186.htm" TargetMode="External"/><Relationship Id="rId7" Type="http://schemas.openxmlformats.org/officeDocument/2006/relationships/hyperlink" Target="https://www.sec.gov/ix?doc=/Archives/edgar/data/0001702924/000143774923034593/wrap20231215_8k.htm" TargetMode="External"/><Relationship Id="rId8" Type="http://schemas.openxmlformats.org/officeDocument/2006/relationships/hyperlink" Target="https://www.sec.gov/Archives/edgar/data/1702924/000149315225020900/ex3-1.htm" TargetMode="External"/><Relationship Id="rId9" Type="http://schemas.openxmlformats.org/officeDocument/2006/relationships/hyperlink" Target="https://www.sec.gov/ix?doc=/Archives/edgar/data/0001702924/000143774923019053/wrap20230629d_8k.htm" TargetMode="External"/><Relationship Id="rId10" Type="http://schemas.openxmlformats.org/officeDocument/2006/relationships/hyperlink" Target="https://www.sec.gov/ix?doc=/Archives/edgar/data/0001702924/000143774924027679/wrap20240823_8k.htm" TargetMode="External"/><Relationship Id="rId11" Type="http://schemas.openxmlformats.org/officeDocument/2006/relationships/hyperlink" Target="https://www.sec.gov/Archives/edgar/data/1702924/000164117225025536/ex3-1.htm" TargetMode="External"/><Relationship Id="rId12" Type="http://schemas.openxmlformats.org/officeDocument/2006/relationships/hyperlink" Target="http://www.sec.gov/Archives/edgar/data/1702924/000165495417005181/ex4-1.htm" TargetMode="External"/><Relationship Id="rId13" Type="http://schemas.openxmlformats.org/officeDocument/2006/relationships/hyperlink" Target="http://www.sec.gov/Archives/edgar/data/1702924/000143774923019053/ex_540253.htm" TargetMode="External"/><Relationship Id="rId14" Type="http://schemas.openxmlformats.org/officeDocument/2006/relationships/hyperlink" Target="https://www.sec.gov/Archives/edgar/data/1702924/000143774925005752/ex_784263.htm" TargetMode="External"/><Relationship Id="rId15" Type="http://schemas.openxmlformats.org/officeDocument/2006/relationships/hyperlink" Target="https://www.sec.gov/Archives/edgar/data/1702924/000164117225024642/ex4-1.htm" TargetMode="External"/><Relationship Id="rId16" Type="http://schemas.openxmlformats.org/officeDocument/2006/relationships/hyperlink" Target="https://www.sec.gov/Archives/edgar/data/1702924/000149315226005110/ex4-1.htm" TargetMode="External"/><Relationship Id="rId17" Type="http://schemas.openxmlformats.org/officeDocument/2006/relationships/hyperlink" Target="https://www.sec.gov/Archives/edgar/data/1702924/000149315226005110/ex4-2.htm" TargetMode="External"/><Relationship Id="rId18" Type="http://schemas.openxmlformats.org/officeDocument/2006/relationships/hyperlink" Target="http://www.sec.gov/Archives/edgar/data/1702924/000165495417003384/ex10-1.htm" TargetMode="External"/><Relationship Id="rId19" Type="http://schemas.openxmlformats.org/officeDocument/2006/relationships/hyperlink" Target="http://www.sec.gov/Archives/edgar/data/1702924/000165495417003384/ex10-2.htm" TargetMode="External"/><Relationship Id="rId20" Type="http://schemas.openxmlformats.org/officeDocument/2006/relationships/hyperlink" Target="http://www.sec.gov/Archives/edgar/data/1702924/000165495419007594/ex10-1.htm" TargetMode="External"/><Relationship Id="rId21" Type="http://schemas.openxmlformats.org/officeDocument/2006/relationships/hyperlink" Target="http://www.sec.gov/Archives/edgar/data/1702924/000165495420006738/ex10-1.htm" TargetMode="External"/><Relationship Id="rId22" Type="http://schemas.openxmlformats.org/officeDocument/2006/relationships/hyperlink" Target="http://www.sec.gov/Archives/edgar/data/1702924/000185173421000041/ex_302752.htm" TargetMode="External"/><Relationship Id="rId23" Type="http://schemas.openxmlformats.org/officeDocument/2006/relationships/hyperlink" Target="https://www.sec.gov/Archives/edgar/data/1702924/000164117225006244/ex10-2_4.htm" TargetMode="External"/><Relationship Id="rId24" Type="http://schemas.openxmlformats.org/officeDocument/2006/relationships/hyperlink" Target="https://www.sec.gov/ix?doc=/Archives/edgar/data/0001702924/000143774924038378/wrap20241223_8k.htm" TargetMode="External"/><Relationship Id="rId25" Type="http://schemas.openxmlformats.org/officeDocument/2006/relationships/hyperlink" Target="https://www.sec.gov/Archives/edgar/data/1702924/000149315225028133/ex10-1.htm" TargetMode="External"/><Relationship Id="rId26" Type="http://schemas.openxmlformats.org/officeDocument/2006/relationships/hyperlink" Target="http://www.sec.gov/Archives/edgar/data/1702924/000165495420010068/ex10-1.htm" TargetMode="External"/><Relationship Id="rId27" Type="http://schemas.openxmlformats.org/officeDocument/2006/relationships/hyperlink" Target="http://www.sec.gov/Archives/edgar/data/1702924/000165495421002476/ex10-1.htm" TargetMode="External"/><Relationship Id="rId28" Type="http://schemas.openxmlformats.org/officeDocument/2006/relationships/hyperlink" Target="http://www.sec.gov/Archives/edgar/data/1702924/000185173422000050/ex_327867.htm" TargetMode="External"/><Relationship Id="rId29" Type="http://schemas.openxmlformats.org/officeDocument/2006/relationships/hyperlink" Target="http://www.sec.gov/Archives/edgar/data/1702924/000185173422000050/ex_327868.htm" TargetMode="External"/><Relationship Id="rId30" Type="http://schemas.openxmlformats.org/officeDocument/2006/relationships/hyperlink" Target="http://www.sec.gov/Archives/edgar/data/1702924/000185173422000203/ex_359936.htm" TargetMode="External"/><Relationship Id="rId31" Type="http://schemas.openxmlformats.org/officeDocument/2006/relationships/hyperlink" Target="http://www.sec.gov/Archives/edgar/data/1702924/000185173422000203/ex_359937.htm" TargetMode="External"/><Relationship Id="rId32" Type="http://schemas.openxmlformats.org/officeDocument/2006/relationships/hyperlink" Target="http://www.sec.gov/Archives/edgar/data/1702924/000143774924001738/ex_616951.htm" TargetMode="External"/><Relationship Id="rId33" Type="http://schemas.openxmlformats.org/officeDocument/2006/relationships/hyperlink" Target="http://www.sec.gov/Archives/edgar/data/1702924/000185173422000705/ex_451370.htm" TargetMode="External"/><Relationship Id="rId34" Type="http://schemas.openxmlformats.org/officeDocument/2006/relationships/hyperlink" Target="http://www.sec.gov/Archives/edgar/data/1702924/000143774923010660/ex_502845.htm" TargetMode="External"/><Relationship Id="rId35" Type="http://schemas.openxmlformats.org/officeDocument/2006/relationships/hyperlink" Target="http://www.sec.gov/Archives/edgar/data/1702924/000143774923013651/ex_517312.htm" TargetMode="External"/><Relationship Id="rId36" Type="http://schemas.openxmlformats.org/officeDocument/2006/relationships/hyperlink" Target="http://www.sec.gov/Archives/edgar/data/1702924/000143774923019053/ex_540255.htm" TargetMode="External"/><Relationship Id="rId37" Type="http://schemas.openxmlformats.org/officeDocument/2006/relationships/hyperlink" Target="http://www.sec.gov/Archives/edgar/data/1702924/000143774923019053/ex_540252.htm" TargetMode="External"/><Relationship Id="rId38" Type="http://schemas.openxmlformats.org/officeDocument/2006/relationships/hyperlink" Target="http://www.sec.gov/Archives/edgar/data/1702924/000143774923024343/ex_562629.htm" TargetMode="External"/><Relationship Id="rId39" Type="http://schemas.openxmlformats.org/officeDocument/2006/relationships/hyperlink" Target="http://www.sec.gov/Archives/edgar/data/1702924/000143774923028307/ex_581194.htm" TargetMode="External"/><Relationship Id="rId40" Type="http://schemas.openxmlformats.org/officeDocument/2006/relationships/hyperlink" Target="http://www.sec.gov/Archives/edgar/data/1702924/000143774924001738/ex_616950.htm" TargetMode="External"/><Relationship Id="rId41" Type="http://schemas.openxmlformats.org/officeDocument/2006/relationships/hyperlink" Target="http://www.sec.gov/Archives/edgar/data/1702924/000143774923035589/ex_610987.htm" TargetMode="External"/><Relationship Id="rId42" Type="http://schemas.openxmlformats.org/officeDocument/2006/relationships/hyperlink" Target="http://www.sec.gov/Archives/edgar/data/1702924/000143774924000746/ex_612555.htm" TargetMode="External"/><Relationship Id="rId43" Type="http://schemas.openxmlformats.org/officeDocument/2006/relationships/hyperlink" Target="http://www.sec.gov/Archives/edgar/data/1702924/000143774924027679/ex_717920.htm" TargetMode="External"/><Relationship Id="rId44" Type="http://schemas.openxmlformats.org/officeDocument/2006/relationships/hyperlink" Target="https://www.sec.gov/Archives/edgar/data/1702924/000143774925005752/ex_784264.htm" TargetMode="External"/><Relationship Id="rId45" Type="http://schemas.openxmlformats.org/officeDocument/2006/relationships/hyperlink" Target="https://www.sec.gov/Archives/edgar/data/1702924/000143774925005752/ex_784265.htm" TargetMode="External"/><Relationship Id="rId46" Type="http://schemas.openxmlformats.org/officeDocument/2006/relationships/hyperlink" Target="https://www.sec.gov/Archives/edgar/data/1702924/000164117225018048/ex10-1.htm" TargetMode="External"/><Relationship Id="rId47" Type="http://schemas.openxmlformats.org/officeDocument/2006/relationships/hyperlink" Target="https://www.sec.gov/Archives/edgar/data/1702924/000164117225018048/ex10-2.htm" TargetMode="External"/><Relationship Id="rId48" Type="http://schemas.openxmlformats.org/officeDocument/2006/relationships/hyperlink" Target="https://www.sec.gov/Archives/edgar/data/1702924/000164117225024642/ex10-1.htm" TargetMode="External"/><Relationship Id="rId49" Type="http://schemas.openxmlformats.org/officeDocument/2006/relationships/hyperlink" Target="https://www.sec.gov/Archives/edgar/data/1702924/000164117225024642/ex10-2.htm" TargetMode="External"/><Relationship Id="rId50" Type="http://schemas.openxmlformats.org/officeDocument/2006/relationships/hyperlink" Target="https://www.sec.gov/Archives/edgar/data/1702924/000149315225019686/ex10-1.htm" TargetMode="External"/><Relationship Id="rId51" Type="http://schemas.openxmlformats.org/officeDocument/2006/relationships/hyperlink" Target="https://www.sec.gov/Archives/edgar/data/1702924/000149315225024636/ex4-12.htm" TargetMode="External"/><Relationship Id="rId52" Type="http://schemas.openxmlformats.org/officeDocument/2006/relationships/hyperlink" Target="https://www.sec.gov/Archives/edgar/data/1702924/000149315225024636/ex4-13.htm" TargetMode="External"/><Relationship Id="rId53" Type="http://schemas.openxmlformats.org/officeDocument/2006/relationships/hyperlink" Target="https://www.sec.gov/Archives/edgar/data/1702924/000149315226005110/ex10-1.htm" TargetMode="External"/><Relationship Id="rId54" Type="http://schemas.openxmlformats.org/officeDocument/2006/relationships/hyperlink" Target="https://www.sec.gov/Archives/edgar/data/1702924/000149315226005110/ex10-2.htm" TargetMode="External"/><Relationship Id="rId55" Type="http://schemas.openxmlformats.org/officeDocument/2006/relationships/hyperlink" Target="http://www.sec.gov/Archives/edgar/data/1702924/000165495421002358/ex14.htm" TargetMode="External"/><Relationship Id="rId56" Type="http://schemas.openxmlformats.org/officeDocument/2006/relationships/hyperlink" Target="https://www.sec.gov/Archives/edgar/data/1702924/000164117225001416/ex19-1.htm" TargetMode="External"/><Relationship Id="rId57" Type="http://schemas.openxmlformats.org/officeDocument/2006/relationships/hyperlink" Target="https://www.sec.gov/ix?doc=/Archives/edgar/data/0001702924/000143774924027942/wrap20231231_10k.htm" TargetMode="External"/><Relationship Id="rId58" Type="http://schemas.openxmlformats.org/officeDocument/2006/relationships/numbering" Target="numbering.xml"/><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73954</Words>
  <Characters>410716</Characters>
  <CharactersWithSpaces>488107</CharactersWithSpaces>
  <Paragraphs>8351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