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 SECURITIES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10-K/A</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(Amendment No. 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ANNUAL REPORT PURSUANT TO SECTION 13 OR 15(d) OF THE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000-55838</w:t>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26"/>
          <w:szCs w:val="26"/>
          <w:b w:val="1"/>
          <w:bCs w:val="1"/>
          <w:color w:val="auto"/>
        </w:rPr>
        <w:t>Wrap Technologies,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88"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2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98-0551945</w:t>
            </w:r>
          </w:p>
        </w:tc>
        <w:tc>
          <w:tcPr>
            <w:tcW w:w="1000" w:type="dxa"/>
            <w:vAlign w:val="bottom"/>
          </w:tcPr>
          <w:p>
            <w:pPr>
              <w:spacing w:after="0"/>
              <w:rPr>
                <w:sz w:val="17"/>
                <w:szCs w:val="17"/>
                <w:color w:val="auto"/>
              </w:rPr>
            </w:pPr>
          </w:p>
        </w:tc>
      </w:tr>
      <w:tr>
        <w:trPr>
          <w:trHeight w:val="234"/>
        </w:trPr>
        <w:tc>
          <w:tcPr>
            <w:tcW w:w="5240" w:type="dxa"/>
            <w:vAlign w:val="bottom"/>
            <w:gridSpan w:val="3"/>
          </w:tcPr>
          <w:p>
            <w:pPr>
              <w:jc w:val="center"/>
              <w:ind w:right="104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900" w:type="dxa"/>
            <w:vAlign w:val="bottom"/>
            <w:gridSpan w:val="3"/>
          </w:tcPr>
          <w:p>
            <w:pPr>
              <w:jc w:val="center"/>
              <w:ind w:left="952"/>
              <w:spacing w:after="0"/>
              <w:rPr>
                <w:sz w:val="20"/>
                <w:szCs w:val="20"/>
                <w:color w:val="auto"/>
              </w:rPr>
            </w:pPr>
            <w:r>
              <w:rPr>
                <w:rFonts w:ascii="Arial" w:cs="Arial" w:eastAsia="Arial" w:hAnsi="Arial"/>
                <w:sz w:val="18"/>
                <w:szCs w:val="18"/>
                <w:color w:val="auto"/>
                <w:w w:val="91"/>
              </w:rPr>
              <w:t>(I.R.S. Employer Identification Number)</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1817 W 4th Street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Tempe, Arizona 85281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(800) 583-2652</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 Yes [  ] No [X]</w:t>
      </w:r>
    </w:p>
    <w:p>
      <w:pPr>
        <w:spacing w:after="0" w:line="248"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 ] No</w:t>
      </w:r>
    </w:p>
    <w:p>
      <w:pPr>
        <w:spacing w:after="0" w:line="194"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“accelerated filer,” “large accelerated filer,” “smaller reporting company,” and “emerging growth company” in Rule 12b-2 of the Exchange Act.</w:t>
      </w:r>
    </w:p>
    <w:p>
      <w:pPr>
        <w:sectPr>
          <w:pgSz w:w="11900" w:h="16895" w:orient="portrait"/>
          <w:cols w:equalWidth="0" w:num="1">
            <w:col w:w="11240"/>
          </w:cols>
          <w:pgMar w:left="320" w:top="922" w:right="339" w:bottom="0" w:gutter="0" w:footer="0" w:header="0"/>
        </w:sectPr>
      </w:pPr>
    </w:p>
    <w:p>
      <w:pPr>
        <w:spacing w:after="0" w:line="194" w:lineRule="exact"/>
        <w:rPr>
          <w:sz w:val="24"/>
          <w:szCs w:val="24"/>
          <w:color w:val="auto"/>
        </w:rPr>
      </w:pPr>
    </w:p>
    <w:p>
      <w:pPr>
        <w:jc w:val="both"/>
        <w:spacing w:after="0" w:line="369" w:lineRule="auto"/>
        <w:rPr>
          <w:sz w:val="20"/>
          <w:szCs w:val="20"/>
          <w:color w:val="auto"/>
        </w:rPr>
      </w:pPr>
      <w:r>
        <w:rPr>
          <w:rFonts w:ascii="Arial" w:cs="Arial" w:eastAsia="Arial" w:hAnsi="Arial"/>
          <w:sz w:val="15"/>
          <w:szCs w:val="15"/>
          <w:color w:val="auto"/>
        </w:rPr>
        <w:t>Large Accelerated Filer [ Non-accelerated filer [X]</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200" w:lineRule="exact"/>
        <w:rPr>
          <w:sz w:val="24"/>
          <w:szCs w:val="24"/>
          <w:color w:val="auto"/>
        </w:rPr>
      </w:pPr>
    </w:p>
    <w:p>
      <w:pPr>
        <w:sectPr>
          <w:pgSz w:w="11900" w:h="16895" w:orient="portrait"/>
          <w:cols w:equalWidth="0" w:num="3">
            <w:col w:w="1780" w:space="120"/>
            <w:col w:w="2680" w:space="720"/>
            <w:col w:w="5940"/>
          </w:cols>
          <w:pgMar w:left="320" w:top="922" w:right="339" w:bottom="0" w:gutter="0" w:footer="0" w:header="0"/>
          <w:type w:val="continuous"/>
        </w:sectPr>
      </w:pPr>
    </w:p>
    <w:p>
      <w:pPr>
        <w:spacing w:after="0" w:line="42"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86"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225"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on June 30, 2020 (the last business day of the registrant’s most recently completed second fiscal quarter) was $196,229,092 based on the closing price as reported on the Nasdaq Capital Market (“</w:t>
      </w:r>
      <w:r>
        <w:rPr>
          <w:rFonts w:ascii="Arial" w:cs="Arial" w:eastAsia="Arial" w:hAnsi="Arial"/>
          <w:sz w:val="18"/>
          <w:szCs w:val="18"/>
          <w:i w:val="1"/>
          <w:iCs w:val="1"/>
          <w:color w:val="auto"/>
        </w:rPr>
        <w:t>Nasdaq</w:t>
      </w:r>
      <w:r>
        <w:rPr>
          <w:rFonts w:ascii="Arial" w:cs="Arial" w:eastAsia="Arial" w:hAnsi="Arial"/>
          <w:sz w:val="18"/>
          <w:szCs w:val="18"/>
          <w:color w:val="auto"/>
        </w:rPr>
        <w:t>”). Shares of the registrant’s common stock held by each officer and director and each person known to the registrant to own 10% or more of the outstanding voting power of the registrant have been excluded in that such persons may be deemed to be affiliates. This determination of affiliate status is not a determination for other purposes.</w:t>
      </w:r>
    </w:p>
    <w:p>
      <w:pPr>
        <w:spacing w:after="0" w:line="201"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37,644,556 shares of common stock, par value $0.0001 per share, as of March 3, 2021.</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95" w:orient="portrait"/>
          <w:cols w:equalWidth="0" w:num="1">
            <w:col w:w="11240"/>
          </w:cols>
          <w:pgMar w:left="320" w:top="922" w:right="339" w:bottom="0" w:gutter="0" w:footer="0" w:header="0"/>
          <w:type w:val="continuous"/>
        </w:sectPr>
      </w:pPr>
    </w:p>
    <w:bookmarkStart w:id="1" w:name="page2"/>
    <w:bookmarkEnd w:id="1"/>
    <w:p>
      <w:pPr>
        <w:jc w:val="both"/>
        <w:spacing w:after="0" w:line="259" w:lineRule="auto"/>
        <w:rPr>
          <w:sz w:val="20"/>
          <w:szCs w:val="20"/>
          <w:color w:val="auto"/>
        </w:rPr>
      </w:pPr>
      <w:r>
        <w:rPr>
          <w:rFonts w:ascii="Arial" w:cs="Arial" w:eastAsia="Arial" w:hAnsi="Arial"/>
          <w:sz w:val="18"/>
          <w:szCs w:val="18"/>
          <w:color w:val="auto"/>
        </w:rPr>
        <w:t>The registrant incorporates information required by Part III (Items 10, 11, 12, 13, and 14) of this report by reference to portions of the registrant’s definitive proxy statement with respect to its 2021 Annual Meeting of Stockholders to be filed with the Securities and Exchange Commission within 120 days after the close of the fiscal year ended December 31, 2020, pursuant to Regulation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Wrap Technologies, Inc. (the “</w:t>
      </w:r>
      <w:r>
        <w:rPr>
          <w:rFonts w:ascii="Arial" w:cs="Arial" w:eastAsia="Arial" w:hAnsi="Arial"/>
          <w:sz w:val="16"/>
          <w:szCs w:val="16"/>
          <w:i w:val="1"/>
          <w:iCs w:val="1"/>
          <w:color w:val="auto"/>
        </w:rPr>
        <w:t>Company</w:t>
      </w:r>
      <w:r>
        <w:rPr>
          <w:rFonts w:ascii="Arial" w:cs="Arial" w:eastAsia="Arial" w:hAnsi="Arial"/>
          <w:sz w:val="16"/>
          <w:szCs w:val="16"/>
          <w:color w:val="auto"/>
        </w:rPr>
        <w:t>”) is filing this Amendment No. 1 on Form 10-K/A (this “</w:t>
      </w:r>
      <w:r>
        <w:rPr>
          <w:rFonts w:ascii="Arial" w:cs="Arial" w:eastAsia="Arial" w:hAnsi="Arial"/>
          <w:sz w:val="16"/>
          <w:szCs w:val="16"/>
          <w:i w:val="1"/>
          <w:iCs w:val="1"/>
          <w:color w:val="auto"/>
        </w:rPr>
        <w:t>Amendment No. 1</w:t>
      </w:r>
      <w:r>
        <w:rPr>
          <w:rFonts w:ascii="Arial" w:cs="Arial" w:eastAsia="Arial" w:hAnsi="Arial"/>
          <w:sz w:val="16"/>
          <w:szCs w:val="16"/>
          <w:color w:val="auto"/>
        </w:rPr>
        <w:t>”) to its Annual Report on Form 10-K for the fiscal year ended December 31, 2020, originally filed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on March 4, 2021 (the “</w:t>
      </w:r>
      <w:r>
        <w:rPr>
          <w:rFonts w:ascii="Arial" w:cs="Arial" w:eastAsia="Arial" w:hAnsi="Arial"/>
          <w:sz w:val="16"/>
          <w:szCs w:val="16"/>
          <w:i w:val="1"/>
          <w:iCs w:val="1"/>
          <w:color w:val="auto"/>
        </w:rPr>
        <w:t>Original</w:t>
      </w:r>
      <w:r>
        <w:rPr>
          <w:rFonts w:ascii="Arial" w:cs="Arial" w:eastAsia="Arial" w:hAnsi="Arial"/>
          <w:sz w:val="16"/>
          <w:szCs w:val="16"/>
          <w:color w:val="auto"/>
        </w:rPr>
        <w:t xml:space="preserve"> </w:t>
      </w:r>
      <w:r>
        <w:rPr>
          <w:rFonts w:ascii="Arial" w:cs="Arial" w:eastAsia="Arial" w:hAnsi="Arial"/>
          <w:sz w:val="16"/>
          <w:szCs w:val="16"/>
          <w:i w:val="1"/>
          <w:iCs w:val="1"/>
          <w:color w:val="auto"/>
        </w:rPr>
        <w:t>Form 10-K</w:t>
      </w:r>
      <w:r>
        <w:rPr>
          <w:rFonts w:ascii="Arial" w:cs="Arial" w:eastAsia="Arial" w:hAnsi="Arial"/>
          <w:sz w:val="16"/>
          <w:szCs w:val="16"/>
          <w:color w:val="auto"/>
        </w:rPr>
        <w:t>”) to amend Part II, Item 9A - Controls and Procedures, solely to provide management’s report on internal control over financial reporting which</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the Company’s internal control over financial reporting was effective as of December 31, 2020.</w:t>
      </w:r>
    </w:p>
    <w:p>
      <w:pPr>
        <w:spacing w:after="0" w:line="260"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In accordance with Rule 12b-15 under the Exchange Act, the Company is including in this Amendment No. 1 an amended Part IV, Item 15 to include currently dated certifications pursuant to Section 302 of the Sarbanes-Oxley Act of 2002 from the Company’s principal executive officer and principal financial officer. Because no financial statements have been included in this Amendment No. 1, paragraph 3 of the certifications has been omitted. Similarly, we are not including the certifications under Section 906 of the Sarbanes-Oxley Act of 2002 as no financial statements are being filed with this Amendment No. 1.</w:t>
      </w:r>
    </w:p>
    <w:p>
      <w:pPr>
        <w:spacing w:after="0" w:line="16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Except as described above, this Amendment No. 1 does not amend, modify or update the information in, or exhibits to, the Original Form 10-K. Furthermore, this Amendment No. 1 does not change any previously reported financial results nor does it reflect events occurring after the filing of the Original Form 10-K. This Amendment No. 1 should be read in conjunction with the Original Form 10-K and with the Company’s other filings made with the SEC subsequent to the filing of the Original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3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We are required to maintain disclosure controls and procedures designed to ensure that material information related to us, is recorded, processed, summarized and reported within the time periods specified in the SEC rules and forms.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Our disclosure controls and procedures are also designed to ensure that information required to be disclosed in our Exchange Act reports is accumulated and communicated to management, including our interim Chief Executive Officer and Chief Financial Officer,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Our management, with the participation of our interim Chief Executive Officer and Chief Financial Officer, evaluated the effectiveness of our disclosure controls and procedures as of December 31, 2020 and, based on this evaluation, our interim Chief Executive Officer and Chief Financial Officer concluded that, as of the end of the period covered by this report, our disclosure controls and procedures were effective at the reasonable assurance level.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of GAAP.</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for the Company. With our participation, an evaluation of the effectiveness of our internal control over financial reporting was conducted as of December 31, 2020, based on the framework and criteria established in Internal Control Integrated Framework (2013) issued by the Committee of Sponsoring Organizations of the Treadway Commission. Based on this evaluation, our interim Chief Executive Officer and Chief Financial Officer concluded that our internal control over financial reporting was effective as of December 31,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during the fiscal quarter ended December 31, 2020,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 w:name="page5"/>
    <w:bookmarkEnd w:id="4"/>
    <w:p>
      <w:pPr>
        <w:ind w:left="52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31"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List of documents filed as a part of this report:</w:t>
      </w:r>
    </w:p>
    <w:p>
      <w:pPr>
        <w:spacing w:after="0" w:line="225" w:lineRule="exact"/>
        <w:rPr>
          <w:rFonts w:ascii="Arial" w:cs="Arial" w:eastAsia="Arial" w:hAnsi="Arial"/>
          <w:sz w:val="18"/>
          <w:szCs w:val="18"/>
          <w:color w:val="auto"/>
        </w:rPr>
      </w:pPr>
    </w:p>
    <w:p>
      <w:pPr>
        <w:ind w:left="560" w:hanging="390"/>
        <w:spacing w:after="0"/>
        <w:tabs>
          <w:tab w:leader="none" w:pos="560" w:val="left"/>
        </w:tabs>
        <w:numPr>
          <w:ilvl w:val="1"/>
          <w:numId w:val="1"/>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15" w:lineRule="exact"/>
        <w:rPr>
          <w:sz w:val="20"/>
          <w:szCs w:val="20"/>
          <w:color w:val="auto"/>
        </w:rPr>
      </w:pPr>
    </w:p>
    <w:p>
      <w:pPr>
        <w:ind w:left="820" w:right="20"/>
        <w:spacing w:after="0" w:line="260" w:lineRule="auto"/>
        <w:rPr>
          <w:sz w:val="20"/>
          <w:szCs w:val="20"/>
          <w:color w:val="auto"/>
        </w:rPr>
      </w:pPr>
      <w:r>
        <w:rPr>
          <w:rFonts w:ascii="Arial" w:cs="Arial" w:eastAsia="Arial" w:hAnsi="Arial"/>
          <w:sz w:val="18"/>
          <w:szCs w:val="18"/>
          <w:color w:val="auto"/>
        </w:rPr>
        <w:t>The exhibits listed on the accompanying index to exhibits immediately following the financial statements are filed as part of, or hereby incorporated by reference into,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400" w:type="dxa"/>
            <w:vAlign w:val="bottom"/>
          </w:tcPr>
          <w:p>
            <w:pPr>
              <w:ind w:left="48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40" w:type="dxa"/>
            <w:vAlign w:val="bottom"/>
            <w:shd w:val="clear" w:color="auto" w:fill="CCEEFF"/>
          </w:tcPr>
          <w:p>
            <w:pPr>
              <w:jc w:val="center"/>
              <w:ind w:left="12"/>
              <w:spacing w:after="0"/>
              <w:rPr>
                <w:rFonts w:ascii="Arial" w:cs="Arial" w:eastAsia="Arial" w:hAnsi="Arial"/>
                <w:sz w:val="18"/>
                <w:szCs w:val="18"/>
                <w:u w:val="single" w:color="auto"/>
                <w:color w:val="0000EE"/>
                <w:w w:val="87"/>
              </w:rPr>
            </w:pPr>
            <w:hyperlink r:id="rId16">
              <w:r>
                <w:rPr>
                  <w:rFonts w:ascii="Arial" w:cs="Arial" w:eastAsia="Arial" w:hAnsi="Arial"/>
                  <w:sz w:val="18"/>
                  <w:szCs w:val="18"/>
                  <w:u w:val="single" w:color="auto"/>
                  <w:color w:val="0000EE"/>
                  <w:w w:val="87"/>
                </w:rPr>
                <w:t>2.1</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Stock Purchase Agreement, dated March 22, 2017, by and between Wrap Technologies, LLC, Petro River Oil Corp., and Megawest Energy</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Montana Corp. Incorporated by reference to Exhibit 2.1 to the Registration Statement on Form S-1, filed on April 17, 2017.</w:t>
            </w:r>
          </w:p>
        </w:tc>
        <w:tc>
          <w:tcPr>
            <w:tcW w:w="0" w:type="dxa"/>
            <w:vAlign w:val="bottom"/>
          </w:tcPr>
          <w:p>
            <w:pPr>
              <w:spacing w:after="0"/>
              <w:rPr>
                <w:sz w:val="1"/>
                <w:szCs w:val="1"/>
                <w:color w:val="auto"/>
              </w:rPr>
            </w:pPr>
          </w:p>
        </w:tc>
      </w:tr>
      <w:tr>
        <w:trPr>
          <w:trHeight w:val="208"/>
        </w:trPr>
        <w:tc>
          <w:tcPr>
            <w:tcW w:w="840" w:type="dxa"/>
            <w:vAlign w:val="bottom"/>
            <w:vMerge w:val="restart"/>
          </w:tcPr>
          <w:p>
            <w:pPr>
              <w:jc w:val="center"/>
              <w:ind w:left="12"/>
              <w:spacing w:after="0"/>
              <w:rPr>
                <w:rFonts w:ascii="Arial" w:cs="Arial" w:eastAsia="Arial" w:hAnsi="Arial"/>
                <w:sz w:val="18"/>
                <w:szCs w:val="18"/>
                <w:u w:val="single" w:color="auto"/>
                <w:color w:val="0000EE"/>
                <w:w w:val="87"/>
              </w:rPr>
            </w:pPr>
            <w:hyperlink r:id="rId17">
              <w:r>
                <w:rPr>
                  <w:rFonts w:ascii="Arial" w:cs="Arial" w:eastAsia="Arial" w:hAnsi="Arial"/>
                  <w:sz w:val="18"/>
                  <w:szCs w:val="18"/>
                  <w:u w:val="single" w:color="auto"/>
                  <w:color w:val="0000EE"/>
                  <w:w w:val="87"/>
                </w:rPr>
                <w:t>2.2</w:t>
              </w:r>
            </w:hyperlink>
          </w:p>
        </w:tc>
        <w:tc>
          <w:tcPr>
            <w:tcW w:w="10400" w:type="dxa"/>
            <w:vAlign w:val="bottom"/>
          </w:tcPr>
          <w:p>
            <w:pPr>
              <w:ind w:left="80"/>
              <w:spacing w:after="0"/>
              <w:rPr>
                <w:sz w:val="20"/>
                <w:szCs w:val="20"/>
                <w:color w:val="auto"/>
              </w:rPr>
            </w:pPr>
            <w:r>
              <w:rPr>
                <w:rFonts w:ascii="Arial" w:cs="Arial" w:eastAsia="Arial" w:hAnsi="Arial"/>
                <w:sz w:val="18"/>
                <w:szCs w:val="18"/>
                <w:color w:val="auto"/>
                <w:w w:val="89"/>
              </w:rPr>
              <w:t>Merger Agreement between Wrap Technologies, LLC and Megawest Energy Montana Corp., dated March 30, 2017. Incorporated by reference to</w:t>
            </w:r>
          </w:p>
        </w:tc>
        <w:tc>
          <w:tcPr>
            <w:tcW w:w="0" w:type="dxa"/>
            <w:vAlign w:val="bottom"/>
          </w:tcPr>
          <w:p>
            <w:pPr>
              <w:spacing w:after="0"/>
              <w:rPr>
                <w:sz w:val="1"/>
                <w:szCs w:val="1"/>
                <w:color w:val="auto"/>
              </w:rPr>
            </w:pPr>
          </w:p>
        </w:tc>
      </w:tr>
      <w:tr>
        <w:trPr>
          <w:trHeight w:val="114"/>
        </w:trPr>
        <w:tc>
          <w:tcPr>
            <w:tcW w:w="840" w:type="dxa"/>
            <w:vAlign w:val="bottom"/>
            <w:vMerge w:val="continue"/>
          </w:tcPr>
          <w:p>
            <w:pPr>
              <w:spacing w:after="0"/>
              <w:rPr>
                <w:sz w:val="9"/>
                <w:szCs w:val="9"/>
                <w:color w:val="auto"/>
              </w:rPr>
            </w:pPr>
          </w:p>
        </w:tc>
        <w:tc>
          <w:tcPr>
            <w:tcW w:w="10400" w:type="dxa"/>
            <w:vAlign w:val="bottom"/>
            <w:vMerge w:val="restart"/>
          </w:tcPr>
          <w:p>
            <w:pPr>
              <w:ind w:left="80"/>
              <w:spacing w:after="0"/>
              <w:rPr>
                <w:sz w:val="20"/>
                <w:szCs w:val="20"/>
                <w:color w:val="auto"/>
              </w:rPr>
            </w:pPr>
            <w:r>
              <w:rPr>
                <w:rFonts w:ascii="Arial" w:cs="Arial" w:eastAsia="Arial" w:hAnsi="Arial"/>
                <w:sz w:val="18"/>
                <w:szCs w:val="18"/>
                <w:color w:val="auto"/>
              </w:rPr>
              <w:t>Exhibit 2.2 to the Registration Statement on Form S-1, filed on April 17, 2017.</w:t>
            </w:r>
          </w:p>
        </w:tc>
        <w:tc>
          <w:tcPr>
            <w:tcW w:w="0" w:type="dxa"/>
            <w:vAlign w:val="bottom"/>
          </w:tcPr>
          <w:p>
            <w:pPr>
              <w:spacing w:after="0"/>
              <w:rPr>
                <w:sz w:val="1"/>
                <w:szCs w:val="1"/>
                <w:color w:val="auto"/>
              </w:rPr>
            </w:pPr>
          </w:p>
        </w:tc>
      </w:tr>
      <w:tr>
        <w:trPr>
          <w:trHeight w:val="109"/>
        </w:trPr>
        <w:tc>
          <w:tcPr>
            <w:tcW w:w="840" w:type="dxa"/>
            <w:vAlign w:val="bottom"/>
          </w:tcPr>
          <w:p>
            <w:pPr>
              <w:spacing w:after="0"/>
              <w:rPr>
                <w:sz w:val="9"/>
                <w:szCs w:val="9"/>
                <w:color w:val="auto"/>
              </w:rPr>
            </w:pPr>
          </w:p>
        </w:tc>
        <w:tc>
          <w:tcPr>
            <w:tcW w:w="10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40" w:type="dxa"/>
            <w:vAlign w:val="bottom"/>
            <w:vMerge w:val="restart"/>
            <w:shd w:val="clear" w:color="auto" w:fill="CCEEFF"/>
          </w:tcPr>
          <w:p>
            <w:pPr>
              <w:jc w:val="center"/>
              <w:ind w:left="12"/>
              <w:spacing w:after="0"/>
              <w:rPr>
                <w:rFonts w:ascii="Arial" w:cs="Arial" w:eastAsia="Arial" w:hAnsi="Arial"/>
                <w:sz w:val="18"/>
                <w:szCs w:val="18"/>
                <w:u w:val="single" w:color="auto"/>
                <w:color w:val="0000EE"/>
                <w:w w:val="87"/>
              </w:rPr>
            </w:pPr>
            <w:hyperlink r:id="rId18">
              <w:r>
                <w:rPr>
                  <w:rFonts w:ascii="Arial" w:cs="Arial" w:eastAsia="Arial" w:hAnsi="Arial"/>
                  <w:sz w:val="18"/>
                  <w:szCs w:val="18"/>
                  <w:u w:val="single" w:color="auto"/>
                  <w:color w:val="0000EE"/>
                  <w:w w:val="87"/>
                </w:rPr>
                <w:t>3.1</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Amended and Restated Certificate of Incorporation of the Registrant. Incorporated by reference to Exhibit 3.1 to the Registration Statement on</w:t>
            </w:r>
          </w:p>
        </w:tc>
        <w:tc>
          <w:tcPr>
            <w:tcW w:w="0" w:type="dxa"/>
            <w:vAlign w:val="bottom"/>
          </w:tcPr>
          <w:p>
            <w:pPr>
              <w:spacing w:after="0"/>
              <w:rPr>
                <w:sz w:val="1"/>
                <w:szCs w:val="1"/>
                <w:color w:val="auto"/>
              </w:rPr>
            </w:pPr>
          </w:p>
        </w:tc>
      </w:tr>
      <w:tr>
        <w:trPr>
          <w:trHeight w:val="114"/>
        </w:trPr>
        <w:tc>
          <w:tcPr>
            <w:tcW w:w="840" w:type="dxa"/>
            <w:vAlign w:val="bottom"/>
            <w:vMerge w:val="continue"/>
            <w:shd w:val="clear" w:color="auto" w:fill="CCEEFF"/>
          </w:tcPr>
          <w:p>
            <w:pPr>
              <w:spacing w:after="0"/>
              <w:rPr>
                <w:sz w:val="9"/>
                <w:szCs w:val="9"/>
                <w:color w:val="auto"/>
              </w:rPr>
            </w:pPr>
          </w:p>
        </w:tc>
        <w:tc>
          <w:tcPr>
            <w:tcW w:w="104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Form S-1, filed on April 17, 2017.</w:t>
            </w:r>
          </w:p>
        </w:tc>
        <w:tc>
          <w:tcPr>
            <w:tcW w:w="0" w:type="dxa"/>
            <w:vAlign w:val="bottom"/>
          </w:tcPr>
          <w:p>
            <w:pPr>
              <w:spacing w:after="0"/>
              <w:rPr>
                <w:sz w:val="1"/>
                <w:szCs w:val="1"/>
                <w:color w:val="auto"/>
              </w:rPr>
            </w:pPr>
          </w:p>
        </w:tc>
      </w:tr>
      <w:tr>
        <w:trPr>
          <w:trHeight w:val="110"/>
        </w:trPr>
        <w:tc>
          <w:tcPr>
            <w:tcW w:w="840" w:type="dxa"/>
            <w:vAlign w:val="bottom"/>
            <w:shd w:val="clear" w:color="auto" w:fill="CCEEFF"/>
          </w:tcPr>
          <w:p>
            <w:pPr>
              <w:spacing w:after="0"/>
              <w:rPr>
                <w:sz w:val="9"/>
                <w:szCs w:val="9"/>
                <w:color w:val="auto"/>
              </w:rPr>
            </w:pPr>
          </w:p>
        </w:tc>
        <w:tc>
          <w:tcPr>
            <w:tcW w:w="104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12"/>
              <w:spacing w:after="0"/>
              <w:rPr>
                <w:rFonts w:ascii="Arial" w:cs="Arial" w:eastAsia="Arial" w:hAnsi="Arial"/>
                <w:sz w:val="18"/>
                <w:szCs w:val="18"/>
                <w:u w:val="single" w:color="auto"/>
                <w:color w:val="0000EE"/>
                <w:w w:val="87"/>
              </w:rPr>
            </w:pPr>
            <w:hyperlink r:id="rId19">
              <w:r>
                <w:rPr>
                  <w:rFonts w:ascii="Arial" w:cs="Arial" w:eastAsia="Arial" w:hAnsi="Arial"/>
                  <w:sz w:val="18"/>
                  <w:szCs w:val="18"/>
                  <w:u w:val="single" w:color="auto"/>
                  <w:color w:val="0000EE"/>
                  <w:w w:val="87"/>
                </w:rPr>
                <w:t>3.2</w:t>
              </w:r>
            </w:hyperlink>
          </w:p>
        </w:tc>
        <w:tc>
          <w:tcPr>
            <w:tcW w:w="10400" w:type="dxa"/>
            <w:vAlign w:val="bottom"/>
          </w:tcPr>
          <w:p>
            <w:pPr>
              <w:ind w:left="80"/>
              <w:spacing w:after="0"/>
              <w:rPr>
                <w:sz w:val="20"/>
                <w:szCs w:val="20"/>
                <w:color w:val="auto"/>
              </w:rPr>
            </w:pPr>
            <w:r>
              <w:rPr>
                <w:rFonts w:ascii="Arial" w:cs="Arial" w:eastAsia="Arial" w:hAnsi="Arial"/>
                <w:sz w:val="18"/>
                <w:szCs w:val="18"/>
                <w:color w:val="auto"/>
                <w:w w:val="97"/>
              </w:rPr>
              <w:t>Bylaws of the Registrant. Incorporated by reference to Exhibit 3.2 to the Registration Statement on Form S-1, filed on April 17, 2017.</w:t>
            </w:r>
          </w:p>
        </w:tc>
        <w:tc>
          <w:tcPr>
            <w:tcW w:w="0" w:type="dxa"/>
            <w:vAlign w:val="bottom"/>
          </w:tcPr>
          <w:p>
            <w:pPr>
              <w:spacing w:after="0"/>
              <w:rPr>
                <w:sz w:val="1"/>
                <w:szCs w:val="1"/>
                <w:color w:val="auto"/>
              </w:rPr>
            </w:pPr>
          </w:p>
        </w:tc>
      </w:tr>
      <w:tr>
        <w:trPr>
          <w:trHeight w:val="208"/>
        </w:trPr>
        <w:tc>
          <w:tcPr>
            <w:tcW w:w="840" w:type="dxa"/>
            <w:vAlign w:val="bottom"/>
            <w:vMerge w:val="restart"/>
            <w:shd w:val="clear" w:color="auto" w:fill="CCEEFF"/>
          </w:tcPr>
          <w:p>
            <w:pPr>
              <w:jc w:val="center"/>
              <w:ind w:left="12"/>
              <w:spacing w:after="0"/>
              <w:rPr>
                <w:rFonts w:ascii="Arial" w:cs="Arial" w:eastAsia="Arial" w:hAnsi="Arial"/>
                <w:sz w:val="18"/>
                <w:szCs w:val="18"/>
                <w:u w:val="single" w:color="auto"/>
                <w:color w:val="0000EE"/>
                <w:w w:val="87"/>
              </w:rPr>
            </w:pPr>
            <w:hyperlink r:id="rId20">
              <w:r>
                <w:rPr>
                  <w:rFonts w:ascii="Arial" w:cs="Arial" w:eastAsia="Arial" w:hAnsi="Arial"/>
                  <w:sz w:val="18"/>
                  <w:szCs w:val="18"/>
                  <w:u w:val="single" w:color="auto"/>
                  <w:color w:val="0000EE"/>
                  <w:w w:val="87"/>
                </w:rPr>
                <w:t>4.1</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Form of Common Stock Certificate. Incorporated by reference to Exhibit 4.1 to Amendment No. 1 to the Registration Statement on Form S-1,</w:t>
            </w:r>
          </w:p>
        </w:tc>
        <w:tc>
          <w:tcPr>
            <w:tcW w:w="0" w:type="dxa"/>
            <w:vAlign w:val="bottom"/>
          </w:tcPr>
          <w:p>
            <w:pPr>
              <w:spacing w:after="0"/>
              <w:rPr>
                <w:sz w:val="1"/>
                <w:szCs w:val="1"/>
                <w:color w:val="auto"/>
              </w:rPr>
            </w:pPr>
          </w:p>
        </w:tc>
      </w:tr>
      <w:tr>
        <w:trPr>
          <w:trHeight w:val="114"/>
        </w:trPr>
        <w:tc>
          <w:tcPr>
            <w:tcW w:w="840" w:type="dxa"/>
            <w:vAlign w:val="bottom"/>
            <w:vMerge w:val="continue"/>
            <w:shd w:val="clear" w:color="auto" w:fill="CCEEFF"/>
          </w:tcPr>
          <w:p>
            <w:pPr>
              <w:spacing w:after="0"/>
              <w:rPr>
                <w:sz w:val="9"/>
                <w:szCs w:val="9"/>
                <w:color w:val="auto"/>
              </w:rPr>
            </w:pPr>
          </w:p>
        </w:tc>
        <w:tc>
          <w:tcPr>
            <w:tcW w:w="104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filed on May 30, 2017.</w:t>
            </w:r>
          </w:p>
        </w:tc>
        <w:tc>
          <w:tcPr>
            <w:tcW w:w="0" w:type="dxa"/>
            <w:vAlign w:val="bottom"/>
          </w:tcPr>
          <w:p>
            <w:pPr>
              <w:spacing w:after="0"/>
              <w:rPr>
                <w:sz w:val="1"/>
                <w:szCs w:val="1"/>
                <w:color w:val="auto"/>
              </w:rPr>
            </w:pPr>
          </w:p>
        </w:tc>
      </w:tr>
      <w:tr>
        <w:trPr>
          <w:trHeight w:val="110"/>
        </w:trPr>
        <w:tc>
          <w:tcPr>
            <w:tcW w:w="840" w:type="dxa"/>
            <w:vAlign w:val="bottom"/>
            <w:shd w:val="clear" w:color="auto" w:fill="CCEEFF"/>
          </w:tcPr>
          <w:p>
            <w:pPr>
              <w:spacing w:after="0"/>
              <w:rPr>
                <w:sz w:val="9"/>
                <w:szCs w:val="9"/>
                <w:color w:val="auto"/>
              </w:rPr>
            </w:pPr>
          </w:p>
        </w:tc>
        <w:tc>
          <w:tcPr>
            <w:tcW w:w="104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840" w:type="dxa"/>
            <w:vAlign w:val="bottom"/>
          </w:tcPr>
          <w:p>
            <w:pPr>
              <w:jc w:val="center"/>
              <w:ind w:left="12"/>
              <w:spacing w:after="0"/>
              <w:rPr>
                <w:rFonts w:ascii="Arial" w:cs="Arial" w:eastAsia="Arial" w:hAnsi="Arial"/>
                <w:sz w:val="18"/>
                <w:szCs w:val="18"/>
                <w:u w:val="single" w:color="auto"/>
                <w:color w:val="0000EE"/>
                <w:w w:val="87"/>
              </w:rPr>
            </w:pPr>
            <w:hyperlink r:id="rId21">
              <w:r>
                <w:rPr>
                  <w:rFonts w:ascii="Arial" w:cs="Arial" w:eastAsia="Arial" w:hAnsi="Arial"/>
                  <w:sz w:val="18"/>
                  <w:szCs w:val="18"/>
                  <w:u w:val="single" w:color="auto"/>
                  <w:color w:val="0000EE"/>
                  <w:w w:val="87"/>
                </w:rPr>
                <w:t>4.2</w:t>
              </w:r>
            </w:hyperlink>
          </w:p>
        </w:tc>
        <w:tc>
          <w:tcPr>
            <w:tcW w:w="10400" w:type="dxa"/>
            <w:vAlign w:val="bottom"/>
          </w:tcPr>
          <w:p>
            <w:pPr>
              <w:ind w:left="80"/>
              <w:spacing w:after="0"/>
              <w:rPr>
                <w:sz w:val="20"/>
                <w:szCs w:val="20"/>
                <w:color w:val="auto"/>
              </w:rPr>
            </w:pPr>
            <w:r>
              <w:rPr>
                <w:rFonts w:ascii="Arial" w:cs="Arial" w:eastAsia="Arial" w:hAnsi="Arial"/>
                <w:sz w:val="18"/>
                <w:szCs w:val="18"/>
                <w:color w:val="auto"/>
                <w:w w:val="96"/>
              </w:rPr>
              <w:t>Form of Investor Warrant, dated October 30, 2018. Incorporated by reference to Exhibit 4.1 to the Current Report on Form 8-K, filed on</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November 5, 2018.</w:t>
            </w:r>
          </w:p>
        </w:tc>
        <w:tc>
          <w:tcPr>
            <w:tcW w:w="0" w:type="dxa"/>
            <w:vAlign w:val="bottom"/>
          </w:tcPr>
          <w:p>
            <w:pPr>
              <w:spacing w:after="0"/>
              <w:rPr>
                <w:sz w:val="1"/>
                <w:szCs w:val="1"/>
                <w:color w:val="auto"/>
              </w:rPr>
            </w:pPr>
          </w:p>
        </w:tc>
      </w:tr>
      <w:tr>
        <w:trPr>
          <w:trHeight w:val="209"/>
        </w:trPr>
        <w:tc>
          <w:tcPr>
            <w:tcW w:w="840" w:type="dxa"/>
            <w:vAlign w:val="bottom"/>
            <w:shd w:val="clear" w:color="auto" w:fill="CCEEFF"/>
          </w:tcPr>
          <w:p>
            <w:pPr>
              <w:jc w:val="center"/>
              <w:ind w:left="12"/>
              <w:spacing w:after="0"/>
              <w:rPr>
                <w:rFonts w:ascii="Arial" w:cs="Arial" w:eastAsia="Arial" w:hAnsi="Arial"/>
                <w:sz w:val="18"/>
                <w:szCs w:val="18"/>
                <w:u w:val="single" w:color="auto"/>
                <w:color w:val="0000EE"/>
                <w:w w:val="87"/>
              </w:rPr>
            </w:pPr>
            <w:hyperlink r:id="rId22">
              <w:r>
                <w:rPr>
                  <w:rFonts w:ascii="Arial" w:cs="Arial" w:eastAsia="Arial" w:hAnsi="Arial"/>
                  <w:sz w:val="18"/>
                  <w:szCs w:val="18"/>
                  <w:u w:val="single" w:color="auto"/>
                  <w:color w:val="0000EE"/>
                  <w:w w:val="87"/>
                </w:rPr>
                <w:t>4.3</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Form of Placement Agent Warrant, dated October 30, 2018. Incorporated by reference to Exhibit 4.2 to the Current Report on Form 8-K, filed on</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November 5, 2018.</w:t>
            </w:r>
          </w:p>
        </w:tc>
        <w:tc>
          <w:tcPr>
            <w:tcW w:w="0" w:type="dxa"/>
            <w:vAlign w:val="bottom"/>
          </w:tcPr>
          <w:p>
            <w:pPr>
              <w:spacing w:after="0"/>
              <w:rPr>
                <w:sz w:val="1"/>
                <w:szCs w:val="1"/>
                <w:color w:val="auto"/>
              </w:rPr>
            </w:pPr>
          </w:p>
        </w:tc>
      </w:tr>
      <w:tr>
        <w:trPr>
          <w:trHeight w:val="208"/>
        </w:trPr>
        <w:tc>
          <w:tcPr>
            <w:tcW w:w="840" w:type="dxa"/>
            <w:vAlign w:val="bottom"/>
          </w:tcPr>
          <w:p>
            <w:pPr>
              <w:jc w:val="center"/>
              <w:ind w:left="12"/>
              <w:spacing w:after="0"/>
              <w:rPr>
                <w:rFonts w:ascii="Arial" w:cs="Arial" w:eastAsia="Arial" w:hAnsi="Arial"/>
                <w:sz w:val="18"/>
                <w:szCs w:val="18"/>
                <w:u w:val="single" w:color="auto"/>
                <w:color w:val="0000EE"/>
                <w:w w:val="87"/>
              </w:rPr>
            </w:pPr>
            <w:hyperlink r:id="rId22">
              <w:r>
                <w:rPr>
                  <w:rFonts w:ascii="Arial" w:cs="Arial" w:eastAsia="Arial" w:hAnsi="Arial"/>
                  <w:sz w:val="18"/>
                  <w:szCs w:val="18"/>
                  <w:u w:val="single" w:color="auto"/>
                  <w:color w:val="0000EE"/>
                  <w:w w:val="87"/>
                </w:rPr>
                <w:t>4.4</w:t>
              </w:r>
            </w:hyperlink>
          </w:p>
        </w:tc>
        <w:tc>
          <w:tcPr>
            <w:tcW w:w="10400" w:type="dxa"/>
            <w:vAlign w:val="bottom"/>
          </w:tcPr>
          <w:p>
            <w:pPr>
              <w:ind w:left="80"/>
              <w:spacing w:after="0"/>
              <w:rPr>
                <w:sz w:val="20"/>
                <w:szCs w:val="20"/>
                <w:color w:val="auto"/>
              </w:rPr>
            </w:pPr>
            <w:r>
              <w:rPr>
                <w:rFonts w:ascii="Arial" w:cs="Arial" w:eastAsia="Arial" w:hAnsi="Arial"/>
                <w:sz w:val="18"/>
                <w:szCs w:val="18"/>
                <w:color w:val="auto"/>
                <w:w w:val="91"/>
              </w:rPr>
              <w:t>Form of Investor Warrant, dated June 18, 2019. Incorporated by reference to Exhibit 4.1 to the Current Report on Form 8-K, filed on June 18,</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840" w:type="dxa"/>
            <w:vAlign w:val="bottom"/>
            <w:shd w:val="clear" w:color="auto" w:fill="CCEEFF"/>
          </w:tcPr>
          <w:p>
            <w:pPr>
              <w:jc w:val="center"/>
              <w:ind w:left="12"/>
              <w:spacing w:after="0"/>
              <w:rPr>
                <w:rFonts w:ascii="Arial" w:cs="Arial" w:eastAsia="Arial" w:hAnsi="Arial"/>
                <w:sz w:val="18"/>
                <w:szCs w:val="18"/>
                <w:u w:val="single" w:color="auto"/>
                <w:color w:val="0000EE"/>
                <w:w w:val="87"/>
              </w:rPr>
            </w:pPr>
            <w:hyperlink r:id="rId23">
              <w:r>
                <w:rPr>
                  <w:rFonts w:ascii="Arial" w:cs="Arial" w:eastAsia="Arial" w:hAnsi="Arial"/>
                  <w:sz w:val="18"/>
                  <w:szCs w:val="18"/>
                  <w:u w:val="single" w:color="auto"/>
                  <w:color w:val="0000EE"/>
                  <w:w w:val="87"/>
                </w:rPr>
                <w:t>4.5</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Form of Offering Agent Warrant, dated June 18, 2019. Incorporated by reference to Exhibit 4.1 to the Current Report on Form 8-K, filed on June</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18, 2019.</w:t>
            </w:r>
          </w:p>
        </w:tc>
        <w:tc>
          <w:tcPr>
            <w:tcW w:w="0" w:type="dxa"/>
            <w:vAlign w:val="bottom"/>
          </w:tcPr>
          <w:p>
            <w:pPr>
              <w:spacing w:after="0"/>
              <w:rPr>
                <w:sz w:val="1"/>
                <w:szCs w:val="1"/>
                <w:color w:val="auto"/>
              </w:rPr>
            </w:pPr>
          </w:p>
        </w:tc>
      </w:tr>
      <w:tr>
        <w:trPr>
          <w:trHeight w:val="216"/>
        </w:trPr>
        <w:tc>
          <w:tcPr>
            <w:tcW w:w="840" w:type="dxa"/>
            <w:vAlign w:val="bottom"/>
          </w:tcPr>
          <w:p>
            <w:pPr>
              <w:jc w:val="center"/>
              <w:ind w:left="12"/>
              <w:spacing w:after="0"/>
              <w:rPr>
                <w:rFonts w:ascii="Arial" w:cs="Arial" w:eastAsia="Arial" w:hAnsi="Arial"/>
                <w:sz w:val="18"/>
                <w:szCs w:val="18"/>
                <w:u w:val="single" w:color="auto"/>
                <w:color w:val="0000EE"/>
                <w:w w:val="87"/>
              </w:rPr>
            </w:pPr>
            <w:hyperlink r:id="rId24">
              <w:r>
                <w:rPr>
                  <w:rFonts w:ascii="Arial" w:cs="Arial" w:eastAsia="Arial" w:hAnsi="Arial"/>
                  <w:sz w:val="18"/>
                  <w:szCs w:val="18"/>
                  <w:u w:val="single" w:color="auto"/>
                  <w:color w:val="0000EE"/>
                  <w:w w:val="87"/>
                </w:rPr>
                <w:t>4.6</w:t>
              </w:r>
            </w:hyperlink>
          </w:p>
        </w:tc>
        <w:tc>
          <w:tcPr>
            <w:tcW w:w="10400" w:type="dxa"/>
            <w:vAlign w:val="bottom"/>
          </w:tcPr>
          <w:p>
            <w:pPr>
              <w:ind w:left="80"/>
              <w:spacing w:after="0"/>
              <w:rPr>
                <w:sz w:val="20"/>
                <w:szCs w:val="20"/>
                <w:color w:val="auto"/>
              </w:rPr>
            </w:pPr>
            <w:r>
              <w:rPr>
                <w:rFonts w:ascii="Arial" w:cs="Arial" w:eastAsia="Arial" w:hAnsi="Arial"/>
                <w:sz w:val="18"/>
                <w:szCs w:val="18"/>
                <w:color w:val="auto"/>
              </w:rPr>
              <w:t>Form of Warrant Agreement. Incorporated by reference to Exhibit 4.2 to the Current Report on Form 8-K, filed on June 2, 2020.</w:t>
            </w:r>
          </w:p>
        </w:tc>
        <w:tc>
          <w:tcPr>
            <w:tcW w:w="0" w:type="dxa"/>
            <w:vAlign w:val="bottom"/>
          </w:tcPr>
          <w:p>
            <w:pPr>
              <w:spacing w:after="0"/>
              <w:rPr>
                <w:sz w:val="1"/>
                <w:szCs w:val="1"/>
                <w:color w:val="auto"/>
              </w:rPr>
            </w:pPr>
          </w:p>
        </w:tc>
      </w:tr>
      <w:tr>
        <w:trPr>
          <w:trHeight w:val="208"/>
        </w:trPr>
        <w:tc>
          <w:tcPr>
            <w:tcW w:w="840" w:type="dxa"/>
            <w:vAlign w:val="bottom"/>
            <w:shd w:val="clear" w:color="auto" w:fill="CCEEFF"/>
          </w:tcPr>
          <w:p>
            <w:pPr>
              <w:jc w:val="center"/>
              <w:spacing w:after="0"/>
              <w:rPr>
                <w:rFonts w:ascii="Arial" w:cs="Arial" w:eastAsia="Arial" w:hAnsi="Arial"/>
                <w:sz w:val="18"/>
                <w:szCs w:val="18"/>
                <w:u w:val="single" w:color="auto"/>
                <w:color w:val="0000EE"/>
                <w:w w:val="91"/>
              </w:rPr>
            </w:pPr>
            <w:hyperlink r:id="rId25">
              <w:r>
                <w:rPr>
                  <w:rFonts w:ascii="Arial" w:cs="Arial" w:eastAsia="Arial" w:hAnsi="Arial"/>
                  <w:sz w:val="18"/>
                  <w:szCs w:val="18"/>
                  <w:u w:val="single" w:color="auto"/>
                  <w:color w:val="0000EE"/>
                  <w:w w:val="91"/>
                </w:rPr>
                <w:t>10.1</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Amended and Restated Intellectual Property License Agreement, dated September 30, 2016, by and between Wrap Technologies, LLC and Syzygy</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Licensing LLC. Incorporated by reference to Exhibit 10.1 to the Registration Statement on Form S-1, filed on April 17, 2017.</w:t>
            </w: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rFonts w:ascii="Arial" w:cs="Arial" w:eastAsia="Arial" w:hAnsi="Arial"/>
                <w:sz w:val="18"/>
                <w:szCs w:val="18"/>
                <w:u w:val="single" w:color="auto"/>
                <w:color w:val="0000EE"/>
                <w:w w:val="87"/>
              </w:rPr>
            </w:pPr>
            <w:hyperlink r:id="rId26">
              <w:r>
                <w:rPr>
                  <w:rFonts w:ascii="Arial" w:cs="Arial" w:eastAsia="Arial" w:hAnsi="Arial"/>
                  <w:sz w:val="18"/>
                  <w:szCs w:val="18"/>
                  <w:u w:val="single" w:color="auto"/>
                  <w:color w:val="0000EE"/>
                  <w:w w:val="87"/>
                </w:rPr>
                <w:t>10.2+</w:t>
              </w:r>
            </w:hyperlink>
          </w:p>
        </w:tc>
        <w:tc>
          <w:tcPr>
            <w:tcW w:w="10400" w:type="dxa"/>
            <w:vAlign w:val="bottom"/>
          </w:tcPr>
          <w:p>
            <w:pPr>
              <w:ind w:left="80"/>
              <w:spacing w:after="0"/>
              <w:rPr>
                <w:sz w:val="20"/>
                <w:szCs w:val="20"/>
                <w:color w:val="auto"/>
              </w:rPr>
            </w:pPr>
            <w:r>
              <w:rPr>
                <w:rFonts w:ascii="Arial" w:cs="Arial" w:eastAsia="Arial" w:hAnsi="Arial"/>
                <w:sz w:val="18"/>
                <w:szCs w:val="18"/>
                <w:color w:val="auto"/>
                <w:w w:val="91"/>
              </w:rPr>
              <w:t>2017 Equity Compensation Plan. Incorporated by reference to Exhibit 10.2 to the Registration Statement on Form S-1, filed on April 17, 2017.</w:t>
            </w:r>
          </w:p>
        </w:tc>
        <w:tc>
          <w:tcPr>
            <w:tcW w:w="0" w:type="dxa"/>
            <w:vAlign w:val="bottom"/>
          </w:tcPr>
          <w:p>
            <w:pPr>
              <w:spacing w:after="0"/>
              <w:rPr>
                <w:sz w:val="1"/>
                <w:szCs w:val="1"/>
                <w:color w:val="auto"/>
              </w:rPr>
            </w:pPr>
          </w:p>
        </w:tc>
      </w:tr>
      <w:tr>
        <w:trPr>
          <w:trHeight w:val="208"/>
        </w:trPr>
        <w:tc>
          <w:tcPr>
            <w:tcW w:w="840" w:type="dxa"/>
            <w:vAlign w:val="bottom"/>
            <w:vMerge w:val="restart"/>
            <w:shd w:val="clear" w:color="auto" w:fill="CCEEFF"/>
          </w:tcPr>
          <w:p>
            <w:pPr>
              <w:jc w:val="center"/>
              <w:spacing w:after="0"/>
              <w:rPr>
                <w:rFonts w:ascii="Arial" w:cs="Arial" w:eastAsia="Arial" w:hAnsi="Arial"/>
                <w:sz w:val="18"/>
                <w:szCs w:val="18"/>
                <w:u w:val="single" w:color="auto"/>
                <w:color w:val="0000EE"/>
                <w:w w:val="91"/>
              </w:rPr>
            </w:pPr>
            <w:hyperlink r:id="rId27">
              <w:r>
                <w:rPr>
                  <w:rFonts w:ascii="Arial" w:cs="Arial" w:eastAsia="Arial" w:hAnsi="Arial"/>
                  <w:sz w:val="18"/>
                  <w:szCs w:val="18"/>
                  <w:u w:val="single" w:color="auto"/>
                  <w:color w:val="0000EE"/>
                  <w:w w:val="91"/>
                </w:rPr>
                <w:t>10.3</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Form of Placement Agent Agreement, dated October 30, 2018. Incorporated by reference to Exhibit 10.1 to the Current Report on Form 8-K, filed</w:t>
            </w:r>
          </w:p>
        </w:tc>
        <w:tc>
          <w:tcPr>
            <w:tcW w:w="0" w:type="dxa"/>
            <w:vAlign w:val="bottom"/>
          </w:tcPr>
          <w:p>
            <w:pPr>
              <w:spacing w:after="0"/>
              <w:rPr>
                <w:sz w:val="1"/>
                <w:szCs w:val="1"/>
                <w:color w:val="auto"/>
              </w:rPr>
            </w:pPr>
          </w:p>
        </w:tc>
      </w:tr>
      <w:tr>
        <w:trPr>
          <w:trHeight w:val="114"/>
        </w:trPr>
        <w:tc>
          <w:tcPr>
            <w:tcW w:w="840" w:type="dxa"/>
            <w:vAlign w:val="bottom"/>
            <w:vMerge w:val="continue"/>
            <w:shd w:val="clear" w:color="auto" w:fill="CCEEFF"/>
          </w:tcPr>
          <w:p>
            <w:pPr>
              <w:spacing w:after="0"/>
              <w:rPr>
                <w:sz w:val="9"/>
                <w:szCs w:val="9"/>
                <w:color w:val="auto"/>
              </w:rPr>
            </w:pPr>
          </w:p>
        </w:tc>
        <w:tc>
          <w:tcPr>
            <w:tcW w:w="104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on November 5, 2018.</w:t>
            </w:r>
          </w:p>
        </w:tc>
        <w:tc>
          <w:tcPr>
            <w:tcW w:w="0" w:type="dxa"/>
            <w:vAlign w:val="bottom"/>
          </w:tcPr>
          <w:p>
            <w:pPr>
              <w:spacing w:after="0"/>
              <w:rPr>
                <w:sz w:val="1"/>
                <w:szCs w:val="1"/>
                <w:color w:val="auto"/>
              </w:rPr>
            </w:pPr>
          </w:p>
        </w:tc>
      </w:tr>
      <w:tr>
        <w:trPr>
          <w:trHeight w:val="110"/>
        </w:trPr>
        <w:tc>
          <w:tcPr>
            <w:tcW w:w="840" w:type="dxa"/>
            <w:vAlign w:val="bottom"/>
            <w:shd w:val="clear" w:color="auto" w:fill="CCEEFF"/>
          </w:tcPr>
          <w:p>
            <w:pPr>
              <w:spacing w:after="0"/>
              <w:rPr>
                <w:sz w:val="9"/>
                <w:szCs w:val="9"/>
                <w:color w:val="auto"/>
              </w:rPr>
            </w:pPr>
          </w:p>
        </w:tc>
        <w:tc>
          <w:tcPr>
            <w:tcW w:w="104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840" w:type="dxa"/>
            <w:vAlign w:val="bottom"/>
            <w:vMerge w:val="restart"/>
          </w:tcPr>
          <w:p>
            <w:pPr>
              <w:jc w:val="center"/>
              <w:spacing w:after="0"/>
              <w:rPr>
                <w:rFonts w:ascii="Arial" w:cs="Arial" w:eastAsia="Arial" w:hAnsi="Arial"/>
                <w:sz w:val="18"/>
                <w:szCs w:val="18"/>
                <w:u w:val="single" w:color="auto"/>
                <w:color w:val="0000EE"/>
                <w:w w:val="91"/>
              </w:rPr>
            </w:pPr>
            <w:hyperlink r:id="rId28">
              <w:r>
                <w:rPr>
                  <w:rFonts w:ascii="Arial" w:cs="Arial" w:eastAsia="Arial" w:hAnsi="Arial"/>
                  <w:sz w:val="18"/>
                  <w:szCs w:val="18"/>
                  <w:u w:val="single" w:color="auto"/>
                  <w:color w:val="0000EE"/>
                  <w:w w:val="91"/>
                </w:rPr>
                <w:t>10.4</w:t>
              </w:r>
            </w:hyperlink>
          </w:p>
        </w:tc>
        <w:tc>
          <w:tcPr>
            <w:tcW w:w="10400" w:type="dxa"/>
            <w:vAlign w:val="bottom"/>
          </w:tcPr>
          <w:p>
            <w:pPr>
              <w:ind w:left="80"/>
              <w:spacing w:after="0"/>
              <w:rPr>
                <w:sz w:val="20"/>
                <w:szCs w:val="20"/>
                <w:color w:val="auto"/>
              </w:rPr>
            </w:pPr>
            <w:r>
              <w:rPr>
                <w:rFonts w:ascii="Arial" w:cs="Arial" w:eastAsia="Arial" w:hAnsi="Arial"/>
                <w:sz w:val="18"/>
                <w:szCs w:val="18"/>
                <w:color w:val="auto"/>
                <w:w w:val="91"/>
              </w:rPr>
              <w:t>Form of Registration Rights Agreement, dated October 30, 2018. Incorporated by reference to Exhibit 10.2 to the Current Report on Form 8-K,</w:t>
            </w:r>
          </w:p>
        </w:tc>
        <w:tc>
          <w:tcPr>
            <w:tcW w:w="0" w:type="dxa"/>
            <w:vAlign w:val="bottom"/>
          </w:tcPr>
          <w:p>
            <w:pPr>
              <w:spacing w:after="0"/>
              <w:rPr>
                <w:sz w:val="1"/>
                <w:szCs w:val="1"/>
                <w:color w:val="auto"/>
              </w:rPr>
            </w:pPr>
          </w:p>
        </w:tc>
      </w:tr>
      <w:tr>
        <w:trPr>
          <w:trHeight w:val="114"/>
        </w:trPr>
        <w:tc>
          <w:tcPr>
            <w:tcW w:w="840" w:type="dxa"/>
            <w:vAlign w:val="bottom"/>
            <w:vMerge w:val="continue"/>
          </w:tcPr>
          <w:p>
            <w:pPr>
              <w:spacing w:after="0"/>
              <w:rPr>
                <w:sz w:val="9"/>
                <w:szCs w:val="9"/>
                <w:color w:val="auto"/>
              </w:rPr>
            </w:pPr>
          </w:p>
        </w:tc>
        <w:tc>
          <w:tcPr>
            <w:tcW w:w="10400" w:type="dxa"/>
            <w:vAlign w:val="bottom"/>
            <w:vMerge w:val="restart"/>
          </w:tcPr>
          <w:p>
            <w:pPr>
              <w:ind w:left="80"/>
              <w:spacing w:after="0"/>
              <w:rPr>
                <w:sz w:val="20"/>
                <w:szCs w:val="20"/>
                <w:color w:val="auto"/>
              </w:rPr>
            </w:pPr>
            <w:r>
              <w:rPr>
                <w:rFonts w:ascii="Arial" w:cs="Arial" w:eastAsia="Arial" w:hAnsi="Arial"/>
                <w:sz w:val="18"/>
                <w:szCs w:val="18"/>
                <w:color w:val="auto"/>
              </w:rPr>
              <w:t>filed on November 5, 2018.</w:t>
            </w:r>
          </w:p>
        </w:tc>
        <w:tc>
          <w:tcPr>
            <w:tcW w:w="0" w:type="dxa"/>
            <w:vAlign w:val="bottom"/>
          </w:tcPr>
          <w:p>
            <w:pPr>
              <w:spacing w:after="0"/>
              <w:rPr>
                <w:sz w:val="1"/>
                <w:szCs w:val="1"/>
                <w:color w:val="auto"/>
              </w:rPr>
            </w:pPr>
          </w:p>
        </w:tc>
      </w:tr>
      <w:tr>
        <w:trPr>
          <w:trHeight w:val="109"/>
        </w:trPr>
        <w:tc>
          <w:tcPr>
            <w:tcW w:w="840" w:type="dxa"/>
            <w:vAlign w:val="bottom"/>
          </w:tcPr>
          <w:p>
            <w:pPr>
              <w:spacing w:after="0"/>
              <w:rPr>
                <w:sz w:val="9"/>
                <w:szCs w:val="9"/>
                <w:color w:val="auto"/>
              </w:rPr>
            </w:pPr>
          </w:p>
        </w:tc>
        <w:tc>
          <w:tcPr>
            <w:tcW w:w="10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40" w:type="dxa"/>
            <w:vAlign w:val="bottom"/>
            <w:shd w:val="clear" w:color="auto" w:fill="CCEEFF"/>
          </w:tcPr>
          <w:p>
            <w:pPr>
              <w:jc w:val="center"/>
              <w:spacing w:after="0"/>
              <w:rPr>
                <w:rFonts w:ascii="Arial" w:cs="Arial" w:eastAsia="Arial" w:hAnsi="Arial"/>
                <w:sz w:val="18"/>
                <w:szCs w:val="18"/>
                <w:u w:val="single" w:color="auto"/>
                <w:color w:val="0000EE"/>
                <w:w w:val="91"/>
              </w:rPr>
            </w:pPr>
            <w:hyperlink r:id="rId29">
              <w:r>
                <w:rPr>
                  <w:rFonts w:ascii="Arial" w:cs="Arial" w:eastAsia="Arial" w:hAnsi="Arial"/>
                  <w:sz w:val="18"/>
                  <w:szCs w:val="18"/>
                  <w:u w:val="single" w:color="auto"/>
                  <w:color w:val="0000EE"/>
                  <w:w w:val="91"/>
                </w:rPr>
                <w:t>10.5</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Supplemental Engagement Letter by and between Wrap Technologies, Inc. and Katalyst Securities LLC, dated June 7, 2019. Incorporated by</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reference to Exhibit 10.1 to the Current Report on Form 8-K, filed on June 13, 2019.</w:t>
            </w:r>
          </w:p>
        </w:tc>
        <w:tc>
          <w:tcPr>
            <w:tcW w:w="0" w:type="dxa"/>
            <w:vAlign w:val="bottom"/>
          </w:tcPr>
          <w:p>
            <w:pPr>
              <w:spacing w:after="0"/>
              <w:rPr>
                <w:sz w:val="1"/>
                <w:szCs w:val="1"/>
                <w:color w:val="auto"/>
              </w:rPr>
            </w:pPr>
          </w:p>
        </w:tc>
      </w:tr>
      <w:tr>
        <w:trPr>
          <w:trHeight w:val="208"/>
        </w:trPr>
        <w:tc>
          <w:tcPr>
            <w:tcW w:w="840" w:type="dxa"/>
            <w:vAlign w:val="bottom"/>
          </w:tcPr>
          <w:p>
            <w:pPr>
              <w:jc w:val="center"/>
              <w:spacing w:after="0"/>
              <w:rPr>
                <w:rFonts w:ascii="Arial" w:cs="Arial" w:eastAsia="Arial" w:hAnsi="Arial"/>
                <w:sz w:val="18"/>
                <w:szCs w:val="18"/>
                <w:u w:val="single" w:color="auto"/>
                <w:color w:val="0000EE"/>
                <w:w w:val="91"/>
              </w:rPr>
            </w:pPr>
            <w:hyperlink r:id="rId30">
              <w:r>
                <w:rPr>
                  <w:rFonts w:ascii="Arial" w:cs="Arial" w:eastAsia="Arial" w:hAnsi="Arial"/>
                  <w:sz w:val="18"/>
                  <w:szCs w:val="18"/>
                  <w:u w:val="single" w:color="auto"/>
                  <w:color w:val="0000EE"/>
                  <w:w w:val="91"/>
                </w:rPr>
                <w:t>10.6</w:t>
              </w:r>
            </w:hyperlink>
          </w:p>
        </w:tc>
        <w:tc>
          <w:tcPr>
            <w:tcW w:w="10400" w:type="dxa"/>
            <w:vAlign w:val="bottom"/>
          </w:tcPr>
          <w:p>
            <w:pPr>
              <w:ind w:left="80"/>
              <w:spacing w:after="0"/>
              <w:rPr>
                <w:sz w:val="20"/>
                <w:szCs w:val="20"/>
                <w:color w:val="auto"/>
              </w:rPr>
            </w:pPr>
            <w:r>
              <w:rPr>
                <w:rFonts w:ascii="Arial" w:cs="Arial" w:eastAsia="Arial" w:hAnsi="Arial"/>
                <w:sz w:val="18"/>
                <w:szCs w:val="18"/>
                <w:color w:val="auto"/>
                <w:w w:val="89"/>
              </w:rPr>
              <w:t>Engagement Letter by and between Wrap Technologies, Inc., Dinosaur Financial Group, LLC and Katalyst Securities LLC, dated June 12 , 2019.</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Incorporated by reference to Exhibit 10.2 to the Current Report on Form 8-K, filed on June 18, 2019.</w:t>
            </w:r>
          </w:p>
        </w:tc>
        <w:tc>
          <w:tcPr>
            <w:tcW w:w="0" w:type="dxa"/>
            <w:vAlign w:val="bottom"/>
          </w:tcPr>
          <w:p>
            <w:pPr>
              <w:spacing w:after="0"/>
              <w:rPr>
                <w:sz w:val="1"/>
                <w:szCs w:val="1"/>
                <w:color w:val="auto"/>
              </w:rPr>
            </w:pPr>
          </w:p>
        </w:tc>
      </w:tr>
      <w:tr>
        <w:trPr>
          <w:trHeight w:val="209"/>
        </w:trPr>
        <w:tc>
          <w:tcPr>
            <w:tcW w:w="840" w:type="dxa"/>
            <w:vAlign w:val="bottom"/>
            <w:shd w:val="clear" w:color="auto" w:fill="CCEEFF"/>
          </w:tcPr>
          <w:p>
            <w:pPr>
              <w:jc w:val="center"/>
              <w:spacing w:after="0"/>
              <w:rPr>
                <w:rFonts w:ascii="Arial" w:cs="Arial" w:eastAsia="Arial" w:hAnsi="Arial"/>
                <w:sz w:val="18"/>
                <w:szCs w:val="18"/>
                <w:u w:val="single" w:color="auto"/>
                <w:color w:val="0000EE"/>
                <w:w w:val="91"/>
              </w:rPr>
            </w:pPr>
            <w:hyperlink r:id="rId31">
              <w:r>
                <w:rPr>
                  <w:rFonts w:ascii="Arial" w:cs="Arial" w:eastAsia="Arial" w:hAnsi="Arial"/>
                  <w:sz w:val="18"/>
                  <w:szCs w:val="18"/>
                  <w:u w:val="single" w:color="auto"/>
                  <w:color w:val="0000EE"/>
                  <w:w w:val="91"/>
                </w:rPr>
                <w:t>10.7</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Amended 2017 Equity Compensation Plan. Incorporated by reference to Exhibit 10.1 to the Registration Statement on Form S-8, filed on June 24,</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8"/>
        </w:trPr>
        <w:tc>
          <w:tcPr>
            <w:tcW w:w="840" w:type="dxa"/>
            <w:vAlign w:val="bottom"/>
          </w:tcPr>
          <w:p>
            <w:pPr>
              <w:jc w:val="center"/>
              <w:spacing w:after="0"/>
              <w:rPr>
                <w:rFonts w:ascii="Arial" w:cs="Arial" w:eastAsia="Arial" w:hAnsi="Arial"/>
                <w:sz w:val="18"/>
                <w:szCs w:val="18"/>
                <w:u w:val="single" w:color="auto"/>
                <w:color w:val="0000EE"/>
                <w:w w:val="91"/>
              </w:rPr>
            </w:pPr>
            <w:hyperlink r:id="rId32">
              <w:r>
                <w:rPr>
                  <w:rFonts w:ascii="Arial" w:cs="Arial" w:eastAsia="Arial" w:hAnsi="Arial"/>
                  <w:sz w:val="18"/>
                  <w:szCs w:val="18"/>
                  <w:u w:val="single" w:color="auto"/>
                  <w:color w:val="0000EE"/>
                  <w:w w:val="91"/>
                </w:rPr>
                <w:t>10.8</w:t>
              </w:r>
            </w:hyperlink>
          </w:p>
        </w:tc>
        <w:tc>
          <w:tcPr>
            <w:tcW w:w="10400" w:type="dxa"/>
            <w:vAlign w:val="bottom"/>
          </w:tcPr>
          <w:p>
            <w:pPr>
              <w:ind w:left="80"/>
              <w:spacing w:after="0"/>
              <w:rPr>
                <w:sz w:val="20"/>
                <w:szCs w:val="20"/>
                <w:color w:val="auto"/>
              </w:rPr>
            </w:pPr>
            <w:r>
              <w:rPr>
                <w:rFonts w:ascii="Arial" w:cs="Arial" w:eastAsia="Arial" w:hAnsi="Arial"/>
                <w:sz w:val="18"/>
                <w:szCs w:val="18"/>
                <w:color w:val="auto"/>
                <w:w w:val="89"/>
              </w:rPr>
              <w:t>Industrial Real Estate Lease, dated May 10, 2019, by and between Wrap Technologies, Inc. and JM Sky Harbor Properties LLC. Incorporated by</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reference from Exhibit 10.1 to the Current Report on Form 8-K, filed on June 6, 2019.</w:t>
            </w:r>
          </w:p>
        </w:tc>
        <w:tc>
          <w:tcPr>
            <w:tcW w:w="0" w:type="dxa"/>
            <w:vAlign w:val="bottom"/>
          </w:tcPr>
          <w:p>
            <w:pPr>
              <w:spacing w:after="0"/>
              <w:rPr>
                <w:sz w:val="1"/>
                <w:szCs w:val="1"/>
                <w:color w:val="auto"/>
              </w:rPr>
            </w:pPr>
          </w:p>
        </w:tc>
      </w:tr>
      <w:tr>
        <w:trPr>
          <w:trHeight w:val="209"/>
        </w:trPr>
        <w:tc>
          <w:tcPr>
            <w:tcW w:w="840" w:type="dxa"/>
            <w:vAlign w:val="bottom"/>
            <w:shd w:val="clear" w:color="auto" w:fill="CCEEFF"/>
          </w:tcPr>
          <w:p>
            <w:pPr>
              <w:jc w:val="center"/>
              <w:spacing w:after="0"/>
              <w:rPr>
                <w:rFonts w:ascii="Arial" w:cs="Arial" w:eastAsia="Arial" w:hAnsi="Arial"/>
                <w:sz w:val="18"/>
                <w:szCs w:val="18"/>
                <w:u w:val="single" w:color="auto"/>
                <w:color w:val="0000EE"/>
                <w:w w:val="91"/>
              </w:rPr>
            </w:pPr>
            <w:hyperlink r:id="rId33">
              <w:r>
                <w:rPr>
                  <w:rFonts w:ascii="Arial" w:cs="Arial" w:eastAsia="Arial" w:hAnsi="Arial"/>
                  <w:sz w:val="18"/>
                  <w:szCs w:val="18"/>
                  <w:u w:val="single" w:color="auto"/>
                  <w:color w:val="0000EE"/>
                  <w:w w:val="91"/>
                </w:rPr>
                <w:t>10.9</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Promissory Note by and between Wrap Technologies, Inc. and Bank of America, N.A. dated May 1, 2020. Incorporated by reference to Exhibit</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10.1 to the Current Report on Form 8-K, filed on May 5, 2020.</w:t>
            </w:r>
          </w:p>
        </w:tc>
        <w:tc>
          <w:tcPr>
            <w:tcW w:w="0" w:type="dxa"/>
            <w:vAlign w:val="bottom"/>
          </w:tcPr>
          <w:p>
            <w:pPr>
              <w:spacing w:after="0"/>
              <w:rPr>
                <w:sz w:val="1"/>
                <w:szCs w:val="1"/>
                <w:color w:val="auto"/>
              </w:rPr>
            </w:pPr>
          </w:p>
        </w:tc>
      </w:tr>
      <w:tr>
        <w:trPr>
          <w:trHeight w:val="208"/>
        </w:trPr>
        <w:tc>
          <w:tcPr>
            <w:tcW w:w="840" w:type="dxa"/>
            <w:vAlign w:val="bottom"/>
          </w:tcPr>
          <w:p>
            <w:pPr>
              <w:jc w:val="center"/>
              <w:spacing w:after="0"/>
              <w:rPr>
                <w:rFonts w:ascii="Arial" w:cs="Arial" w:eastAsia="Arial" w:hAnsi="Arial"/>
                <w:sz w:val="18"/>
                <w:szCs w:val="18"/>
                <w:u w:val="single" w:color="auto"/>
                <w:color w:val="0000EE"/>
                <w:w w:val="88"/>
              </w:rPr>
            </w:pPr>
            <w:hyperlink r:id="rId34">
              <w:r>
                <w:rPr>
                  <w:rFonts w:ascii="Arial" w:cs="Arial" w:eastAsia="Arial" w:hAnsi="Arial"/>
                  <w:sz w:val="18"/>
                  <w:szCs w:val="18"/>
                  <w:u w:val="single" w:color="auto"/>
                  <w:color w:val="0000EE"/>
                  <w:w w:val="88"/>
                </w:rPr>
                <w:t>10.10</w:t>
              </w:r>
            </w:hyperlink>
          </w:p>
        </w:tc>
        <w:tc>
          <w:tcPr>
            <w:tcW w:w="10400" w:type="dxa"/>
            <w:vAlign w:val="bottom"/>
          </w:tcPr>
          <w:p>
            <w:pPr>
              <w:ind w:left="80"/>
              <w:spacing w:after="0"/>
              <w:rPr>
                <w:sz w:val="20"/>
                <w:szCs w:val="20"/>
                <w:color w:val="auto"/>
              </w:rPr>
            </w:pPr>
            <w:r>
              <w:rPr>
                <w:rFonts w:ascii="Arial" w:cs="Arial" w:eastAsia="Arial" w:hAnsi="Arial"/>
                <w:sz w:val="18"/>
                <w:szCs w:val="18"/>
                <w:color w:val="auto"/>
                <w:w w:val="89"/>
              </w:rPr>
              <w:t>Consulting Agreement by and between the Company and V3, effective April 1, 2020. Incorporated by reference to Exhibit 10.1 to the Registration</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Statement on Form S-8, filed on May 29, 2020.</w:t>
            </w:r>
          </w:p>
        </w:tc>
        <w:tc>
          <w:tcPr>
            <w:tcW w:w="0" w:type="dxa"/>
            <w:vAlign w:val="bottom"/>
          </w:tcPr>
          <w:p>
            <w:pPr>
              <w:spacing w:after="0"/>
              <w:rPr>
                <w:sz w:val="1"/>
                <w:szCs w:val="1"/>
                <w:color w:val="auto"/>
              </w:rPr>
            </w:pPr>
          </w:p>
        </w:tc>
      </w:tr>
      <w:tr>
        <w:trPr>
          <w:trHeight w:val="209"/>
        </w:trPr>
        <w:tc>
          <w:tcPr>
            <w:tcW w:w="840" w:type="dxa"/>
            <w:vAlign w:val="bottom"/>
            <w:shd w:val="clear" w:color="auto" w:fill="CCEEFF"/>
          </w:tcPr>
          <w:p>
            <w:pPr>
              <w:jc w:val="center"/>
              <w:spacing w:after="0"/>
              <w:rPr>
                <w:rFonts w:ascii="Arial" w:cs="Arial" w:eastAsia="Arial" w:hAnsi="Arial"/>
                <w:sz w:val="18"/>
                <w:szCs w:val="18"/>
                <w:u w:val="single" w:color="auto"/>
                <w:color w:val="0000EE"/>
                <w:w w:val="88"/>
              </w:rPr>
            </w:pPr>
            <w:hyperlink r:id="rId35">
              <w:r>
                <w:rPr>
                  <w:rFonts w:ascii="Arial" w:cs="Arial" w:eastAsia="Arial" w:hAnsi="Arial"/>
                  <w:sz w:val="18"/>
                  <w:szCs w:val="18"/>
                  <w:u w:val="single" w:color="auto"/>
                  <w:color w:val="0000EE"/>
                  <w:w w:val="88"/>
                </w:rPr>
                <w:t>10.11</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Amendment No. 2 to the Wrap Technologies, Inc. 2017 Equity Compensation Plan. Incorporated by reference to Exhibit 10.1 to the Registration</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Statement on Form S-8, filed on June 17, 2020.</w:t>
            </w: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rFonts w:ascii="Arial" w:cs="Arial" w:eastAsia="Arial" w:hAnsi="Arial"/>
                <w:sz w:val="18"/>
                <w:szCs w:val="18"/>
                <w:u w:val="single" w:color="auto"/>
                <w:color w:val="0000EE"/>
                <w:w w:val="88"/>
              </w:rPr>
            </w:pPr>
            <w:hyperlink r:id="rId36">
              <w:r>
                <w:rPr>
                  <w:rFonts w:ascii="Arial" w:cs="Arial" w:eastAsia="Arial" w:hAnsi="Arial"/>
                  <w:sz w:val="18"/>
                  <w:szCs w:val="18"/>
                  <w:u w:val="single" w:color="auto"/>
                  <w:color w:val="0000EE"/>
                  <w:w w:val="88"/>
                </w:rPr>
                <w:t>10.12</w:t>
              </w:r>
            </w:hyperlink>
          </w:p>
        </w:tc>
        <w:tc>
          <w:tcPr>
            <w:tcW w:w="10400" w:type="dxa"/>
            <w:vAlign w:val="bottom"/>
          </w:tcPr>
          <w:p>
            <w:pPr>
              <w:ind w:left="80"/>
              <w:spacing w:after="0"/>
              <w:rPr>
                <w:sz w:val="20"/>
                <w:szCs w:val="20"/>
                <w:color w:val="auto"/>
              </w:rPr>
            </w:pPr>
            <w:r>
              <w:rPr>
                <w:rFonts w:ascii="Arial" w:cs="Arial" w:eastAsia="Arial" w:hAnsi="Arial"/>
                <w:sz w:val="18"/>
                <w:szCs w:val="18"/>
                <w:color w:val="auto"/>
                <w:w w:val="97"/>
              </w:rPr>
              <w:t>Form of Subscription Agreement. Incorporated by reference to Exhibit 10.1 to the Current Report on Form 8-K, filed on June 2, 2020.</w:t>
            </w:r>
          </w:p>
        </w:tc>
        <w:tc>
          <w:tcPr>
            <w:tcW w:w="0" w:type="dxa"/>
            <w:vAlign w:val="bottom"/>
          </w:tcPr>
          <w:p>
            <w:pPr>
              <w:spacing w:after="0"/>
              <w:rPr>
                <w:sz w:val="1"/>
                <w:szCs w:val="1"/>
                <w:color w:val="auto"/>
              </w:rPr>
            </w:pPr>
          </w:p>
        </w:tc>
      </w:tr>
      <w:tr>
        <w:trPr>
          <w:trHeight w:val="208"/>
        </w:trPr>
        <w:tc>
          <w:tcPr>
            <w:tcW w:w="840" w:type="dxa"/>
            <w:vAlign w:val="bottom"/>
            <w:shd w:val="clear" w:color="auto" w:fill="CCEEFF"/>
          </w:tcPr>
          <w:p>
            <w:pPr>
              <w:jc w:val="center"/>
              <w:spacing w:after="0"/>
              <w:rPr>
                <w:rFonts w:ascii="Arial" w:cs="Arial" w:eastAsia="Arial" w:hAnsi="Arial"/>
                <w:sz w:val="18"/>
                <w:szCs w:val="18"/>
                <w:u w:val="single" w:color="auto"/>
                <w:color w:val="0000EE"/>
                <w:w w:val="88"/>
              </w:rPr>
            </w:pPr>
            <w:hyperlink r:id="rId37">
              <w:r>
                <w:rPr>
                  <w:rFonts w:ascii="Arial" w:cs="Arial" w:eastAsia="Arial" w:hAnsi="Arial"/>
                  <w:sz w:val="18"/>
                  <w:szCs w:val="18"/>
                  <w:u w:val="single" w:color="auto"/>
                  <w:color w:val="0000EE"/>
                  <w:w w:val="88"/>
                </w:rPr>
                <w:t>10.13</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Employment Agreement by and between Wrap Technologies, Inc., and Marc T. Thomas, dated July 30, 2020. Incorporated by reference to Exhibit</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10.1 to the Current Report on Form 8-K, filed on July 31, 2020.</w:t>
            </w:r>
          </w:p>
        </w:tc>
        <w:tc>
          <w:tcPr>
            <w:tcW w:w="0" w:type="dxa"/>
            <w:vAlign w:val="bottom"/>
          </w:tcPr>
          <w:p>
            <w:pPr>
              <w:spacing w:after="0"/>
              <w:rPr>
                <w:sz w:val="1"/>
                <w:szCs w:val="1"/>
                <w:color w:val="auto"/>
              </w:rPr>
            </w:pPr>
          </w:p>
        </w:tc>
      </w:tr>
      <w:tr>
        <w:trPr>
          <w:trHeight w:val="208"/>
        </w:trPr>
        <w:tc>
          <w:tcPr>
            <w:tcW w:w="840" w:type="dxa"/>
            <w:vAlign w:val="bottom"/>
          </w:tcPr>
          <w:p>
            <w:pPr>
              <w:jc w:val="center"/>
              <w:spacing w:after="0"/>
              <w:rPr>
                <w:rFonts w:ascii="Arial" w:cs="Arial" w:eastAsia="Arial" w:hAnsi="Arial"/>
                <w:sz w:val="18"/>
                <w:szCs w:val="18"/>
                <w:u w:val="single" w:color="auto"/>
                <w:color w:val="0000EE"/>
                <w:w w:val="88"/>
              </w:rPr>
            </w:pPr>
            <w:hyperlink r:id="rId38">
              <w:r>
                <w:rPr>
                  <w:rFonts w:ascii="Arial" w:cs="Arial" w:eastAsia="Arial" w:hAnsi="Arial"/>
                  <w:sz w:val="18"/>
                  <w:szCs w:val="18"/>
                  <w:u w:val="single" w:color="auto"/>
                  <w:color w:val="0000EE"/>
                  <w:w w:val="88"/>
                </w:rPr>
                <w:t>10.14</w:t>
              </w:r>
            </w:hyperlink>
          </w:p>
        </w:tc>
        <w:tc>
          <w:tcPr>
            <w:tcW w:w="10400" w:type="dxa"/>
            <w:vAlign w:val="bottom"/>
          </w:tcPr>
          <w:p>
            <w:pPr>
              <w:ind w:left="80"/>
              <w:spacing w:after="0"/>
              <w:rPr>
                <w:sz w:val="20"/>
                <w:szCs w:val="20"/>
                <w:color w:val="auto"/>
              </w:rPr>
            </w:pPr>
            <w:r>
              <w:rPr>
                <w:rFonts w:ascii="Arial" w:cs="Arial" w:eastAsia="Arial" w:hAnsi="Arial"/>
                <w:sz w:val="18"/>
                <w:szCs w:val="18"/>
                <w:color w:val="auto"/>
                <w:w w:val="96"/>
              </w:rPr>
              <w:t>At-Will Employment, Confidential Information, Non-Compete/Non-Solicitation, Invention Assignment, and Arbitration Agreement, dated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w w:val="89"/>
              </w:rPr>
              <w:t>September 9, 2020 between the Company and Thomas Smith. Incorporated by reference to Exhibit 10.1 to the Current Report on Form 8-K, filed</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on September 14, 2020.</w:t>
            </w:r>
          </w:p>
        </w:tc>
        <w:tc>
          <w:tcPr>
            <w:tcW w:w="0" w:type="dxa"/>
            <w:vAlign w:val="bottom"/>
          </w:tcPr>
          <w:p>
            <w:pPr>
              <w:spacing w:after="0"/>
              <w:rPr>
                <w:sz w:val="1"/>
                <w:szCs w:val="1"/>
                <w:color w:val="auto"/>
              </w:rPr>
            </w:pPr>
          </w:p>
        </w:tc>
      </w:tr>
      <w:tr>
        <w:trPr>
          <w:trHeight w:val="209"/>
        </w:trPr>
        <w:tc>
          <w:tcPr>
            <w:tcW w:w="840" w:type="dxa"/>
            <w:vAlign w:val="bottom"/>
            <w:shd w:val="clear" w:color="auto" w:fill="CCEEFF"/>
          </w:tcPr>
          <w:p>
            <w:pPr>
              <w:jc w:val="center"/>
              <w:spacing w:after="0"/>
              <w:rPr>
                <w:rFonts w:ascii="Arial" w:cs="Arial" w:eastAsia="Arial" w:hAnsi="Arial"/>
                <w:sz w:val="18"/>
                <w:szCs w:val="18"/>
                <w:u w:val="single" w:color="auto"/>
                <w:color w:val="0000EE"/>
                <w:w w:val="88"/>
              </w:rPr>
            </w:pPr>
            <w:hyperlink r:id="rId39">
              <w:r>
                <w:rPr>
                  <w:rFonts w:ascii="Arial" w:cs="Arial" w:eastAsia="Arial" w:hAnsi="Arial"/>
                  <w:sz w:val="18"/>
                  <w:szCs w:val="18"/>
                  <w:u w:val="single" w:color="auto"/>
                  <w:color w:val="0000EE"/>
                  <w:w w:val="88"/>
                </w:rPr>
                <w:t>10.15</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Asset Purchase Agreement between NSENA Inc. and Wrap Reality, Inc. dated as of December 14, 2020. In accordance with the instructions to</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Item 601(b)(2) of Regulation S-K, the schedules and exhibits to the Asset Purchase Agreement are not filed herewith.  The Asset Purchase</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Agreement identifies such schedules and exhibits, including the general nature of their content.  The Company undertakes to provide such</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schedules and exhibits to the SEC upon request. Incorporated by reference to Exhibit 2.1 to the Current Report on Form 8-K, filed on September</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14, 2020.</w:t>
            </w:r>
          </w:p>
        </w:tc>
        <w:tc>
          <w:tcPr>
            <w:tcW w:w="0" w:type="dxa"/>
            <w:vAlign w:val="bottom"/>
          </w:tcPr>
          <w:p>
            <w:pPr>
              <w:spacing w:after="0"/>
              <w:rPr>
                <w:sz w:val="1"/>
                <w:szCs w:val="1"/>
                <w:color w:val="auto"/>
              </w:rPr>
            </w:pPr>
          </w:p>
        </w:tc>
      </w:tr>
      <w:tr>
        <w:trPr>
          <w:trHeight w:val="208"/>
        </w:trPr>
        <w:tc>
          <w:tcPr>
            <w:tcW w:w="840" w:type="dxa"/>
            <w:vAlign w:val="bottom"/>
          </w:tcPr>
          <w:p>
            <w:pPr>
              <w:jc w:val="center"/>
              <w:spacing w:after="0"/>
              <w:rPr>
                <w:rFonts w:ascii="Arial" w:cs="Arial" w:eastAsia="Arial" w:hAnsi="Arial"/>
                <w:sz w:val="18"/>
                <w:szCs w:val="18"/>
                <w:u w:val="single" w:color="auto"/>
                <w:color w:val="0000EE"/>
                <w:w w:val="88"/>
              </w:rPr>
            </w:pPr>
            <w:hyperlink r:id="rId40">
              <w:r>
                <w:rPr>
                  <w:rFonts w:ascii="Arial" w:cs="Arial" w:eastAsia="Arial" w:hAnsi="Arial"/>
                  <w:sz w:val="18"/>
                  <w:szCs w:val="18"/>
                  <w:u w:val="single" w:color="auto"/>
                  <w:color w:val="0000EE"/>
                  <w:w w:val="88"/>
                </w:rPr>
                <w:t>10.16</w:t>
              </w:r>
            </w:hyperlink>
          </w:p>
        </w:tc>
        <w:tc>
          <w:tcPr>
            <w:tcW w:w="10400" w:type="dxa"/>
            <w:vAlign w:val="bottom"/>
          </w:tcPr>
          <w:p>
            <w:pPr>
              <w:ind w:left="80"/>
              <w:spacing w:after="0"/>
              <w:rPr>
                <w:sz w:val="20"/>
                <w:szCs w:val="20"/>
                <w:color w:val="auto"/>
              </w:rPr>
            </w:pPr>
            <w:r>
              <w:rPr>
                <w:rFonts w:ascii="Arial" w:cs="Arial" w:eastAsia="Arial" w:hAnsi="Arial"/>
                <w:sz w:val="18"/>
                <w:szCs w:val="18"/>
                <w:color w:val="auto"/>
                <w:w w:val="94"/>
              </w:rPr>
              <w:t>Form of At-Will Employment, Confidential Information, Non-Compete/ Non-Solicitation, Invention Assignment, and Arbitration Agreement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w w:val="88"/>
              </w:rPr>
              <w:t>between the Key Employees and the Company dated December 14, 2020. Incorporated by reference to Exhibit 2.2 to the Current Report on Form</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8-K, filed on September 14, 2020.</w:t>
            </w:r>
          </w:p>
        </w:tc>
        <w:tc>
          <w:tcPr>
            <w:tcW w:w="0" w:type="dxa"/>
            <w:vAlign w:val="bottom"/>
          </w:tcPr>
          <w:p>
            <w:pPr>
              <w:spacing w:after="0"/>
              <w:rPr>
                <w:sz w:val="1"/>
                <w:szCs w:val="1"/>
                <w:color w:val="auto"/>
              </w:rPr>
            </w:pPr>
          </w:p>
        </w:tc>
      </w:tr>
      <w:tr>
        <w:trPr>
          <w:trHeight w:val="217"/>
        </w:trPr>
        <w:tc>
          <w:tcPr>
            <w:tcW w:w="840" w:type="dxa"/>
            <w:vAlign w:val="bottom"/>
            <w:shd w:val="clear" w:color="auto" w:fill="CCEEFF"/>
          </w:tcPr>
          <w:p>
            <w:pPr>
              <w:jc w:val="center"/>
              <w:spacing w:after="0"/>
              <w:rPr>
                <w:rFonts w:ascii="Arial" w:cs="Arial" w:eastAsia="Arial" w:hAnsi="Arial"/>
                <w:sz w:val="18"/>
                <w:szCs w:val="18"/>
                <w:u w:val="single" w:color="auto"/>
                <w:color w:val="0000EE"/>
                <w:w w:val="91"/>
              </w:rPr>
            </w:pPr>
            <w:hyperlink r:id="rId41">
              <w:r>
                <w:rPr>
                  <w:rFonts w:ascii="Arial" w:cs="Arial" w:eastAsia="Arial" w:hAnsi="Arial"/>
                  <w:sz w:val="18"/>
                  <w:szCs w:val="18"/>
                  <w:u w:val="single" w:color="auto"/>
                  <w:color w:val="0000EE"/>
                  <w:w w:val="91"/>
                </w:rPr>
                <w:t>14.1</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Code of Ethics of the Registrant Applicable to Directors, Officers and Employees.*</w:t>
            </w: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rFonts w:ascii="Arial" w:cs="Arial" w:eastAsia="Arial" w:hAnsi="Arial"/>
                <w:sz w:val="18"/>
                <w:szCs w:val="18"/>
                <w:u w:val="single" w:color="auto"/>
                <w:color w:val="0000EE"/>
                <w:w w:val="91"/>
              </w:rPr>
            </w:pPr>
            <w:hyperlink r:id="rId42">
              <w:r>
                <w:rPr>
                  <w:rFonts w:ascii="Arial" w:cs="Arial" w:eastAsia="Arial" w:hAnsi="Arial"/>
                  <w:sz w:val="18"/>
                  <w:szCs w:val="18"/>
                  <w:u w:val="single" w:color="auto"/>
                  <w:color w:val="0000EE"/>
                  <w:w w:val="91"/>
                </w:rPr>
                <w:t>21.1</w:t>
              </w:r>
            </w:hyperlink>
          </w:p>
        </w:tc>
        <w:tc>
          <w:tcPr>
            <w:tcW w:w="10400" w:type="dxa"/>
            <w:vAlign w:val="bottom"/>
          </w:tcPr>
          <w:p>
            <w:pPr>
              <w:ind w:left="80"/>
              <w:spacing w:after="0"/>
              <w:rPr>
                <w:sz w:val="20"/>
                <w:szCs w:val="20"/>
                <w:color w:val="auto"/>
              </w:rPr>
            </w:pPr>
            <w:r>
              <w:rPr>
                <w:rFonts w:ascii="Arial" w:cs="Arial" w:eastAsia="Arial" w:hAnsi="Arial"/>
                <w:sz w:val="18"/>
                <w:szCs w:val="18"/>
                <w:color w:val="auto"/>
              </w:rPr>
              <w:t>Subsidiaries of Wrap Technologies, Inc.*</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spacing w:after="0"/>
              <w:rPr>
                <w:rFonts w:ascii="Arial" w:cs="Arial" w:eastAsia="Arial" w:hAnsi="Arial"/>
                <w:sz w:val="18"/>
                <w:szCs w:val="18"/>
                <w:u w:val="single" w:color="auto"/>
                <w:color w:val="0000EE"/>
                <w:w w:val="91"/>
              </w:rPr>
            </w:pPr>
            <w:hyperlink r:id="rId43">
              <w:r>
                <w:rPr>
                  <w:rFonts w:ascii="Arial" w:cs="Arial" w:eastAsia="Arial" w:hAnsi="Arial"/>
                  <w:sz w:val="18"/>
                  <w:szCs w:val="18"/>
                  <w:u w:val="single" w:color="auto"/>
                  <w:color w:val="0000EE"/>
                  <w:w w:val="91"/>
                </w:rPr>
                <w:t>23.1</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Consent of Independent Registered Public Accounting Firm - Rosenberg Rich Baker Berman, P.A. *</w:t>
            </w:r>
          </w:p>
        </w:tc>
        <w:tc>
          <w:tcPr>
            <w:tcW w:w="0" w:type="dxa"/>
            <w:vAlign w:val="bottom"/>
          </w:tcPr>
          <w:p>
            <w:pPr>
              <w:spacing w:after="0"/>
              <w:rPr>
                <w:sz w:val="1"/>
                <w:szCs w:val="1"/>
                <w:color w:val="auto"/>
              </w:rPr>
            </w:pPr>
          </w:p>
        </w:tc>
      </w:tr>
      <w:tr>
        <w:trPr>
          <w:trHeight w:val="216"/>
        </w:trPr>
        <w:tc>
          <w:tcPr>
            <w:tcW w:w="840" w:type="dxa"/>
            <w:vAlign w:val="bottom"/>
          </w:tcPr>
          <w:p>
            <w:pPr>
              <w:jc w:val="center"/>
              <w:spacing w:after="0"/>
              <w:rPr>
                <w:rFonts w:ascii="Arial" w:cs="Arial" w:eastAsia="Arial" w:hAnsi="Arial"/>
                <w:sz w:val="18"/>
                <w:szCs w:val="18"/>
                <w:u w:val="single" w:color="auto"/>
                <w:color w:val="0000EE"/>
                <w:w w:val="91"/>
              </w:rPr>
            </w:pPr>
            <w:hyperlink w:anchor="page8">
              <w:r>
                <w:rPr>
                  <w:rFonts w:ascii="Arial" w:cs="Arial" w:eastAsia="Arial" w:hAnsi="Arial"/>
                  <w:sz w:val="18"/>
                  <w:szCs w:val="18"/>
                  <w:u w:val="single" w:color="auto"/>
                  <w:color w:val="0000EE"/>
                  <w:w w:val="91"/>
                </w:rPr>
                <w:t>31.1</w:t>
              </w:r>
            </w:hyperlink>
          </w:p>
        </w:tc>
        <w:tc>
          <w:tcPr>
            <w:tcW w:w="10400" w:type="dxa"/>
            <w:vAlign w:val="bottom"/>
          </w:tcPr>
          <w:p>
            <w:pPr>
              <w:ind w:left="80"/>
              <w:spacing w:after="0"/>
              <w:rPr>
                <w:sz w:val="20"/>
                <w:szCs w:val="20"/>
                <w:color w:val="auto"/>
              </w:rPr>
            </w:pPr>
            <w:r>
              <w:rPr>
                <w:rFonts w:ascii="Arial" w:cs="Arial" w:eastAsia="Arial" w:hAnsi="Arial"/>
                <w:sz w:val="18"/>
                <w:szCs w:val="18"/>
                <w:color w:val="auto"/>
              </w:rPr>
              <w:t>Certification pursuant to Rule 13a-14(a) under the Securities Exchange Act of 1934</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spacing w:after="0"/>
              <w:rPr>
                <w:rFonts w:ascii="Arial" w:cs="Arial" w:eastAsia="Arial" w:hAnsi="Arial"/>
                <w:sz w:val="18"/>
                <w:szCs w:val="18"/>
                <w:u w:val="single" w:color="auto"/>
                <w:color w:val="0000EE"/>
                <w:w w:val="91"/>
              </w:rPr>
            </w:pPr>
            <w:hyperlink w:anchor="page9">
              <w:r>
                <w:rPr>
                  <w:rFonts w:ascii="Arial" w:cs="Arial" w:eastAsia="Arial" w:hAnsi="Arial"/>
                  <w:sz w:val="18"/>
                  <w:szCs w:val="18"/>
                  <w:u w:val="single" w:color="auto"/>
                  <w:color w:val="0000EE"/>
                  <w:w w:val="91"/>
                </w:rPr>
                <w:t>31.2</w:t>
              </w:r>
            </w:hyperlink>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Certification pursuant to Rule 13a-14(a) under the Securities Exchange Act of 1934</w:t>
            </w:r>
          </w:p>
        </w:tc>
        <w:tc>
          <w:tcPr>
            <w:tcW w:w="0" w:type="dxa"/>
            <w:vAlign w:val="bottom"/>
          </w:tcPr>
          <w:p>
            <w:pPr>
              <w:spacing w:after="0"/>
              <w:rPr>
                <w:sz w:val="1"/>
                <w:szCs w:val="1"/>
                <w:color w:val="auto"/>
              </w:rPr>
            </w:pPr>
          </w:p>
        </w:tc>
      </w:tr>
      <w:tr>
        <w:trPr>
          <w:trHeight w:val="208"/>
        </w:trPr>
        <w:tc>
          <w:tcPr>
            <w:tcW w:w="840" w:type="dxa"/>
            <w:vAlign w:val="bottom"/>
          </w:tcPr>
          <w:p>
            <w:pPr>
              <w:jc w:val="center"/>
              <w:spacing w:after="0"/>
              <w:rPr>
                <w:rFonts w:ascii="Arial" w:cs="Arial" w:eastAsia="Arial" w:hAnsi="Arial"/>
                <w:sz w:val="18"/>
                <w:szCs w:val="18"/>
                <w:u w:val="single" w:color="auto"/>
                <w:color w:val="0000EE"/>
                <w:w w:val="91"/>
              </w:rPr>
            </w:pPr>
            <w:hyperlink r:id="rId44">
              <w:r>
                <w:rPr>
                  <w:rFonts w:ascii="Arial" w:cs="Arial" w:eastAsia="Arial" w:hAnsi="Arial"/>
                  <w:sz w:val="18"/>
                  <w:szCs w:val="18"/>
                  <w:u w:val="single" w:color="auto"/>
                  <w:color w:val="0000EE"/>
                  <w:w w:val="91"/>
                </w:rPr>
                <w:t>32.1</w:t>
              </w:r>
            </w:hyperlink>
          </w:p>
        </w:tc>
        <w:tc>
          <w:tcPr>
            <w:tcW w:w="10400" w:type="dxa"/>
            <w:vAlign w:val="bottom"/>
          </w:tcPr>
          <w:p>
            <w:pPr>
              <w:ind w:left="80"/>
              <w:spacing w:after="0"/>
              <w:rPr>
                <w:sz w:val="20"/>
                <w:szCs w:val="20"/>
                <w:color w:val="auto"/>
              </w:rPr>
            </w:pPr>
            <w:r>
              <w:rPr>
                <w:rFonts w:ascii="Arial" w:cs="Arial" w:eastAsia="Arial" w:hAnsi="Arial"/>
                <w:sz w:val="18"/>
                <w:szCs w:val="18"/>
                <w:color w:val="auto"/>
                <w:w w:val="89"/>
              </w:rPr>
              <w:t>Certifications pursuant to 18 U.S.C. Section 1350. This certification is being furnished solely to accompany this Annual Report on Form 10-K and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w w:val="89"/>
              </w:rPr>
              <w:t>is not being filed for purposes of Section 18 of the Securities Exchange Act of 1934, as amended, and is not to be incorporated by reference into</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any filing of the Company.*</w:t>
            </w:r>
          </w:p>
        </w:tc>
        <w:tc>
          <w:tcPr>
            <w:tcW w:w="0" w:type="dxa"/>
            <w:vAlign w:val="bottom"/>
          </w:tcPr>
          <w:p>
            <w:pPr>
              <w:spacing w:after="0"/>
              <w:rPr>
                <w:sz w:val="1"/>
                <w:szCs w:val="1"/>
                <w:color w:val="auto"/>
              </w:rPr>
            </w:pPr>
          </w:p>
        </w:tc>
      </w:tr>
      <w:tr>
        <w:trPr>
          <w:trHeight w:val="217"/>
        </w:trPr>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10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503"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Pr>
          <w:p>
            <w:pPr>
              <w:ind w:left="140"/>
              <w:spacing w:after="0"/>
              <w:rPr>
                <w:sz w:val="20"/>
                <w:szCs w:val="20"/>
                <w:color w:val="auto"/>
              </w:rPr>
            </w:pPr>
            <w:r>
              <w:rPr>
                <w:rFonts w:ascii="Arial" w:cs="Arial" w:eastAsia="Arial" w:hAnsi="Arial"/>
                <w:sz w:val="18"/>
                <w:szCs w:val="18"/>
                <w:color w:val="auto"/>
                <w:w w:val="95"/>
              </w:rPr>
              <w:t>101.SCH</w:t>
            </w:r>
          </w:p>
        </w:tc>
        <w:tc>
          <w:tcPr>
            <w:tcW w:w="10380" w:type="dxa"/>
            <w:vAlign w:val="bottom"/>
          </w:tcPr>
          <w:p>
            <w:pPr>
              <w:ind w:left="60"/>
              <w:spacing w:after="0"/>
              <w:rPr>
                <w:sz w:val="20"/>
                <w:szCs w:val="20"/>
                <w:color w:val="auto"/>
              </w:rPr>
            </w:pPr>
            <w:r>
              <w:rPr>
                <w:rFonts w:ascii="Arial" w:cs="Arial" w:eastAsia="Arial" w:hAnsi="Arial"/>
                <w:sz w:val="18"/>
                <w:szCs w:val="18"/>
                <w:color w:val="auto"/>
              </w:rPr>
              <w:t>XBRL Taxonomy Extension Schema.</w:t>
            </w:r>
          </w:p>
        </w:tc>
      </w:tr>
      <w:tr>
        <w:trPr>
          <w:trHeight w:val="217"/>
        </w:trPr>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101.CAL</w:t>
            </w:r>
          </w:p>
        </w:tc>
        <w:tc>
          <w:tcPr>
            <w:tcW w:w="10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60" w:type="dxa"/>
            <w:vAlign w:val="bottom"/>
          </w:tcPr>
          <w:p>
            <w:pPr>
              <w:ind w:left="140"/>
              <w:spacing w:after="0"/>
              <w:rPr>
                <w:sz w:val="20"/>
                <w:szCs w:val="20"/>
                <w:color w:val="auto"/>
              </w:rPr>
            </w:pPr>
            <w:r>
              <w:rPr>
                <w:rFonts w:ascii="Arial" w:cs="Arial" w:eastAsia="Arial" w:hAnsi="Arial"/>
                <w:sz w:val="18"/>
                <w:szCs w:val="18"/>
                <w:color w:val="auto"/>
                <w:w w:val="98"/>
              </w:rPr>
              <w:t>101.DEF</w:t>
            </w:r>
          </w:p>
        </w:tc>
        <w:tc>
          <w:tcPr>
            <w:tcW w:w="1038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101.LAB</w:t>
            </w:r>
          </w:p>
        </w:tc>
        <w:tc>
          <w:tcPr>
            <w:tcW w:w="10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Labels Linkbase.</w:t>
            </w:r>
          </w:p>
        </w:tc>
      </w:tr>
      <w:tr>
        <w:trPr>
          <w:trHeight w:val="222"/>
        </w:trPr>
        <w:tc>
          <w:tcPr>
            <w:tcW w:w="860" w:type="dxa"/>
            <w:vAlign w:val="bottom"/>
          </w:tcPr>
          <w:p>
            <w:pPr>
              <w:ind w:left="140"/>
              <w:spacing w:after="0"/>
              <w:rPr>
                <w:sz w:val="20"/>
                <w:szCs w:val="20"/>
                <w:color w:val="auto"/>
              </w:rPr>
            </w:pPr>
            <w:r>
              <w:rPr>
                <w:rFonts w:ascii="Arial" w:cs="Arial" w:eastAsia="Arial" w:hAnsi="Arial"/>
                <w:sz w:val="18"/>
                <w:szCs w:val="18"/>
                <w:color w:val="auto"/>
                <w:w w:val="97"/>
              </w:rPr>
              <w:t>101.PRE</w:t>
            </w:r>
          </w:p>
        </w:tc>
        <w:tc>
          <w:tcPr>
            <w:tcW w:w="1038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Previously filed.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Tempe, State of Arizona, on the 19th day of March 2021.</w:t>
      </w:r>
    </w:p>
    <w:p>
      <w:pPr>
        <w:spacing w:after="0" w:line="18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WRAP TECHNOLOGIES, INC</w:t>
      </w:r>
    </w:p>
    <w:p>
      <w:pPr>
        <w:spacing w:after="0" w:line="231" w:lineRule="exact"/>
        <w:rPr>
          <w:sz w:val="20"/>
          <w:szCs w:val="20"/>
          <w:color w:val="auto"/>
        </w:rPr>
      </w:pPr>
    </w:p>
    <w:p>
      <w:pPr>
        <w:spacing w:after="0"/>
        <w:tabs>
          <w:tab w:leader="none" w:pos="5420" w:val="left"/>
        </w:tabs>
        <w:rPr>
          <w:sz w:val="20"/>
          <w:szCs w:val="20"/>
          <w:color w:val="auto"/>
        </w:rPr>
      </w:pPr>
      <w:r>
        <w:rPr>
          <w:rFonts w:ascii="Arial" w:cs="Arial" w:eastAsia="Arial" w:hAnsi="Arial"/>
          <w:sz w:val="18"/>
          <w:szCs w:val="18"/>
          <w:color w:val="auto"/>
        </w:rPr>
        <w:t>Date: March 19, 2021</w:t>
      </w:r>
      <w:r>
        <w:rPr>
          <w:sz w:val="20"/>
          <w:szCs w:val="20"/>
          <w:color w:val="auto"/>
        </w:rPr>
        <w:tab/>
      </w:r>
      <w:r>
        <w:rPr>
          <w:rFonts w:ascii="Arial" w:cs="Arial" w:eastAsia="Arial" w:hAnsi="Arial"/>
          <w:sz w:val="16"/>
          <w:szCs w:val="16"/>
          <w:color w:val="auto"/>
        </w:rPr>
        <w:t>By: /s/ Thomas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27940</wp:posOffset>
            </wp:positionV>
            <wp:extent cx="25888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4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Thomas Smith</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560" w:type="dxa"/>
            <w:vAlign w:val="bottom"/>
            <w:gridSpan w:val="2"/>
          </w:tcPr>
          <w:p>
            <w:pPr>
              <w:ind w:left="1480"/>
              <w:spacing w:after="0"/>
              <w:rPr>
                <w:sz w:val="20"/>
                <w:szCs w:val="20"/>
                <w:color w:val="auto"/>
              </w:rPr>
            </w:pPr>
            <w:r>
              <w:rPr>
                <w:rFonts w:ascii="Arial" w:cs="Arial" w:eastAsia="Arial" w:hAnsi="Arial"/>
                <w:sz w:val="18"/>
                <w:szCs w:val="18"/>
                <w:b w:val="1"/>
                <w:bCs w:val="1"/>
                <w:color w:val="auto"/>
              </w:rPr>
              <w:t>Position</w:t>
            </w:r>
          </w:p>
        </w:tc>
        <w:tc>
          <w:tcPr>
            <w:tcW w:w="3300" w:type="dxa"/>
            <w:vAlign w:val="bottom"/>
            <w:gridSpan w:val="2"/>
          </w:tcPr>
          <w:p>
            <w:pPr>
              <w:ind w:left="560"/>
              <w:spacing w:after="0"/>
              <w:rPr>
                <w:sz w:val="20"/>
                <w:szCs w:val="20"/>
                <w:color w:val="auto"/>
              </w:rPr>
            </w:pPr>
            <w:r>
              <w:rPr>
                <w:rFonts w:ascii="Arial" w:cs="Arial" w:eastAsia="Arial" w:hAnsi="Arial"/>
                <w:sz w:val="18"/>
                <w:szCs w:val="18"/>
                <w:b w:val="1"/>
                <w:bCs w:val="1"/>
                <w:color w:val="auto"/>
              </w:rPr>
              <w:t>Date</w:t>
            </w:r>
          </w:p>
        </w:tc>
      </w:tr>
      <w:tr>
        <w:trPr>
          <w:trHeight w:val="28"/>
        </w:trPr>
        <w:tc>
          <w:tcPr>
            <w:tcW w:w="2380" w:type="dxa"/>
            <w:vAlign w:val="bottom"/>
            <w:shd w:val="clear" w:color="auto" w:fill="000000"/>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740" w:type="dxa"/>
            <w:vAlign w:val="bottom"/>
            <w:shd w:val="clear" w:color="auto" w:fill="000000"/>
          </w:tcPr>
          <w:p>
            <w:pPr>
              <w:spacing w:after="0"/>
              <w:rPr>
                <w:sz w:val="2"/>
                <w:szCs w:val="2"/>
                <w:color w:val="auto"/>
              </w:rPr>
            </w:pPr>
          </w:p>
        </w:tc>
      </w:tr>
      <w:tr>
        <w:trPr>
          <w:trHeight w:val="439"/>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SMITH</w:t>
            </w:r>
          </w:p>
        </w:tc>
        <w:tc>
          <w:tcPr>
            <w:tcW w:w="5560" w:type="dxa"/>
            <w:vAlign w:val="bottom"/>
            <w:gridSpan w:val="2"/>
          </w:tcPr>
          <w:p>
            <w:pPr>
              <w:ind w:left="1480"/>
              <w:spacing w:after="0"/>
              <w:rPr>
                <w:sz w:val="20"/>
                <w:szCs w:val="20"/>
                <w:color w:val="auto"/>
              </w:rPr>
            </w:pPr>
            <w:r>
              <w:rPr>
                <w:rFonts w:ascii="Arial" w:cs="Arial" w:eastAsia="Arial" w:hAnsi="Arial"/>
                <w:sz w:val="18"/>
                <w:szCs w:val="18"/>
                <w:color w:val="auto"/>
              </w:rPr>
              <w:t>Chief Executive Officer</w:t>
            </w:r>
          </w:p>
        </w:tc>
        <w:tc>
          <w:tcPr>
            <w:tcW w:w="560" w:type="dxa"/>
            <w:vAlign w:val="bottom"/>
          </w:tcPr>
          <w:p>
            <w:pPr>
              <w:spacing w:after="0"/>
              <w:rPr>
                <w:sz w:val="24"/>
                <w:szCs w:val="24"/>
                <w:color w:val="auto"/>
              </w:rPr>
            </w:pPr>
          </w:p>
        </w:tc>
        <w:tc>
          <w:tcPr>
            <w:tcW w:w="2740" w:type="dxa"/>
            <w:vAlign w:val="bottom"/>
          </w:tcPr>
          <w:p>
            <w:pPr>
              <w:ind w:left="820"/>
              <w:spacing w:after="0"/>
              <w:rPr>
                <w:sz w:val="20"/>
                <w:szCs w:val="20"/>
                <w:color w:val="auto"/>
              </w:rPr>
            </w:pPr>
            <w:r>
              <w:rPr>
                <w:rFonts w:ascii="Arial" w:cs="Arial" w:eastAsia="Arial" w:hAnsi="Arial"/>
                <w:sz w:val="18"/>
                <w:szCs w:val="18"/>
                <w:color w:val="auto"/>
              </w:rPr>
              <w:t>March 19, 2021</w:t>
            </w: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Thomas Smith</w:t>
            </w:r>
          </w:p>
        </w:tc>
        <w:tc>
          <w:tcPr>
            <w:tcW w:w="5560" w:type="dxa"/>
            <w:vAlign w:val="bottom"/>
            <w:gridSpan w:val="2"/>
          </w:tcPr>
          <w:p>
            <w:pPr>
              <w:ind w:left="14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33"/>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BARNES</w:t>
            </w:r>
          </w:p>
        </w:tc>
        <w:tc>
          <w:tcPr>
            <w:tcW w:w="5560" w:type="dxa"/>
            <w:vAlign w:val="bottom"/>
            <w:gridSpan w:val="2"/>
          </w:tcPr>
          <w:p>
            <w:pPr>
              <w:ind w:left="1480"/>
              <w:spacing w:after="0"/>
              <w:rPr>
                <w:sz w:val="20"/>
                <w:szCs w:val="20"/>
                <w:color w:val="auto"/>
              </w:rPr>
            </w:pPr>
            <w:r>
              <w:rPr>
                <w:rFonts w:ascii="Arial" w:cs="Arial" w:eastAsia="Arial" w:hAnsi="Arial"/>
                <w:sz w:val="18"/>
                <w:szCs w:val="18"/>
                <w:color w:val="auto"/>
              </w:rPr>
              <w:t>Chief Financial Officer, Secretary and Treasurer</w:t>
            </w:r>
          </w:p>
        </w:tc>
        <w:tc>
          <w:tcPr>
            <w:tcW w:w="560" w:type="dxa"/>
            <w:vAlign w:val="bottom"/>
          </w:tcPr>
          <w:p>
            <w:pPr>
              <w:spacing w:after="0"/>
              <w:rPr>
                <w:sz w:val="24"/>
                <w:szCs w:val="24"/>
                <w:color w:val="auto"/>
              </w:rPr>
            </w:pPr>
          </w:p>
        </w:tc>
        <w:tc>
          <w:tcPr>
            <w:tcW w:w="2740" w:type="dxa"/>
            <w:vAlign w:val="bottom"/>
          </w:tcPr>
          <w:p>
            <w:pPr>
              <w:ind w:left="820"/>
              <w:spacing w:after="0"/>
              <w:rPr>
                <w:sz w:val="20"/>
                <w:szCs w:val="20"/>
                <w:color w:val="auto"/>
              </w:rPr>
            </w:pPr>
            <w:r>
              <w:rPr>
                <w:rFonts w:ascii="Arial" w:cs="Arial" w:eastAsia="Arial" w:hAnsi="Arial"/>
                <w:sz w:val="18"/>
                <w:szCs w:val="18"/>
                <w:color w:val="auto"/>
              </w:rPr>
              <w:t>March 19, 2021</w:t>
            </w:r>
          </w:p>
        </w:tc>
      </w:tr>
      <w:tr>
        <w:trPr>
          <w:trHeight w:val="241"/>
        </w:trPr>
        <w:tc>
          <w:tcPr>
            <w:tcW w:w="2380" w:type="dxa"/>
            <w:vAlign w:val="bottom"/>
          </w:tcPr>
          <w:p>
            <w:pPr>
              <w:spacing w:after="0"/>
              <w:rPr>
                <w:sz w:val="20"/>
                <w:szCs w:val="20"/>
                <w:color w:val="auto"/>
              </w:rPr>
            </w:pPr>
            <w:r>
              <w:rPr>
                <w:rFonts w:ascii="Arial" w:cs="Arial" w:eastAsia="Arial" w:hAnsi="Arial"/>
                <w:sz w:val="18"/>
                <w:szCs w:val="18"/>
                <w:color w:val="auto"/>
              </w:rPr>
              <w:t>James A. Barnes</w:t>
            </w:r>
          </w:p>
        </w:tc>
        <w:tc>
          <w:tcPr>
            <w:tcW w:w="5560" w:type="dxa"/>
            <w:vAlign w:val="bottom"/>
            <w:gridSpan w:val="2"/>
          </w:tcPr>
          <w:p>
            <w:pPr>
              <w:ind w:left="1480"/>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41"/>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 COHEN</w:t>
            </w:r>
          </w:p>
        </w:tc>
        <w:tc>
          <w:tcPr>
            <w:tcW w:w="5560" w:type="dxa"/>
            <w:vAlign w:val="bottom"/>
            <w:gridSpan w:val="2"/>
          </w:tcPr>
          <w:p>
            <w:pPr>
              <w:ind w:left="1480"/>
              <w:spacing w:after="0"/>
              <w:rPr>
                <w:sz w:val="20"/>
                <w:szCs w:val="20"/>
                <w:color w:val="auto"/>
              </w:rPr>
            </w:pPr>
            <w:r>
              <w:rPr>
                <w:rFonts w:ascii="Arial" w:cs="Arial" w:eastAsia="Arial" w:hAnsi="Arial"/>
                <w:sz w:val="18"/>
                <w:szCs w:val="18"/>
                <w:color w:val="auto"/>
              </w:rPr>
              <w:t>Executive Chair of Board</w:t>
            </w:r>
          </w:p>
        </w:tc>
        <w:tc>
          <w:tcPr>
            <w:tcW w:w="560" w:type="dxa"/>
            <w:vAlign w:val="bottom"/>
          </w:tcPr>
          <w:p>
            <w:pPr>
              <w:spacing w:after="0"/>
              <w:rPr>
                <w:sz w:val="24"/>
                <w:szCs w:val="24"/>
                <w:color w:val="auto"/>
              </w:rPr>
            </w:pPr>
          </w:p>
        </w:tc>
        <w:tc>
          <w:tcPr>
            <w:tcW w:w="2740" w:type="dxa"/>
            <w:vAlign w:val="bottom"/>
          </w:tcPr>
          <w:p>
            <w:pPr>
              <w:ind w:left="820"/>
              <w:spacing w:after="0"/>
              <w:rPr>
                <w:sz w:val="20"/>
                <w:szCs w:val="20"/>
                <w:color w:val="auto"/>
              </w:rPr>
            </w:pPr>
            <w:r>
              <w:rPr>
                <w:rFonts w:ascii="Arial" w:cs="Arial" w:eastAsia="Arial" w:hAnsi="Arial"/>
                <w:sz w:val="18"/>
                <w:szCs w:val="18"/>
                <w:color w:val="auto"/>
              </w:rPr>
              <w:t>March 19, 2021</w:t>
            </w: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Scot Cohen</w:t>
            </w:r>
          </w:p>
        </w:tc>
        <w:tc>
          <w:tcPr>
            <w:tcW w:w="1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33"/>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/s/DAVID G. NORRIS</w:t>
            </w:r>
          </w:p>
        </w:tc>
        <w:tc>
          <w:tcPr>
            <w:tcW w:w="5560" w:type="dxa"/>
            <w:vAlign w:val="bottom"/>
            <w:gridSpan w:val="2"/>
          </w:tcPr>
          <w:p>
            <w:pPr>
              <w:ind w:left="14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740" w:type="dxa"/>
            <w:vAlign w:val="bottom"/>
          </w:tcPr>
          <w:p>
            <w:pPr>
              <w:ind w:left="820"/>
              <w:spacing w:after="0"/>
              <w:rPr>
                <w:sz w:val="20"/>
                <w:szCs w:val="20"/>
                <w:color w:val="auto"/>
              </w:rPr>
            </w:pPr>
            <w:r>
              <w:rPr>
                <w:rFonts w:ascii="Arial" w:cs="Arial" w:eastAsia="Arial" w:hAnsi="Arial"/>
                <w:sz w:val="18"/>
                <w:szCs w:val="18"/>
                <w:color w:val="auto"/>
              </w:rPr>
              <w:t>March 19, 2021</w:t>
            </w: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David G. Norris</w:t>
            </w:r>
          </w:p>
        </w:tc>
        <w:tc>
          <w:tcPr>
            <w:tcW w:w="1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33"/>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/s/PATRICK KINSELLA</w:t>
            </w:r>
          </w:p>
        </w:tc>
        <w:tc>
          <w:tcPr>
            <w:tcW w:w="5560" w:type="dxa"/>
            <w:vAlign w:val="bottom"/>
            <w:gridSpan w:val="2"/>
          </w:tcPr>
          <w:p>
            <w:pPr>
              <w:ind w:left="14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740" w:type="dxa"/>
            <w:vAlign w:val="bottom"/>
          </w:tcPr>
          <w:p>
            <w:pPr>
              <w:ind w:left="820"/>
              <w:spacing w:after="0"/>
              <w:rPr>
                <w:sz w:val="20"/>
                <w:szCs w:val="20"/>
                <w:color w:val="auto"/>
              </w:rPr>
            </w:pPr>
            <w:r>
              <w:rPr>
                <w:rFonts w:ascii="Arial" w:cs="Arial" w:eastAsia="Arial" w:hAnsi="Arial"/>
                <w:sz w:val="18"/>
                <w:szCs w:val="18"/>
                <w:color w:val="auto"/>
              </w:rPr>
              <w:t>March 19, 2021</w:t>
            </w: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Patrick Kinsella</w:t>
            </w:r>
          </w:p>
        </w:tc>
        <w:tc>
          <w:tcPr>
            <w:tcW w:w="1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33"/>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/s/MICHAEL PARRIS</w:t>
            </w:r>
          </w:p>
        </w:tc>
        <w:tc>
          <w:tcPr>
            <w:tcW w:w="5560" w:type="dxa"/>
            <w:vAlign w:val="bottom"/>
            <w:gridSpan w:val="2"/>
          </w:tcPr>
          <w:p>
            <w:pPr>
              <w:ind w:left="14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740" w:type="dxa"/>
            <w:vAlign w:val="bottom"/>
          </w:tcPr>
          <w:p>
            <w:pPr>
              <w:ind w:left="820"/>
              <w:spacing w:after="0"/>
              <w:rPr>
                <w:sz w:val="20"/>
                <w:szCs w:val="20"/>
                <w:color w:val="auto"/>
              </w:rPr>
            </w:pPr>
            <w:r>
              <w:rPr>
                <w:rFonts w:ascii="Arial" w:cs="Arial" w:eastAsia="Arial" w:hAnsi="Arial"/>
                <w:sz w:val="18"/>
                <w:szCs w:val="18"/>
                <w:color w:val="auto"/>
              </w:rPr>
              <w:t>March 19, 2021</w:t>
            </w: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Michael Parris</w:t>
            </w:r>
          </w:p>
        </w:tc>
        <w:tc>
          <w:tcPr>
            <w:tcW w:w="1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33"/>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/s/WAYNE R. WALKER</w:t>
            </w:r>
          </w:p>
        </w:tc>
        <w:tc>
          <w:tcPr>
            <w:tcW w:w="5560" w:type="dxa"/>
            <w:vAlign w:val="bottom"/>
            <w:gridSpan w:val="2"/>
          </w:tcPr>
          <w:p>
            <w:pPr>
              <w:ind w:left="14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740" w:type="dxa"/>
            <w:vAlign w:val="bottom"/>
          </w:tcPr>
          <w:p>
            <w:pPr>
              <w:ind w:left="820"/>
              <w:spacing w:after="0"/>
              <w:rPr>
                <w:sz w:val="20"/>
                <w:szCs w:val="20"/>
                <w:color w:val="auto"/>
              </w:rPr>
            </w:pPr>
            <w:r>
              <w:rPr>
                <w:rFonts w:ascii="Arial" w:cs="Arial" w:eastAsia="Arial" w:hAnsi="Arial"/>
                <w:sz w:val="18"/>
                <w:szCs w:val="18"/>
                <w:color w:val="auto"/>
              </w:rPr>
              <w:t>March 19, 2021</w:t>
            </w: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Wayne R. Walker</w:t>
            </w:r>
          </w:p>
        </w:tc>
        <w:tc>
          <w:tcPr>
            <w:tcW w:w="1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858"/>
        </w:trPr>
        <w:tc>
          <w:tcPr>
            <w:tcW w:w="2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Thomas P. Smith, certify that:</w:t>
      </w:r>
    </w:p>
    <w:p>
      <w:pPr>
        <w:spacing w:after="0" w:line="158"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Wrap Technologies, Inc.;</w:t>
      </w:r>
    </w:p>
    <w:p>
      <w:pPr>
        <w:spacing w:after="0" w:line="157"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sz w:val="20"/>
          <w:szCs w:val="20"/>
          <w:color w:val="auto"/>
        </w:rPr>
      </w:pPr>
    </w:p>
    <w:p>
      <w:pPr>
        <w:ind w:left="660" w:hanging="652"/>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15d-15(e)) for the registrant and have:</w:t>
      </w:r>
    </w:p>
    <w:p>
      <w:pPr>
        <w:spacing w:after="0" w:line="118" w:lineRule="exact"/>
        <w:rPr>
          <w:rFonts w:ascii="Arial" w:cs="Arial" w:eastAsia="Arial" w:hAnsi="Arial"/>
          <w:sz w:val="18"/>
          <w:szCs w:val="18"/>
          <w:color w:val="auto"/>
        </w:rPr>
      </w:pPr>
    </w:p>
    <w:p>
      <w:pPr>
        <w:jc w:val="both"/>
        <w:ind w:left="1300" w:right="20" w:hanging="644"/>
        <w:spacing w:after="0" w:line="25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00" w:hanging="644"/>
        <w:spacing w:after="0" w:line="331"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660" w:hanging="652"/>
        <w:spacing w:after="0" w:line="33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6"/>
          <w:szCs w:val="16"/>
          <w:color w:val="auto"/>
        </w:rPr>
      </w:pPr>
    </w:p>
    <w:p>
      <w:pPr>
        <w:ind w:left="1300" w:hanging="644"/>
        <w:spacing w:after="0" w:line="331"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6"/>
          <w:szCs w:val="16"/>
          <w:color w:val="auto"/>
        </w:rPr>
      </w:pPr>
    </w:p>
    <w:p>
      <w:pPr>
        <w:ind w:left="1300" w:hanging="644"/>
        <w:spacing w:after="0" w:line="268"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WRAP TECHNOLOGIES INC</w:t>
      </w:r>
    </w:p>
    <w:p>
      <w:pPr>
        <w:spacing w:after="0" w:line="23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19, 2021</w:t>
      </w:r>
      <w:r>
        <w:rPr>
          <w:sz w:val="20"/>
          <w:szCs w:val="20"/>
          <w:color w:val="auto"/>
        </w:rPr>
        <w:tab/>
      </w:r>
      <w:r>
        <w:rPr>
          <w:rFonts w:ascii="Arial" w:cs="Arial" w:eastAsia="Arial" w:hAnsi="Arial"/>
          <w:sz w:val="16"/>
          <w:szCs w:val="16"/>
          <w:color w:val="auto"/>
        </w:rPr>
        <w:t>By: /s/ Thomas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Thomas P. Smith</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James A. Barnes, certify that:</w:t>
      </w:r>
    </w:p>
    <w:p>
      <w:pPr>
        <w:spacing w:after="0" w:line="15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Wrap Technologies, Inc.;</w:t>
      </w:r>
    </w:p>
    <w:p>
      <w:pPr>
        <w:spacing w:after="0" w:line="157"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sz w:val="20"/>
          <w:szCs w:val="20"/>
          <w:color w:val="auto"/>
        </w:rPr>
      </w:pPr>
    </w:p>
    <w:p>
      <w:pPr>
        <w:ind w:left="660" w:hanging="652"/>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15d-15(e)) for the registrant and have:</w:t>
      </w:r>
    </w:p>
    <w:p>
      <w:pPr>
        <w:spacing w:after="0" w:line="118" w:lineRule="exact"/>
        <w:rPr>
          <w:rFonts w:ascii="Arial" w:cs="Arial" w:eastAsia="Arial" w:hAnsi="Arial"/>
          <w:sz w:val="18"/>
          <w:szCs w:val="18"/>
          <w:color w:val="auto"/>
        </w:rPr>
      </w:pPr>
    </w:p>
    <w:p>
      <w:pPr>
        <w:jc w:val="both"/>
        <w:ind w:left="1300" w:right="20" w:hanging="644"/>
        <w:spacing w:after="0" w:line="25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00" w:hanging="644"/>
        <w:spacing w:after="0" w:line="33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left="1300" w:hanging="644"/>
        <w:spacing w:after="0" w:line="252"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660" w:hanging="652"/>
        <w:spacing w:after="0" w:line="32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6"/>
          <w:szCs w:val="16"/>
          <w:color w:val="auto"/>
        </w:rPr>
      </w:pPr>
    </w:p>
    <w:p>
      <w:pPr>
        <w:ind w:left="1300" w:hanging="644"/>
        <w:spacing w:after="0" w:line="33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6"/>
          <w:szCs w:val="16"/>
          <w:color w:val="auto"/>
        </w:rPr>
      </w:pPr>
    </w:p>
    <w:p>
      <w:pPr>
        <w:ind w:left="1300" w:hanging="644"/>
        <w:spacing w:after="0" w:line="268"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WRAP TECHNOLOGIES INC</w:t>
      </w:r>
    </w:p>
    <w:p>
      <w:pPr>
        <w:spacing w:after="0" w:line="23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19, 2021</w:t>
      </w:r>
      <w:r>
        <w:rPr>
          <w:sz w:val="20"/>
          <w:szCs w:val="20"/>
          <w:color w:val="auto"/>
        </w:rPr>
        <w:tab/>
      </w:r>
      <w:r>
        <w:rPr>
          <w:rFonts w:ascii="Arial" w:cs="Arial" w:eastAsia="Arial" w:hAnsi="Arial"/>
          <w:sz w:val="16"/>
          <w:szCs w:val="16"/>
          <w:color w:val="auto"/>
        </w:rPr>
        <w:t>By: /s/ James A.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James A. Barnes</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lvl w:ilvl="1">
      <w:lvlJc w:val="left"/>
      <w:lvlText w:val="(%2)"/>
      <w:numFmt w:val="decimal"/>
      <w:start w:val="3"/>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4"/>
    </w:lvl>
    <w:lvl w:ilvl="1">
      <w:lvlJc w:val="left"/>
      <w:lvlText w:val="%2)"/>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45" Type="http://schemas.openxmlformats.org/officeDocument/2006/relationships/image" Target="media/image9.png"/><Relationship Id="rId46" Type="http://schemas.openxmlformats.org/officeDocument/2006/relationships/image" Target="media/image10.png"/><Relationship Id="rId47" Type="http://schemas.openxmlformats.org/officeDocument/2006/relationships/image" Target="media/image11.png"/><Relationship Id="rId48" Type="http://schemas.openxmlformats.org/officeDocument/2006/relationships/image" Target="media/image12.png"/><Relationship Id="rId49" Type="http://schemas.openxmlformats.org/officeDocument/2006/relationships/image" Target="media/image13.png"/><Relationship Id="rId50" Type="http://schemas.openxmlformats.org/officeDocument/2006/relationships/image" Target="media/image14.png"/><Relationship Id="rId16" Type="http://schemas.openxmlformats.org/officeDocument/2006/relationships/hyperlink" Target="http://www.sec.gov/Archives/edgar/data/1702924/000165495417003384/ex2-1.htm" TargetMode="External"/><Relationship Id="rId17" Type="http://schemas.openxmlformats.org/officeDocument/2006/relationships/hyperlink" Target="http://www.sec.gov/Archives/edgar/data/1702924/000165495417003384/ex2-2.htm" TargetMode="External"/><Relationship Id="rId18" Type="http://schemas.openxmlformats.org/officeDocument/2006/relationships/hyperlink" Target="http://www.sec.gov/Archives/edgar/data/1702924/000165495417003384/ex3-1.htm" TargetMode="External"/><Relationship Id="rId19" Type="http://schemas.openxmlformats.org/officeDocument/2006/relationships/hyperlink" Target="http://www.sec.gov/Archives/edgar/data/1702924/000165495417003384/ex3-2.htm" TargetMode="External"/><Relationship Id="rId20" Type="http://schemas.openxmlformats.org/officeDocument/2006/relationships/hyperlink" Target="http://www.sec.gov/Archives/edgar/data/1702924/000165495417005181/ex4-1.htm" TargetMode="External"/><Relationship Id="rId21" Type="http://schemas.openxmlformats.org/officeDocument/2006/relationships/hyperlink" Target="http://www.sec.gov/Archives/edgar/data/1702924/000165495418011996/ex4-1.htm" TargetMode="External"/><Relationship Id="rId22" Type="http://schemas.openxmlformats.org/officeDocument/2006/relationships/hyperlink" Target="http://www.sec.gov/Archives/edgar/data/1702924/000165495418011996/ex4-2.htm" TargetMode="External"/><Relationship Id="rId23" Type="http://schemas.openxmlformats.org/officeDocument/2006/relationships/hyperlink" Target="http://www.sec.gov/Archives/edgar/data/1702924/000165495419007441/ex4-2.htm" TargetMode="External"/><Relationship Id="rId24" Type="http://schemas.openxmlformats.org/officeDocument/2006/relationships/hyperlink" Target="http://www.sec.gov/Archives/edgar/data/1702924/000165495420006265/ex4-1.htm" TargetMode="External"/><Relationship Id="rId25" Type="http://schemas.openxmlformats.org/officeDocument/2006/relationships/hyperlink" Target="http://www.sec.gov/Archives/edgar/data/1702924/000165495417003384/ex10-1.htm" TargetMode="External"/><Relationship Id="rId26" Type="http://schemas.openxmlformats.org/officeDocument/2006/relationships/hyperlink" Target="http://www.sec.gov/Archives/edgar/data/1702924/000165495417003384/ex10-2.htm" TargetMode="External"/><Relationship Id="rId27" Type="http://schemas.openxmlformats.org/officeDocument/2006/relationships/hyperlink" Target="http://www.sec.gov/Archives/edgar/data/1702924/000165495418011996/ex10-1.htm" TargetMode="External"/><Relationship Id="rId28" Type="http://schemas.openxmlformats.org/officeDocument/2006/relationships/hyperlink" Target="http://www.sec.gov/Archives/edgar/data/1702924/000165495418011996/ex10-2.htm" TargetMode="External"/><Relationship Id="rId29" Type="http://schemas.openxmlformats.org/officeDocument/2006/relationships/hyperlink" Target="http://www.sec.gov/Archives/edgar/data/1702924/000165495419007296/ex10-1.htm" TargetMode="External"/><Relationship Id="rId30" Type="http://schemas.openxmlformats.org/officeDocument/2006/relationships/hyperlink" Target="http://www.sec.gov/Archives/edgar/data/1702924/000165495419007441/ex10-2.htm" TargetMode="External"/><Relationship Id="rId31" Type="http://schemas.openxmlformats.org/officeDocument/2006/relationships/hyperlink" Target="http://www.sec.gov/Archives/edgar/data/1702924/000165495419007594/ex10-1.htm" TargetMode="External"/><Relationship Id="rId32" Type="http://schemas.openxmlformats.org/officeDocument/2006/relationships/hyperlink" Target="http://www.sec.gov/Archives/edgar/data/1702924/000165495419007052/ex10-1.htm" TargetMode="External"/><Relationship Id="rId33" Type="http://schemas.openxmlformats.org/officeDocument/2006/relationships/hyperlink" Target="http://www.sec.gov/Archives/edgar/data/1702924/000141588920001128/ex10-05052020_050504.htm" TargetMode="External"/><Relationship Id="rId34" Type="http://schemas.openxmlformats.org/officeDocument/2006/relationships/hyperlink" Target="http://www.sec.gov/Archives/edgar/data/1702924/000141588920001378/ex10-05292020_050502.htm" TargetMode="External"/><Relationship Id="rId35" Type="http://schemas.openxmlformats.org/officeDocument/2006/relationships/hyperlink" Target="http://www.sec.gov/Archives/edgar/data/1702924/000165495420006738/ex10-1.htm" TargetMode="External"/><Relationship Id="rId36" Type="http://schemas.openxmlformats.org/officeDocument/2006/relationships/hyperlink" Target="http://www.sec.gov/Archives/edgar/data/1702924/000165495420006265/ex10-1.htm" TargetMode="External"/><Relationship Id="rId37" Type="http://schemas.openxmlformats.org/officeDocument/2006/relationships/hyperlink" Target="http://www.sec.gov/Archives/edgar/data/1702924/000165495420008275/ex10-1.htm" TargetMode="External"/><Relationship Id="rId38" Type="http://schemas.openxmlformats.org/officeDocument/2006/relationships/hyperlink" Target="http://www.sec.gov/Archives/edgar/data/1702924/000165495420010068/ex10-1.htm" TargetMode="External"/><Relationship Id="rId39" Type="http://schemas.openxmlformats.org/officeDocument/2006/relationships/hyperlink" Target="http://www.sec.gov/Archives/edgar/data/1702924/000165495420013599/ex2-1.htm" TargetMode="External"/><Relationship Id="rId40" Type="http://schemas.openxmlformats.org/officeDocument/2006/relationships/hyperlink" Target="http://www.sec.gov/Archives/edgar/data/1702924/000165495420013599/ex2-2.htm" TargetMode="External"/><Relationship Id="rId41" Type="http://schemas.openxmlformats.org/officeDocument/2006/relationships/hyperlink" Target="http://www.sec.gov/Archives/edgar/data/1702924/000165495421002358/ex14.htm" TargetMode="External"/><Relationship Id="rId42" Type="http://schemas.openxmlformats.org/officeDocument/2006/relationships/hyperlink" Target="http://www.sec.gov/Archives/edgar/data/1702924/000165495421002358/ex21.htm" TargetMode="External"/><Relationship Id="rId43" Type="http://schemas.openxmlformats.org/officeDocument/2006/relationships/hyperlink" Target="http://www.sec.gov/Archives/edgar/data/1702924/000165495421002358/ex23-1.htm" TargetMode="External"/><Relationship Id="rId44" Type="http://schemas.openxmlformats.org/officeDocument/2006/relationships/hyperlink" Target="http://www.sec.gov/Archives/edgar/data/1702924/000165495421002358/ex3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2021-03-19T15:17:54Z</dcterms:created>
  <dcterms:modified xsi:type="dcterms:W3CDTF">2021-03-19T15:17:54Z</dcterms:modified>
</cp:coreProperties>
</file>