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424b5.htm"/>
      <w:bookmarkStart w:id="1" w:name="ksform424b5"/>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333-291707</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Prospectus dated December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81250" cy="523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5,771,519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2,800,090 Shares of Common Stock</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2,800,090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to certain investors 5,771,519 shares of our common stock, par value $0.0001 per share (“common stock”), at an offering price of $1.40 per share of common stock, and pre-funded warrants to purchase up to an aggregate of 2,800,090 shares of common stock (the “pre-funded warrants”) at an offering price of $1.3999 per pre-funded warrant (equal to the purchase price per share of common stock, minus $0.0001). We are offering pre-funded warrants in lieu of shares of common stock to certain investors whose purchase of shares of common stock in this offering would otherwise result in such investor, together with its affiliates, beneficially owning more than 4.99% (or, at the election of the investor, 9.99%) of our common stock. The per share exercise price for the pre-funded warrants will be $0.0001, and the pre-funded warrants are immediately exercisable and may be exercised at any time until all of the pre-funded warrants are exercised in full. This offering also relates to the shares of common stock issuable upon exercise of the pre-funded warrants sold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Capital Market (“Nasdaq”) under the symbol “WRAP.” There is no established public trading market for the pre-funded warrants, and we do not expect a market to develop. We do not intend to apply for a listing for any such pre-funded warrants on any securities exchange or other nationally recognized trading system. The closing price of our shares of common stock on Nasdaq on August 14, 2026, was $1.88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 “smaller reporting company” for purposes of federal securities laws and are subject to reduced, public company reporting requirements. Investing in our securities involves risks. You should review carefully the risks and uncertainties described under the heading “Risk Factors” beginning on page S-5 of this prospectus supplement and page 7 of the accompanying prospectus and under similar headings in the other documents that are incorporated by reference in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Maxim Group LLC to act as our exclusive placement agent (the “placement agent”) in connection with this offering. The placement agent is not purchasing or selling any of the securities we are offering. This offering is being conducted on a reasonable “best efforts” basis and the placement agent has no obligation to arrange for the purchase or sale of any specific number or dollar amount of securities. We have agreed to pay the placement agent fees set forth in the table below. There is no required minimum number of securities that must be sold as a condition to completion of this offering, and there are no arrangements to place the funds in an escrow, trust, or similar account. See “Plan of Distribution” beginning on page S-17 of this prospectus supplement for more information.</w:t>
      </w:r>
    </w:p>
    <w:p>
      <w:pPr>
        <w:pStyle w:val="TextBody"/>
        <w:bidi w:val="0"/>
        <w:spacing w:before="0" w:after="0"/>
        <w:ind w:left="0" w:right="0" w:firstLine="400"/>
        <w:jc w:val="both"/>
        <w:rPr>
          <w:caps w:val="false"/>
          <w:smallCaps w:val="false"/>
        </w:rPr>
      </w:pPr>
      <w:r>
        <w:rPr>
          <w:caps w:val="false"/>
          <w:smallCaps w:val="false"/>
        </w:rPr>
        <w:t> </w:t>
      </w:r>
    </w:p>
    <w:tbl>
      <w:tblPr>
        <w:tblW w:w="7193" w:type="dxa"/>
        <w:jc w:val="left"/>
        <w:tblInd w:w="0" w:type="dxa"/>
        <w:tblLayout w:type="fixed"/>
        <w:tblCellMar>
          <w:top w:w="0" w:type="dxa"/>
          <w:left w:w="0" w:type="dxa"/>
          <w:bottom w:w="0" w:type="dxa"/>
          <w:right w:w="0" w:type="dxa"/>
        </w:tblCellMar>
      </w:tblPr>
      <w:tblGrid>
        <w:gridCol w:w="2825"/>
        <w:gridCol w:w="60"/>
        <w:gridCol w:w="191"/>
        <w:gridCol w:w="848"/>
        <w:gridCol w:w="60"/>
        <w:gridCol w:w="60"/>
        <w:gridCol w:w="230"/>
        <w:gridCol w:w="1124"/>
        <w:gridCol w:w="60"/>
        <w:gridCol w:w="60"/>
        <w:gridCol w:w="140"/>
        <w:gridCol w:w="1460"/>
        <w:gridCol w:w="75"/>
      </w:tblGrid>
      <w:tr>
        <w:trPr/>
        <w:tc>
          <w:tcPr>
            <w:tcW w:w="28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Pre-Funded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pPr>
            <w:r>
              <w:rPr/>
              <w:t>Offering Price</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848" w:type="dxa"/>
            <w:tcBorders/>
            <w:shd w:fill="CCEEFF" w:val="clear"/>
            <w:vAlign w:val="center"/>
          </w:tcPr>
          <w:p>
            <w:pPr>
              <w:pStyle w:val="TableContents"/>
              <w:bidi w:val="0"/>
              <w:spacing w:before="0" w:after="283"/>
              <w:jc w:val="right"/>
              <w:rPr/>
            </w:pPr>
            <w:r>
              <w:rPr/>
              <w:t xml:space="preserve">1.40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 xml:space="preserve">1.3999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xml:space="preserve">11,999,972.59 </w:t>
            </w:r>
          </w:p>
        </w:tc>
        <w:tc>
          <w:tcPr>
            <w:tcW w:w="75" w:type="dxa"/>
            <w:tcBorders/>
            <w:shd w:fill="CCEEFF" w:val="clear"/>
            <w:vAlign w:val="center"/>
          </w:tcPr>
          <w:p>
            <w:pPr>
              <w:pStyle w:val="TableContents"/>
              <w:bidi w:val="0"/>
              <w:spacing w:before="0" w:after="283"/>
              <w:jc w:val="left"/>
              <w:rPr/>
            </w:pPr>
            <w:r>
              <w:rPr/>
              <w:t> </w:t>
            </w:r>
          </w:p>
        </w:tc>
      </w:tr>
      <w:tr>
        <w:trPr/>
        <w:tc>
          <w:tcPr>
            <w:tcW w:w="2825" w:type="dxa"/>
            <w:tcBorders/>
            <w:shd w:fill="FFFFFF" w:val="clear"/>
            <w:vAlign w:val="center"/>
          </w:tcPr>
          <w:p>
            <w:pPr>
              <w:pStyle w:val="TableContents"/>
              <w:bidi w:val="0"/>
              <w:spacing w:before="0" w:after="283"/>
              <w:jc w:val="both"/>
              <w:rPr>
                <w:sz w:val="20"/>
              </w:rPr>
            </w:pPr>
            <w:r>
              <w:rPr>
                <w:sz w:val="20"/>
              </w:rPr>
              <w:t>Placement Agent Fees</w:t>
            </w:r>
            <w:r>
              <w:rPr>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w:t>
            </w:r>
          </w:p>
        </w:tc>
        <w:tc>
          <w:tcPr>
            <w:tcW w:w="848" w:type="dxa"/>
            <w:tcBorders/>
            <w:shd w:fill="FFFFFF" w:val="clear"/>
            <w:vAlign w:val="center"/>
          </w:tcPr>
          <w:p>
            <w:pPr>
              <w:pStyle w:val="TableContents"/>
              <w:bidi w:val="0"/>
              <w:spacing w:before="0" w:after="283"/>
              <w:jc w:val="right"/>
              <w:rPr/>
            </w:pPr>
            <w:r>
              <w:rPr/>
              <w:t xml:space="preserve">0.098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w:t>
            </w:r>
          </w:p>
        </w:tc>
        <w:tc>
          <w:tcPr>
            <w:tcW w:w="1124" w:type="dxa"/>
            <w:tcBorders/>
            <w:shd w:fill="FFFFFF" w:val="clear"/>
            <w:vAlign w:val="center"/>
          </w:tcPr>
          <w:p>
            <w:pPr>
              <w:pStyle w:val="TableContents"/>
              <w:bidi w:val="0"/>
              <w:spacing w:before="0" w:after="283"/>
              <w:jc w:val="right"/>
              <w:rPr/>
            </w:pPr>
            <w:r>
              <w:rPr/>
              <w:t xml:space="preserve">0.098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460" w:type="dxa"/>
            <w:tcBorders/>
            <w:shd w:fill="FFFFFF" w:val="clear"/>
            <w:vAlign w:val="center"/>
          </w:tcPr>
          <w:p>
            <w:pPr>
              <w:pStyle w:val="TableContents"/>
              <w:bidi w:val="0"/>
              <w:spacing w:before="0" w:after="283"/>
              <w:jc w:val="right"/>
              <w:rPr/>
            </w:pPr>
            <w:r>
              <w:rPr/>
              <w:t xml:space="preserve">839,998.08 </w:t>
            </w:r>
          </w:p>
        </w:tc>
        <w:tc>
          <w:tcPr>
            <w:tcW w:w="75" w:type="dxa"/>
            <w:tcBorders/>
            <w:shd w:fill="FFFFFF" w:val="clear"/>
            <w:vAlign w:val="center"/>
          </w:tcPr>
          <w:p>
            <w:pPr>
              <w:pStyle w:val="TableContents"/>
              <w:bidi w:val="0"/>
              <w:spacing w:before="0" w:after="283"/>
              <w:jc w:val="left"/>
              <w:rPr/>
            </w:pPr>
            <w:r>
              <w:rPr/>
              <w:t> </w:t>
            </w:r>
          </w:p>
        </w:tc>
      </w:tr>
      <w:tr>
        <w:trPr/>
        <w:tc>
          <w:tcPr>
            <w:tcW w:w="2825" w:type="dxa"/>
            <w:tcBorders/>
            <w:shd w:fill="CCEEFF" w:val="clear"/>
            <w:vAlign w:val="center"/>
          </w:tcPr>
          <w:p>
            <w:pPr>
              <w:pStyle w:val="TableContents"/>
              <w:bidi w:val="0"/>
              <w:spacing w:before="0" w:after="283"/>
              <w:jc w:val="both"/>
              <w:rPr>
                <w:sz w:val="20"/>
              </w:rPr>
            </w:pPr>
            <w:r>
              <w:rPr>
                <w:sz w:val="20"/>
              </w:rPr>
              <w:t>Proceeds, before expenses, to us</w:t>
            </w:r>
            <w:r>
              <w:rPr>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jc w:val="left"/>
              <w:rPr/>
            </w:pPr>
            <w:r>
              <w:rPr/>
              <w:t>$</w:t>
            </w:r>
          </w:p>
        </w:tc>
        <w:tc>
          <w:tcPr>
            <w:tcW w:w="848" w:type="dxa"/>
            <w:tcBorders/>
            <w:shd w:fill="CCEEFF" w:val="clear"/>
            <w:vAlign w:val="center"/>
          </w:tcPr>
          <w:p>
            <w:pPr>
              <w:pStyle w:val="TableContents"/>
              <w:bidi w:val="0"/>
              <w:spacing w:before="0" w:after="283"/>
              <w:jc w:val="right"/>
              <w:rPr/>
            </w:pPr>
            <w:r>
              <w:rPr/>
              <w:t xml:space="preserve">1.302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124" w:type="dxa"/>
            <w:tcBorders/>
            <w:shd w:fill="CCEEFF" w:val="clear"/>
            <w:vAlign w:val="center"/>
          </w:tcPr>
          <w:p>
            <w:pPr>
              <w:pStyle w:val="TableContents"/>
              <w:bidi w:val="0"/>
              <w:spacing w:before="0" w:after="283"/>
              <w:jc w:val="right"/>
              <w:rPr/>
            </w:pPr>
            <w:r>
              <w:rPr/>
              <w:t xml:space="preserve">1.3019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460" w:type="dxa"/>
            <w:tcBorders/>
            <w:shd w:fill="CCEEFF" w:val="clear"/>
            <w:vAlign w:val="center"/>
          </w:tcPr>
          <w:p>
            <w:pPr>
              <w:pStyle w:val="TableContents"/>
              <w:bidi w:val="0"/>
              <w:spacing w:before="0" w:after="283"/>
              <w:jc w:val="right"/>
              <w:rPr/>
            </w:pPr>
            <w:r>
              <w:rPr/>
              <w:t xml:space="preserve">11,159,974.51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2"/>
        <w:gridCol w:w="991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cash fee equal to up to 7.0% of the aggregate gross proceeds received for the securities sold in this offering. See “Plan of Distribution” for additional disclosure regarding placement agent’s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caps w:val="false"/>
                <w:smallCaps w:val="false"/>
              </w:rPr>
            </w:pPr>
            <w:r>
              <w:rPr>
                <w:caps w:val="false"/>
                <w:smallCaps w:val="false"/>
              </w:rPr>
              <w:t> </w:t>
            </w:r>
          </w:p>
        </w:tc>
        <w:tc>
          <w:tcPr>
            <w:tcW w:w="991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Does not include proceeds from the exercise of the pre-funded warrants to be issued to certain investors.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being offered pursuant to this prospectus supplement and the accompanying prospectus is expected to be made on or about August 18,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Sole Placement Agent</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August 16,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both"/>
        <w:rPr>
          <w:caps w:val="false"/>
          <w:smallCaps w:val="false"/>
        </w:rPr>
      </w:pPr>
      <w:r>
        <w:rPr>
          <w:caps w:val="false"/>
          <w:smallCaps w:val="false"/>
        </w:rPr>
        <w:t> </w:t>
      </w:r>
    </w:p>
    <w:tbl>
      <w:tblPr>
        <w:tblW w:w="6700" w:type="dxa"/>
        <w:jc w:val="left"/>
        <w:tblInd w:w="0" w:type="dxa"/>
        <w:tblLayout w:type="fixed"/>
        <w:tblCellMar>
          <w:top w:w="0" w:type="dxa"/>
          <w:left w:w="0" w:type="dxa"/>
          <w:bottom w:w="0" w:type="dxa"/>
          <w:right w:w="0" w:type="dxa"/>
        </w:tblCellMar>
      </w:tblPr>
      <w:tblGrid>
        <w:gridCol w:w="6245"/>
        <w:gridCol w:w="455"/>
      </w:tblGrid>
      <w:tr>
        <w:trPr/>
        <w:tc>
          <w:tcPr>
            <w:tcW w:w="6245"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245" w:type="dxa"/>
            <w:tcBorders/>
            <w:shd w:fill="CCEEFF" w:val="clear"/>
            <w:vAlign w:val="center"/>
          </w:tcPr>
          <w:p>
            <w:pPr>
              <w:pStyle w:val="TableContents"/>
              <w:bidi w:val="0"/>
              <w:spacing w:before="0" w:after="283"/>
              <w:jc w:val="both"/>
              <w:rPr/>
            </w:pPr>
            <w:hyperlink w:anchor="sp_001">
              <w:r>
                <w:rPr>
                  <w:rStyle w:val="InternetLink"/>
                  <w:rFonts w:ascii="Times New Roman;Times;Serif" w:hAnsi="Times New Roman;Times;Serif"/>
                  <w:b w:val="false"/>
                  <w:i w:val="false"/>
                  <w:caps w:val="false"/>
                  <w:smallCaps w:val="false"/>
                  <w:sz w:val="20"/>
                </w:rPr>
                <w:t>ABOUT THIS PROSPECTUS SUPPLEMENT</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r>
      <w:tr>
        <w:trPr/>
        <w:tc>
          <w:tcPr>
            <w:tcW w:w="6245" w:type="dxa"/>
            <w:tcBorders/>
            <w:shd w:fill="FFFFFF" w:val="clear"/>
            <w:vAlign w:val="center"/>
          </w:tcPr>
          <w:p>
            <w:pPr>
              <w:pStyle w:val="TableContents"/>
              <w:bidi w:val="0"/>
              <w:spacing w:before="0" w:after="283"/>
              <w:jc w:val="both"/>
              <w:rPr/>
            </w:pPr>
            <w:hyperlink w:anchor="sp_002">
              <w:r>
                <w:rPr>
                  <w:rStyle w:val="InternetLink"/>
                  <w:rFonts w:ascii="Times New Roman;Times;Serif" w:hAnsi="Times New Roman;Times;Serif"/>
                  <w:b w:val="false"/>
                  <w:i w:val="false"/>
                  <w:caps w:val="false"/>
                  <w:smallCaps w:val="false"/>
                  <w:sz w:val="20"/>
                </w:rPr>
                <w:t>CAUTIONARY NOTE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w:t>
            </w:r>
          </w:p>
        </w:tc>
      </w:tr>
      <w:tr>
        <w:trPr/>
        <w:tc>
          <w:tcPr>
            <w:tcW w:w="6245" w:type="dxa"/>
            <w:tcBorders/>
            <w:shd w:fill="CCEEFF" w:val="clear"/>
            <w:vAlign w:val="center"/>
          </w:tcPr>
          <w:p>
            <w:pPr>
              <w:pStyle w:val="TableContents"/>
              <w:bidi w:val="0"/>
              <w:spacing w:before="0" w:after="283"/>
              <w:jc w:val="both"/>
              <w:rPr/>
            </w:pPr>
            <w:hyperlink w:anchor="sp_003">
              <w:r>
                <w:rPr>
                  <w:rStyle w:val="InternetLink"/>
                  <w:rFonts w:ascii="Times New Roman;Times;Serif" w:hAnsi="Times New Roman;Times;Serif"/>
                  <w:b w:val="false"/>
                  <w:i w:val="false"/>
                  <w:caps w:val="false"/>
                  <w:smallCaps w:val="false"/>
                  <w:sz w:val="20"/>
                </w:rPr>
                <w:t>PROSPECTUS SUPPLEMENT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S-3</w:t>
            </w:r>
          </w:p>
        </w:tc>
      </w:tr>
      <w:tr>
        <w:trPr/>
        <w:tc>
          <w:tcPr>
            <w:tcW w:w="6245" w:type="dxa"/>
            <w:tcBorders/>
            <w:shd w:fill="FFFFFF" w:val="clear"/>
            <w:vAlign w:val="center"/>
          </w:tcPr>
          <w:p>
            <w:pPr>
              <w:pStyle w:val="TableContents"/>
              <w:bidi w:val="0"/>
              <w:spacing w:before="0" w:after="283"/>
              <w:jc w:val="both"/>
              <w:rPr/>
            </w:pPr>
            <w:hyperlink w:anchor="sp_004">
              <w:r>
                <w:rPr>
                  <w:rStyle w:val="InternetLink"/>
                  <w:rFonts w:ascii="Times New Roman;Times;Serif" w:hAnsi="Times New Roman;Times;Serif"/>
                  <w:b w:val="false"/>
                  <w:i w:val="false"/>
                  <w:caps w:val="false"/>
                  <w:smallCaps w:val="false"/>
                  <w:sz w:val="20"/>
                </w:rPr>
                <w:t>THE OFFERING</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S-4</w:t>
            </w:r>
          </w:p>
        </w:tc>
      </w:tr>
      <w:tr>
        <w:trPr/>
        <w:tc>
          <w:tcPr>
            <w:tcW w:w="6245" w:type="dxa"/>
            <w:tcBorders/>
            <w:shd w:fill="CCEEFF" w:val="clear"/>
            <w:vAlign w:val="center"/>
          </w:tcPr>
          <w:p>
            <w:pPr>
              <w:pStyle w:val="TableContents"/>
              <w:bidi w:val="0"/>
              <w:spacing w:before="0" w:after="283"/>
              <w:jc w:val="both"/>
              <w:rPr/>
            </w:pPr>
            <w:hyperlink w:anchor="sp_005">
              <w:r>
                <w:rPr>
                  <w:rStyle w:val="InternetLink"/>
                  <w:rFonts w:ascii="Times New Roman;Times;Serif" w:hAnsi="Times New Roman;Times;Serif"/>
                  <w:b w:val="false"/>
                  <w:i w:val="false"/>
                  <w:caps w:val="false"/>
                  <w:smallCaps w:val="false"/>
                  <w:sz w:val="20"/>
                </w:rPr>
                <w:t>RISK FACTORS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S-5</w:t>
            </w:r>
          </w:p>
        </w:tc>
      </w:tr>
      <w:tr>
        <w:trPr/>
        <w:tc>
          <w:tcPr>
            <w:tcW w:w="6245" w:type="dxa"/>
            <w:tcBorders/>
            <w:shd w:fill="FFFFFF" w:val="clear"/>
            <w:vAlign w:val="center"/>
          </w:tcPr>
          <w:p>
            <w:pPr>
              <w:pStyle w:val="TableContents"/>
              <w:bidi w:val="0"/>
              <w:spacing w:before="0" w:after="283"/>
              <w:jc w:val="both"/>
              <w:rPr/>
            </w:pPr>
            <w:hyperlink w:anchor="sp_006">
              <w:r>
                <w:rPr>
                  <w:rStyle w:val="InternetLink"/>
                  <w:rFonts w:ascii="Times New Roman;Times;Serif" w:hAnsi="Times New Roman;Times;Serif"/>
                  <w:b w:val="false"/>
                  <w:i w:val="false"/>
                  <w:caps w:val="false"/>
                  <w:smallCaps w:val="false"/>
                  <w:sz w:val="20"/>
                </w:rPr>
                <w:t>USE OF PROCEEDS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S-7</w:t>
            </w:r>
          </w:p>
        </w:tc>
      </w:tr>
      <w:tr>
        <w:trPr/>
        <w:tc>
          <w:tcPr>
            <w:tcW w:w="6245" w:type="dxa"/>
            <w:tcBorders/>
            <w:shd w:fill="CCEEFF" w:val="clear"/>
            <w:vAlign w:val="center"/>
          </w:tcPr>
          <w:p>
            <w:pPr>
              <w:pStyle w:val="TableContents"/>
              <w:bidi w:val="0"/>
              <w:spacing w:before="0" w:after="283"/>
              <w:jc w:val="both"/>
              <w:rPr/>
            </w:pPr>
            <w:hyperlink w:anchor="sp_007">
              <w:r>
                <w:rPr>
                  <w:rStyle w:val="InternetLink"/>
                  <w:rFonts w:ascii="Times New Roman;Times;Serif" w:hAnsi="Times New Roman;Times;Serif"/>
                  <w:b w:val="false"/>
                  <w:i w:val="false"/>
                  <w:caps w:val="false"/>
                  <w:smallCaps w:val="false"/>
                  <w:sz w:val="20"/>
                </w:rPr>
                <w:t>DILUTION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S-9</w:t>
            </w:r>
          </w:p>
        </w:tc>
      </w:tr>
      <w:tr>
        <w:trPr/>
        <w:tc>
          <w:tcPr>
            <w:tcW w:w="6245" w:type="dxa"/>
            <w:tcBorders/>
            <w:shd w:fill="FFFFFF" w:val="clear"/>
            <w:vAlign w:val="center"/>
          </w:tcPr>
          <w:p>
            <w:pPr>
              <w:pStyle w:val="TableContents"/>
              <w:bidi w:val="0"/>
              <w:spacing w:before="0" w:after="283"/>
              <w:jc w:val="both"/>
              <w:rPr/>
            </w:pPr>
            <w:hyperlink w:anchor="sp_008">
              <w:r>
                <w:rPr>
                  <w:rStyle w:val="InternetLink"/>
                  <w:rFonts w:ascii="Times New Roman;Times;Serif" w:hAnsi="Times New Roman;Times;Serif"/>
                  <w:b w:val="false"/>
                  <w:i w:val="false"/>
                  <w:caps w:val="false"/>
                  <w:smallCaps w:val="false"/>
                  <w:sz w:val="20"/>
                </w:rPr>
                <w:t>MATERIAL U.S. FEDERAL INCOME TAX CONSIDERATIONS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S-10</w:t>
            </w:r>
          </w:p>
        </w:tc>
      </w:tr>
      <w:tr>
        <w:trPr/>
        <w:tc>
          <w:tcPr>
            <w:tcW w:w="6245" w:type="dxa"/>
            <w:tcBorders/>
            <w:shd w:fill="CCEEFF" w:val="clear"/>
            <w:vAlign w:val="center"/>
          </w:tcPr>
          <w:p>
            <w:pPr>
              <w:pStyle w:val="TableContents"/>
              <w:bidi w:val="0"/>
              <w:spacing w:before="0" w:after="283"/>
              <w:jc w:val="both"/>
              <w:rPr/>
            </w:pPr>
            <w:hyperlink w:anchor="sp_009">
              <w:r>
                <w:rPr>
                  <w:rStyle w:val="InternetLink"/>
                  <w:rFonts w:ascii="Times New Roman;Times;Serif" w:hAnsi="Times New Roman;Times;Serif"/>
                  <w:b w:val="false"/>
                  <w:i w:val="false"/>
                  <w:caps w:val="false"/>
                  <w:smallCaps w:val="false"/>
                  <w:sz w:val="20"/>
                </w:rPr>
                <w:t>DESCRIPTION OF THE SECURITIES WE ARE OFFERING</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S-15</w:t>
            </w:r>
          </w:p>
        </w:tc>
      </w:tr>
      <w:tr>
        <w:trPr/>
        <w:tc>
          <w:tcPr>
            <w:tcW w:w="6245" w:type="dxa"/>
            <w:tcBorders/>
            <w:shd w:fill="FFFFFF" w:val="clear"/>
            <w:vAlign w:val="center"/>
          </w:tcPr>
          <w:p>
            <w:pPr>
              <w:pStyle w:val="TableContents"/>
              <w:bidi w:val="0"/>
              <w:spacing w:before="0" w:after="283"/>
              <w:jc w:val="both"/>
              <w:rPr/>
            </w:pPr>
            <w:hyperlink w:anchor="sp_010">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S-17</w:t>
            </w:r>
          </w:p>
        </w:tc>
      </w:tr>
      <w:tr>
        <w:trPr/>
        <w:tc>
          <w:tcPr>
            <w:tcW w:w="6245" w:type="dxa"/>
            <w:tcBorders/>
            <w:shd w:fill="CCEEFF" w:val="clear"/>
            <w:vAlign w:val="center"/>
          </w:tcPr>
          <w:p>
            <w:pPr>
              <w:pStyle w:val="TableContents"/>
              <w:bidi w:val="0"/>
              <w:spacing w:before="0" w:after="283"/>
              <w:jc w:val="both"/>
              <w:rPr/>
            </w:pPr>
            <w:hyperlink w:anchor="sp_011">
              <w:r>
                <w:rPr>
                  <w:rStyle w:val="InternetLink"/>
                  <w:rFonts w:ascii="Times New Roman;Times;Serif" w:hAnsi="Times New Roman;Times;Serif"/>
                  <w:b w:val="false"/>
                  <w:i w:val="false"/>
                  <w:caps w:val="false"/>
                  <w:smallCaps w:val="false"/>
                  <w:sz w:val="20"/>
                </w:rPr>
                <w:t>LEGAL MATTERS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S-19</w:t>
            </w:r>
          </w:p>
        </w:tc>
      </w:tr>
      <w:tr>
        <w:trPr/>
        <w:tc>
          <w:tcPr>
            <w:tcW w:w="6245" w:type="dxa"/>
            <w:tcBorders/>
            <w:shd w:fill="FFFFFF" w:val="clear"/>
            <w:vAlign w:val="center"/>
          </w:tcPr>
          <w:p>
            <w:pPr>
              <w:pStyle w:val="TableContents"/>
              <w:bidi w:val="0"/>
              <w:spacing w:before="0" w:after="283"/>
              <w:jc w:val="both"/>
              <w:rPr/>
            </w:pPr>
            <w:hyperlink w:anchor="sp_012">
              <w:r>
                <w:rPr>
                  <w:rStyle w:val="InternetLink"/>
                  <w:rFonts w:ascii="Times New Roman;Times;Serif" w:hAnsi="Times New Roman;Times;Serif"/>
                  <w:b w:val="false"/>
                  <w:i w:val="false"/>
                  <w:caps w:val="false"/>
                  <w:smallCaps w:val="false"/>
                  <w:sz w:val="20"/>
                </w:rPr>
                <w:t>EXPERTS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S-20</w:t>
            </w:r>
          </w:p>
        </w:tc>
      </w:tr>
      <w:tr>
        <w:trPr/>
        <w:tc>
          <w:tcPr>
            <w:tcW w:w="6245" w:type="dxa"/>
            <w:tcBorders/>
            <w:shd w:fill="CCEEFF" w:val="clear"/>
            <w:vAlign w:val="center"/>
          </w:tcPr>
          <w:p>
            <w:pPr>
              <w:pStyle w:val="TableContents"/>
              <w:bidi w:val="0"/>
              <w:spacing w:before="0" w:after="283"/>
              <w:jc w:val="both"/>
              <w:rPr/>
            </w:pPr>
            <w:hyperlink w:anchor="sp_013">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S-21</w:t>
            </w:r>
          </w:p>
        </w:tc>
      </w:tr>
      <w:tr>
        <w:trPr/>
        <w:tc>
          <w:tcPr>
            <w:tcW w:w="6245" w:type="dxa"/>
            <w:tcBorders/>
            <w:shd w:fill="FFFFFF" w:val="clear"/>
            <w:vAlign w:val="center"/>
          </w:tcPr>
          <w:p>
            <w:pPr>
              <w:pStyle w:val="TableContents"/>
              <w:bidi w:val="0"/>
              <w:spacing w:before="0" w:after="283"/>
              <w:jc w:val="both"/>
              <w:rPr/>
            </w:pPr>
            <w:hyperlink w:anchor="sp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S-22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PROSPECTUS</w:t>
      </w:r>
    </w:p>
    <w:p>
      <w:pPr>
        <w:pStyle w:val="TextBody"/>
        <w:bidi w:val="0"/>
        <w:spacing w:before="0" w:after="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5105"/>
        <w:gridCol w:w="455"/>
      </w:tblGrid>
      <w:tr>
        <w:trPr/>
        <w:tc>
          <w:tcPr>
            <w:tcW w:w="5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Warrants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Units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1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1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Documents by Reference</w:t>
              </w:r>
            </w:hyperlink>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rely only on the information contained in this prospectus supplement, the accompanying prospectus, and the documents we incorporate by reference in this prospectus supplement and the accompanying prospectus. We and the placement agent have not authorized anyone to provide you with different information. We and the placement agent do not take any responsibility for, and cannot provide any assurance as to the reliability of, any other information that others may give you. We and the placement agent are not making an offer to sell our securities in any jurisdiction where the offer or sale thereof is not permitted. The information contained in this prospectus supplement and the accompanying prospectus and incorporated by reference herein and therein is accurate only as of the respective date of such information, regardless of the time of delivery of this prospectus supplement or of any sale or offer to sell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To the extent this prospectus supplement contains summaries of the documents referred to herein, you are directed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forms a part, and you may obtain copies of such documents as described below in the section titled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This prospectus supplement contains references to a number of trademarks which are registered or for which we have pending applications or common law rights. Solely for convenience, the trademarks, service marks and trade names referred to in this prospectus supplement and the documents we incorporate by reference are listed without the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 (sm) and (tm) symbols, but we will assert, to the fullest extent under applicable law, our rights or the rights of the applicable licensors to these trademarks, service marks and trade names.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 w:name="sp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consists of two parts. The first part is this prospectus supplement, including the documents incorporated by reference herein, which describes the specific terms of this offering and other matters relating to us. The second part is the accompanying prospectus, which provides more general information about us and the securities we may offer from time to time, some of which may not apply to this offering. This prospectus supplement and the accompanying prospectus are part of the registration statement on Form S-3 (Registration No. 333-291707) that we filed with the Securities and Exchange Commission (the “SEC”) using a “shelf” registration process. Under this “shelf” registration process, we may, from time to time, sell or issue any of the combination of securities described in the accompanying prospectus in one or more offerings with a maximum aggregate offering price of up to $200,000,000. Each time we sell securities, we provide a prospectus supplement that contains specific information about the terms of that offering. A prospectus supplement may also add, update, or change information contained in the accompanying prospectus. You should read both this prospectus supplement and the accompanying prospectus, together with the documents incorporated by reference and the additional information described under the heading “Where You Can Find More Information” in this prospectus supplement and in the accompanying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there is a conflict between the information contained in this prospectus supplement and the accompanying prospectus, you should rely on the information in this prospectus supplement. This prospectus supplement, the accompanying prospectus, and the documents we incorporate by reference herein and therein include important information about us, this offering and our securities and other information you should know before investing. If any statement in this prospectus supplement conflicts with any statement in a document that has been incorporated herein by reference, then you should consider only the statement in the more recent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this prospectus supplement and the accompanying prospectus and the offering of our securities in certain jurisdictions may be restricted by law. We are not, and the placement agent is not, making an offer of these securities in any jurisdiction where the offer is not permitted. Persons who come into possession of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supplement, the accompanying prospectus, and any free writing prospectus prepared by or on behalf of us or to which we have referred you. We have not, and the placement agent has not, authorized any person to provide you with any information or to make any representation other than as contained in this prospectus supplement or in the accompanying prospectus and the information incorporated by reference herein and therein. We and the placement agent do not take any responsibility for, and can provide no assurance as to the reliability of, any information that others may provide you. The information appearing or incorporated by reference in this prospectus supplement and the accompanying prospectus is accurate only as of the date of this prospectus supplement or the date of the document in which incorporated information appears unless otherwise noted in such documents. Our business, financial condition, results of operations and prospects may have changed since those dates. You should assume that the information appearing in this prospectus supplement, the accompanying prospectus, and the documents incorporated by reference herein and therein is accurate only as of the date of those respective documents. Our business, financial condition, results of operations and prospects may have changed since those dates. You should carefully read this entire prospectus supplement and the accompanying prospectus, including the information included and referred to under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 the information incorporated by reference in this prospectus supplement and in the accompanying prospectus, and the financial statements and the other information incorporated by reference in the accompanying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stated in this prospectus supplement, “WRAP,” “we,” “us,” “our,” or “the Company,” and similar terms refer to Wrap Technologies, Inc.</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 w:name="sp_002"/>
      <w:bookmarkEnd w:id="3"/>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and the documents incorporated by reference into this prospectus supplement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forward-looking statements are only predictions, and actual results and the timing of certain events and circumstances may differ materially from those described by the forward-looking statements as a result of risks and uncertainties, including, without limitation, the Company’s ability to successfully implement training programs for the use of its products; the Company’s ability to manufacture and produce its products; the Company’s ability to develop sales for its new products; the acceptance of existing and future products, including the acceptance of the BolaWrap 150, Wrap Reality, our Body-Worn Camera and our Digital Evidence Management system; the risk that distributor and customer orders for future deliveries are modified, rescheduled or cancelled in the normal course of business; the availability of funding to continue to finance operations; the complexity, expense and time associated with sales to law enforcement and government entities; the lengthy evaluation and sales cycle for the Company’s product solution; product defects; litigation risks from alleged product-related injuries; risks of government regulations; the impact resulting from geopolitical conflicts and any resulting sanctions; the ability to obtain export licenses for countries outside of the US; the ability to obtain patents and defend IP against competitors; the impact of competitive products and solutions; and the Company’s ability to maintain and enhance its brand; the ability to maintain compliance with Nasdaq listing standards; the ability of the Company to timely and effectively implement controls and procedures required by Section 404 of the Sarbanes-Oxley Act of 2002; and risks resulting from the Company’s status as a smaller reporting company, including that reduced disclosure requirements may make shares of the Company’s common stock less attractive to investors. Additional factors that could cause actual results to differ materially from the results anticipated in these forward-looking statements are described in this prospectus supplement, including under the section entitled “Risk Factors,” in “Part I, Item 1A. — Risk Factors” of the Company’s Annual Report on Form 10-K for the fiscal year ended December 31, 2025, filed on March 26, 2026 and the risk factors described under the caption “Risk Factors” in any applicable prospectus supplement. See “Where You Can Find More Information” and “Incorporation of Certain Information by Reference.”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prospectus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supplement, the documents incorporated by reference in this prospectus supplement, and the documents that we reference in this prospectus supplement and have filed as exhibits to the registration statement of which this prospectus supplement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sp_003"/>
      <w:bookmarkEnd w:id="4"/>
      <w:r>
        <w:rPr>
          <w:rFonts w:ascii="Times New Roman;Times;Serif" w:hAnsi="Times New Roman;Times;Serif"/>
          <w:b/>
          <w:i w:val="false"/>
          <w:caps w:val="false"/>
          <w:smallCaps w:val="false"/>
          <w:sz w:val="20"/>
        </w:rPr>
        <w:t>PROSPECTUS SUPPLEMENT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the information incorporated by reference into this prospectus supplement and the accompanying prospectus, and the information referred to under the heading “Risk Factors” in this prospectus supplement on page S-5 and in the documents incorporated by reference into this prospectus supplement and the accompanying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public safety technology company that delivers non-lethal public safety solutions to law enforcement and security personnel worldwide. Management is pursuing a strategy to expand the Company from a provider of individual non-lethal products toward a provider of an integrated public safety platform that the Company refers to as WrapShield™. WrapShield is designed to connect threat detection, AI-assisted decision support, and proportionate response, with human decision-makers remaining in control. The initial focus for the platform is counter-unmanned aircraft system (“counter-UAS”) applications, and management intends to extend the architecture over time to additional public safety, critical infrastructure, and defense applications. The Company’s current commercial foundation remains the BolaWrap® 150 remote restraint device and its related products and services, and is a critical piece of the platform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and service portfolio includes the BolaWrap® device, cassettes and related accessories. We also offer technology-enabled services including Wrap Reality VR training simulator, WrapTactics digital training platform, and WrapVision™ body-worn camera and digital evidence management solution, managed services and policy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core offerings are designed to provide officers and agencies with integrated non-lethal tools, training, and tactics that support safer outcomes and sustained readiness across the public safety ecosystem. BolaWrap gives officers a proactive, non-lethal tactical option through a tether deployment system sold with recurring consumable cassettes. In July 2026, the U.S. Bureau of Alcohol, Tobacco, Firearms and Explosives (the “ATF”) issued a ruling classifying the BolaWrap® 150 as an instrument of restraint rather than a firearm or an “any other weapon.” Our non-lethal response offerings are designed to function as a family of instruments of restraint. In addition to the handheld BolaWrap® 150, the Company completed a first operational prototype of Wraptor MX™, a multi-shot restraint platform intended for tactical, corrections, and security environments, and is developing the DFR-X™ drone-deployed restraint system. Wraptor MX and DFR-X are in development and are not yet commercially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Reality and WrapTactics are designed to deliver immersive VR and subscription-based digital training focused on decision-making under stress, use of force judgment, and non-lethal response tactics. WrapVision provides a body-worn camera and cloud-based digital evidence management platform designed to meet federal procurement and data-sovereignty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expanding our tether deployment technology into counter UAS and defense applications through our MERLIN program, which management expects to advance within the WrapShield platform, and which targets non-lethal drone interdiction capabilities for defense, homeland security, and critical-infrastructure protection missions.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establish an advanced-sensing detection capability for the platform, in July 2026 the Company made a strategic investment in Frenel and obtained an exclusive license to its thermal-polarimetric imaging technology for the United States and NATO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 is a Delaware corporation. Our corporate headquarters are located at 3480 Main Hwy, Suite 202, Miami, Florida 33133. Our phone number is (800) 583-2652. Our website address is www.wrap.com.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supplement or the accompanying prospectus or incorporated by reference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a “smaller reporting company,” meaning that we are not an investment company, an asset-backed issuer, or a majority-owned subsidiary of a parent company that is not a smaller reporting company, and have a public float of less than $250 million or annual revenues of less than $100 million during the most recently completed fiscal year. In the event that we are still considered a “smaller reporting company,” at such time as we cease being an “emerging growth company,” the disclosure we will be required to provide in our SEC filings will increase, but will still be less than it would be if we were not considered either an “emerging growth company” or a “smaller reporting company.” Specifically, similar to “emerging growth companies,” “smaller reporting companies” are able to provide simplified executive compensation disclosures in their filings; are exempt from the provisions of Section 404(b) of the Sarbanes-Oxley Act requiring that independent registered public accounting firms provide an attestation report on the effectiveness of internal control over financial reporting; and have certain other decreased disclosure obligations in their SEC filings, including, among other things, only being required to provide two years of audited financial statements in annual reports. Decreased disclosures in our SEC filings due to our status as an “emerging growth company” or “smaller reporting company” may make it harder for investors to analyze our results of operations and financial prospects.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5" w:name="sp_004"/>
      <w:bookmarkEnd w:id="5"/>
      <w:r>
        <w:rPr>
          <w:rFonts w:ascii="Times New Roman;Times;Serif" w:hAnsi="Times New Roman;Times;Serif"/>
          <w:b/>
          <w:i w:val="false"/>
          <w:caps w:val="false"/>
          <w:smallCaps w:val="false"/>
          <w:sz w:val="20"/>
        </w:rPr>
        <w:t>THE OFFERING</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5"/>
        <w:gridCol w:w="60"/>
        <w:gridCol w:w="8550"/>
      </w:tblGrid>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Issuer</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Offered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5,771,519 shares.</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Pre-Funded Warrants Offered</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pre-funded warrants to purchase up to an aggregate of 2,800,090 shares of common stock in lieu of shares of common stock to certain investors whose purchase of shares of common stock in this offering would otherwise result in the investor, together with its affiliates, beneficially owning more than 4.99% (or, at the election of the purchaser, 9.99%) of our outstanding common stock immediately following the consummation of this offering. The purchase price of each pre-funded warrant is equal to the price at which a share of common stock is sold in this offering, minus $0.0001, and the exercise price of each pre-funded warrant is $0.0001 per share. Each pre-funded warrant will be exercisable immediately and may be exercised at any time until all of the pre-funded warrants are exercised in full.</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also relate to the offering of the shares of common stock issuable upon exercise of the pre-funded warrants.</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 to Be Outstanding Immediately Following This Offering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64,576,572 shares (assuming full exercise of the pre-funded warrants).</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receive net proceeds of approximately $10.8 million from this offering after deducting the placement agent’s fees and estimated offering expenses payable by us. We intend to use the net proceeds from this offering for working capital and other general corporate purposes, including for any future planned business expansion. See the section titled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S-7.</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the sections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commencing on page S-5 of this prospectus supplement and on page 7 in the accompanying prospectus and under similar headings in the documents incorporated by reference herein and therein for a discussion of factors you should consider carefully before deciding to invest in our securities.</w:t>
            </w:r>
          </w:p>
        </w:tc>
      </w:tr>
      <w:tr>
        <w:trPr/>
        <w:tc>
          <w:tcPr>
            <w:tcW w:w="1595"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59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Nasdaq Capital Market Symbol</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55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WRAP”. There is no established public trading market for the pre-funded warrants, and we do not expect a market to develop. We do not intend to list the pre-funded warrants on any securities exchange or nationally recognized trading system. Without an active trading market, the liquidity of the pre-funded warrants will be limited.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our common stock to be outstanding after this offering is based on 56,004,963 shares of our common stock outstanding as of August 14, 2026, and excludes, as of that date,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15,544,253 shares of common stock issuable upon the exercise of outstanding warrants with a weighted average exercise price of $1.67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10,544,253 shares of our common stock issuable upon the exercise of stock options, with a weighted-average exercise price of $2.04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3,666,285 shares of common stock reserved for future issuance pursuant to future awards under our 2017 Equity Incentive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this prospectus supplement assumes full exercise of the pre-funded warrants.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p_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An investment in our securities involves a high degree of risk. Before investing in our securities, you should carefully consider the risk factors set forth below and those described under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in the documents incorporated by reference herein and in the accompanying prospectus, including in our most recent Annual Report on Form 10-K filed with the SEC, together with the other information included in this prospectus supplement and the accompanying prospectus and incorporated by reference herein and therein from our filings with the SEC. If any of such risks or uncertainties occurs, our business, financial condition, and operating results could be materially and adversely affected. Additional risks and uncertainties not currently known to us or that we currently deem immaterial also may materially and adversely affect our business operations. As a result, the trading price of our common stock could decline and you could lose all or a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will experience immediate and substantial dilution in the net tangible book value per share of the common stock you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price per share of our common stock being offered is substantially higher than the net tangible book value per share of our common stock, you will suffer immediate and substantial dilution in the net tangible book value of the shares of common stock you purchase in this offering. Based on the sale of (i) 5,771,519 shares of common stock at an offering price of $1.40 per share and (ii) pre-funded warrants to purchase up to an aggregate of 2,800,090 shares of common stock at the public offering price of $1.3999 per pre-funded warrant in this offering, and our net tangible book value as of June 30, 2026, if you purchase securities in this offering, you will suffer immediate and substantial dilution of $1.04 per share with respect to the net tangible book value of our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sell additional shares of common stock in future financings, stockholders may experience immediate dilution and, as a result, our share price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from time to time issue additional shares of common stock at a discount from the current market price of our common stock. As a result, our stockholders would experience immediate dilution upon the purchase of any shares of common stock sold at such discount. In addition, as opportunities present themselves, we may enter into financing or similar arrangements in the future, including the issuance of debt securities, preferred stock or common stock. If we issue shares of common stock or securities convertible or exercisable into shares of common stock, our stockholders would experience additional dilution and, as a result, our share price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using the proceeds of this offering, and we may not effectively spend the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use the net proceeds of this offering for working capital and general corporate purposes, including for any future planned business expansion. We have not allocated any specific portion of the net proceeds to any particular purpose, and our management will have the discretion to allocate the proceeds as it determines. We will have significant flexibility and broad discretion in applying the net proceeds of this offering, and we may not apply these proceeds effectively. Our management might not be able to yield a significant return, if any, on any investment of these net proceeds, and you will not have the opportunity to influence our decisions on how to use our net proceeds from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sustained.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are listed on Nasdaq, the market for our common stock has demonstrated varying levels of trading activity. Furthermore, the current level of trading may not be sustained in the future. The lack of an active market for our common stock may impair investors’ ability to sell their shares at the time they wish to sell them or at a price that they consider reasonable, may reduce the fair market value of their shares and may impair our ability to raise capital to continue to fund operations by selling shares of common stock and may impair our ability to acquire additional intellectual property assets by using our common stock as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share price may be subject to substantial volatility, and stockholders may lose all or a substantial part of their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currently trades on Nasdaq. There is limited public float, and trading volume historically has been low and sporadic. The trading price of our common stock is highly volatile and subject to wide fluctuations in response to various factors, some of which we cannot control. The stock market has experienced extreme price and volume fluctuations that have often been unrelated or disproportionate to the operating performance of these companies. Broad market and industry factors may negatively affect the trading price of our common stock, regardless of our actual operating performance. As a result, the market price for our shares may not necessarily be a reliable indicator of our fair market value. The price at which our common stock trades may fluctuate as a result of a number of factors, including the number of shares of common stock available for sale in the market, quarterly variations in our operating results, actual or anticipated announcements of new releases by us or competitors, the gain or loss of significant customers, changes in the estimates of our operating performance, market conditions in our industry and the economy as a whole.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Except as otherwise provided in the pre-funded warrants, holders of pre-funded warrants purchased in this offering will have no rights as stockholders of common stock until such holders exercise their pre-funded warrants and acquire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the pre-funded warrants offered in this offering do not confer any rights of common stock ownership on their holders, such as voting rights or the right to receive dividends, but rather merely represent the right to acquire shares of our common stock at a fixed price. A holder of a pre-funded warrant may exercise the right to acquire a share of common stock and pay a nominal exercise price of $0.0001 at any time. Upon exercise of the pre-funded warrants, the holders thereof will be entitled to exercise the rights of a holder of common stock only as to matters for which the record date occurs after the exercise date.</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 substantial number of shares of common stock may be sold in the market following this offering, which may depress the market price for our common stock.</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Sales of a substantial number of shares of our common stock in the public market following this offering, or the perception that such sales might occur, could cause the market price of our common stock to decline. A substantial number of the outstanding shares of our common stock are, and the shares of common stock sold in this offering upon issuance will be, freely tradeable without restriction or further registration under the Securities Act. </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pre-funded warrants being offered by us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being sold in this offering, and we do not expect a market to develop for the pre-funded warrants. In addition, we do not intend to apply to list the pre-funded warrants on any securities exchange or recognized trading system. Without an active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intend to pay any dividends on our common stock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paid any cash dividends on our common stock to date. The payment of cash dividends on our common stock in the future will be dependent upon our revenue and earnings, if any, capital requirements, and general financial condition, and will be within the discretion of our board of directors. It is the present intention of our board of directors to retain all earnings, if any, for use in our business operations and, accordingly, our board of directors does not anticipate declaring any dividends on our common stock in the foreseeable future. As a result, any gain you will realize on our common stock will result solely from the appreciation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certain circumstances, we may be required to settle the value of the pre-funded warrants in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while the pre-funded warrants are outstanding, we enter into a “Fundamental Transaction” (as defined in the pre-funded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pre-funded warrants as at any time concurrently shall have the right to receive, for each share underlying the pre-funded warrants that would have been issuable upon such exercise immediately prior to the occurrence of such Fundamental Transaction, at the option of the holder, the number of shares of common stock of the successor or acquiring corporation or of the Company.</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Certain of our outstanding convertible preferred stock and warrants contain price-protection and full-ratchet provisions that may result in significant dilution to our stockholders.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Certain of our outstanding securities contain price-protection provisions that will adjust the applicable conversion or exercise price to $1.40 in connection with this offering. These securities include our Series A Convertible Preferred Stock, Series B Convertible Preferred Stock, common stock purchase warrants issued in our June 2023 registered direct offering (the “Series A Warrants”), warrants issued in our February 2025 private placement financing (the “PIPE Warrants”) and warrants issued in our August 2025 in connection with the Series B Convertible Preferred Stock private placement (the “Series B Warrants”). The Series A Warrants also contain full-ratchet protection that will increase the number of shares issuable upon exercise of those warrants.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conversion price of the Series A Convertible Preferred Stock will be reduced from $1.45 to $1.40, and the exercise prices of the Series A Warrants, PIPE Warrants and Series B Warrants will reset to $1.40. In addition, as a result of the full-ratchet adjustment applicable to the Series A Warrants, the number of outstanding Series A Warrants will increase from 6,827,587 to approximately 7,071,429, representing an increase of approximately 243,843 shares issuable upon exercise. These adjustments will increase the number of shares of common stock that may be issued upon conversion or exercise of our outstanding securities and, to the extent such securities are converted or exercised, will dilute the ownership interests and voting power of our existing stockholders.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the Company</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Our prior and current operating and financial results projections rely in large part upon assumptions and analyses we have developed. If these assumptions or analyses prove to be incorrect, our actual operating and financial results may be materially different from our prior and current operating and financial results projections.</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prior and current operating and financial results projections reflect estimates and assumptions regarding our business, financial condition and results of operations, including assumptions regarding future performance, which may never occur. Whether actual operating and financial results and business developments will be consistent with our expectations and assumptions depends on a number of factors, many of which are outside our control, including, but not limited to: </w:t>
      </w:r>
    </w:p>
    <w:p>
      <w:pPr>
        <w:pStyle w:val="TextBody"/>
        <w:bidi w:val="0"/>
        <w:spacing w:before="0" w:after="0"/>
        <w:ind w:left="0" w:right="0" w:hanging="0"/>
        <w:jc w:val="both"/>
        <w:rPr>
          <w:caps w:val="false"/>
          <w:smallCaps w:val="false"/>
        </w:rPr>
      </w:pPr>
      <w:r>
        <w:rPr>
          <w:caps w:val="false"/>
          <w:smallCaps w:val="false"/>
        </w:rPr>
        <w:t xml:space="preserve">  </w:t>
      </w:r>
    </w:p>
    <w:tbl>
      <w:tblPr>
        <w:tblW w:w="9168" w:type="dxa"/>
        <w:jc w:val="left"/>
        <w:tblInd w:w="0" w:type="dxa"/>
        <w:tblLayout w:type="fixed"/>
        <w:tblCellMar>
          <w:top w:w="0" w:type="dxa"/>
          <w:left w:w="0" w:type="dxa"/>
          <w:bottom w:w="0" w:type="dxa"/>
          <w:right w:w="0" w:type="dxa"/>
        </w:tblCellMar>
      </w:tblPr>
      <w:tblGrid>
        <w:gridCol w:w="38"/>
        <w:gridCol w:w="125"/>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success and timing of development activity;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competition, including from established and future competitors;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manage our growth;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loss or reduction in orders;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delays or funding gaps for distributors;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delayed product deliveries or deployment;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lengthy government procurement cycles;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retain existing key management, integrate recent hires and attract and retain qualified personnel;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outcome of any known or unknown litigation and/or regulatory actions;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applicable laws or regulations;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use of available financial resources; and </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 </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overall strength and stability of domestic and international economies. </w:t>
            </w:r>
          </w:p>
        </w:tc>
      </w:tr>
    </w:tbl>
    <w:p>
      <w:pPr>
        <w:pStyle w:val="TextBody"/>
        <w:bidi w:val="0"/>
        <w:spacing w:before="0" w:after="0"/>
        <w:ind w:left="720" w:right="0" w:hanging="36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Unfavorable changes in any of these or other factors, many of which are beyond our control, could materially and adversely affect our business, financial condition and results of operations.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sp_006"/>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receive net proceeds of approximately $10.8 million from this offering, after deducting the placement agent’s fees and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working capital and other general corporate purposes, including for any future planned business expansion.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supplement for any purpose. Pending application of the net proceeds as described above, we may initially invest the net proceeds in short-term, investment-grade and interest-bearing securities.</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We currently anticipate that we will retain future earnings to fund development and growth of our business, and we do not anticipate paying cash dividends on our common stock in the foreseeable future. The decision to pay dividends is at the discretion of our board of directors and depends on our financial condition, results of operations, capital requirements, and other factors that our board of directors deems relevant.</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sp_007"/>
      <w:bookmarkEnd w:id="8"/>
      <w:r>
        <w:rPr>
          <w:rFonts w:ascii="Times New Roman;Times;Serif" w:hAnsi="Times New Roman;Times;Serif"/>
          <w:b/>
          <w:i w:val="false"/>
          <w:caps w:val="false"/>
          <w:smallCaps w:val="false"/>
          <w:sz w:val="20"/>
        </w:rPr>
        <w:t>DILUTION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securities in this offering, your ownership interest will be diluted to the extent of the difference between the offering price per share of our common stock in this offering and the pro forma as adjusted net tangible book value per share of our common stock immediately after the closing of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our historical net tangible book value was $11.7 million, or $0.21 per share of common stock. Our historical net tangible book value per share is equal to our total tangible assets, less total liabilities, divided by the number of outstanding shares of common stock as of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pro forma net tangible book value as of June 30, 2026 was $11.8 million, or $0.21 per share of common stock. Pro forma net tangible book value per share represents total tangible assets less total liabilities, divided by the number of shares of common stock outstanding as of June 30, 2026, after giving effect to the issuance of 147,030 shares of common stock pursuant at an average price of $0.62 per share subsequent to June 30, 2026, for net proceeds of approximately $0.1 million (the “pro forma adjustments”). For the avoidance of doubt, the pro forma adjustments do not give effect to potential additional issuances of shares underlying Series A warrants in connection with anti-dilution adjustments described below. </w:t>
      </w:r>
    </w:p>
    <w:p>
      <w:pPr>
        <w:pStyle w:val="TextBody"/>
        <w:bidi w:val="0"/>
        <w:spacing w:before="0" w:after="0"/>
        <w:ind w:left="0" w:right="0" w:hanging="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giving further effect to the sale of (i) 5,771,519 shares of common stock at an offering price of $1.40 per share and (ii) pre-funded warrants to purchase up to an aggregate of 2,800,090 shares of common stock at the offering price of $1.3999 per pre-funded warrant in this offering, assuming the exercise in full of the pre-funded warrants and after deducting fees, commissions and estimated offering expenses payable by us, our pro forma as adjusted net tangible book value as of June 30, 2026 would have been $23.0 million, or $0.36 per share of common stock. This amount represents an immediate increase in pro forma net tangible book value of $0.15 per share to our existing stockholders and an immediate dilution of $1.04 per share to investors participating in this offering. We determine dilution per share to investors participating in this offering by subtracting pro forma as adjusted net tangible book value per share after this offering from the offering price per share paid by investors participating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this offering, the conversion price of the Series A Convertible Preferred Stock will be reduced from $1.45 to $1.40, and the exercise prices of the Series A Warrants, PIPE Warrants and Series B Warrants will reset to $1.40. In addition, as a result of the full-ratchet adjustment applicable to the Series A Warrants, the number of outstanding Series A Warrants will increase from 6,827,587 to approximately 7,071,429, representing an increase of approximately 243,843 shares issuable upon exercise. These adjustments will increase the number of shares of common stock that may be issued upon exercise of our outstanding Series A Warrants and, to the extent such securities are converted or exercised, will dilute the ownership interests and voting power of our existing stockholders.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91"/>
        <w:gridCol w:w="60"/>
        <w:gridCol w:w="140"/>
        <w:gridCol w:w="489"/>
        <w:gridCol w:w="60"/>
        <w:gridCol w:w="60"/>
        <w:gridCol w:w="140"/>
        <w:gridCol w:w="489"/>
        <w:gridCol w:w="76"/>
      </w:tblGrid>
      <w:tr>
        <w:trPr/>
        <w:tc>
          <w:tcPr>
            <w:tcW w:w="86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CCEEFF" w:val="clear"/>
            <w:vAlign w:val="center"/>
          </w:tcPr>
          <w:p>
            <w:pPr>
              <w:pStyle w:val="TableContents"/>
              <w:bidi w:val="0"/>
              <w:spacing w:before="0" w:after="283"/>
              <w:jc w:val="right"/>
              <w:rPr/>
            </w:pPr>
            <w:r>
              <w:rPr>
                <w:rFonts w:ascii="Times New Roman;Times;Serif" w:hAnsi="Times New Roman;Times;Serif"/>
              </w:rPr>
              <w:t>1.40</w:t>
            </w:r>
            <w:r>
              <w:rPr/>
              <w:t xml:space="preserve"> </w:t>
            </w:r>
          </w:p>
        </w:tc>
        <w:tc>
          <w:tcPr>
            <w:tcW w:w="76" w:type="dxa"/>
            <w:tcBorders/>
            <w:shd w:fill="CCEEFF" w:val="clear"/>
            <w:vAlign w:val="center"/>
          </w:tcPr>
          <w:p>
            <w:pPr>
              <w:pStyle w:val="TableContents"/>
              <w:bidi w:val="0"/>
              <w:spacing w:before="0" w:after="283"/>
              <w:jc w:val="left"/>
              <w:rPr/>
            </w:pPr>
            <w:r>
              <w:rPr/>
              <w:t> </w:t>
            </w:r>
          </w:p>
        </w:tc>
      </w:tr>
      <w:tr>
        <w:trPr/>
        <w:tc>
          <w:tcPr>
            <w:tcW w:w="86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FFFFFF" w:val="clear"/>
            <w:vAlign w:val="center"/>
          </w:tcPr>
          <w:p>
            <w:pPr>
              <w:pStyle w:val="TableContents"/>
              <w:bidi w:val="0"/>
              <w:spacing w:before="0" w:after="283"/>
              <w:jc w:val="right"/>
              <w:rPr/>
            </w:pPr>
            <w:r>
              <w:rPr>
                <w:rFonts w:ascii="Times New Roman;Times;Serif" w:hAnsi="Times New Roman;Times;Serif"/>
                <w:sz w:val="20"/>
              </w:rPr>
              <w:t>0.21</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86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net tangible book value per share attributable to pro forma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CCEEFF" w:val="clear"/>
            <w:vAlign w:val="center"/>
          </w:tcPr>
          <w:p>
            <w:pPr>
              <w:pStyle w:val="TableContents"/>
              <w:bidi w:val="0"/>
              <w:spacing w:before="0" w:after="283"/>
              <w:jc w:val="right"/>
              <w:rPr/>
            </w:pPr>
            <w:r>
              <w:rPr>
                <w:rFonts w:ascii="Times New Roman;Times;Serif" w:hAnsi="Times New Roman;Times;Serif"/>
                <w:sz w:val="20"/>
              </w:rPr>
              <w:t>0.00</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86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net tangible book value per share as of June 30, 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FFFFFF" w:val="clear"/>
            <w:vAlign w:val="center"/>
          </w:tcPr>
          <w:p>
            <w:pPr>
              <w:pStyle w:val="TableContents"/>
              <w:bidi w:val="0"/>
              <w:spacing w:before="0" w:after="283"/>
              <w:jc w:val="right"/>
              <w:rPr/>
            </w:pPr>
            <w:r>
              <w:rPr>
                <w:rFonts w:ascii="Times New Roman;Times;Serif" w:hAnsi="Times New Roman;Times;Serif"/>
                <w:sz w:val="20"/>
              </w:rPr>
              <w:t>0.21</w:t>
            </w:r>
            <w:r>
              <w:rPr/>
              <w:t xml:space="preserve">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86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Increase in pro forma net tangible book value per share attributable to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CCEEFF" w:val="clear"/>
            <w:vAlign w:val="center"/>
          </w:tcPr>
          <w:p>
            <w:pPr>
              <w:pStyle w:val="TableContents"/>
              <w:bidi w:val="0"/>
              <w:spacing w:before="0" w:after="283"/>
              <w:jc w:val="right"/>
              <w:rPr/>
            </w:pPr>
            <w:r>
              <w:rPr>
                <w:rFonts w:ascii="Times New Roman;Times;Serif" w:hAnsi="Times New Roman;Times;Serif"/>
                <w:sz w:val="20"/>
              </w:rPr>
              <w:t>0.15</w:t>
            </w:r>
            <w:r>
              <w:rPr/>
              <w:t xml:space="preserv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 </w:t>
            </w:r>
          </w:p>
        </w:tc>
        <w:tc>
          <w:tcPr>
            <w:tcW w:w="76" w:type="dxa"/>
            <w:tcBorders/>
            <w:shd w:fill="CCEEFF" w:val="clear"/>
            <w:vAlign w:val="center"/>
          </w:tcPr>
          <w:p>
            <w:pPr>
              <w:pStyle w:val="TableContents"/>
              <w:bidi w:val="0"/>
              <w:spacing w:before="0" w:after="283"/>
              <w:jc w:val="left"/>
              <w:rPr/>
            </w:pPr>
            <w:r>
              <w:rPr/>
              <w:t> </w:t>
            </w:r>
          </w:p>
        </w:tc>
      </w:tr>
      <w:tr>
        <w:trPr/>
        <w:tc>
          <w:tcPr>
            <w:tcW w:w="869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Pro forma as adjusted net tangible book value per share as of June 30, 2026, after giving effect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FFFFFF" w:val="clear"/>
            <w:vAlign w:val="center"/>
          </w:tcPr>
          <w:p>
            <w:pPr>
              <w:pStyle w:val="TableContents"/>
              <w:bidi w:val="0"/>
              <w:spacing w:before="0" w:after="283"/>
              <w:jc w:val="right"/>
              <w:rPr/>
            </w:pPr>
            <w:r>
              <w:rPr/>
              <w:t xml:space="preserve">0.36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jc w:val="left"/>
              <w:rPr/>
            </w:pPr>
            <w:r>
              <w:rPr/>
              <w:t> </w:t>
            </w:r>
          </w:p>
        </w:tc>
      </w:tr>
      <w:tr>
        <w:trPr/>
        <w:tc>
          <w:tcPr>
            <w:tcW w:w="8691"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Dilution per share to new investors in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8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89" w:type="dxa"/>
            <w:tcBorders/>
            <w:shd w:fill="CCEEFF" w:val="clear"/>
            <w:vAlign w:val="center"/>
          </w:tcPr>
          <w:p>
            <w:pPr>
              <w:pStyle w:val="TableContents"/>
              <w:bidi w:val="0"/>
              <w:spacing w:before="0" w:after="283"/>
              <w:jc w:val="right"/>
              <w:rPr/>
            </w:pPr>
            <w:r>
              <w:rPr>
                <w:rFonts w:ascii="Times New Roman;Times;Serif" w:hAnsi="Times New Roman;Times;Serif"/>
                <w:sz w:val="20"/>
              </w:rPr>
              <w:t>1.04</w:t>
            </w:r>
            <w:r>
              <w:rPr/>
              <w:t xml:space="preserve"> </w:t>
            </w:r>
          </w:p>
        </w:tc>
        <w:tc>
          <w:tcPr>
            <w:tcW w:w="7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and table do not take into account further dilution to new investors that could occur upon the exercise of outstanding options or warrants having a per share exercise price less than the per share offering price in this offering.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and table are based on 55,857,933 shares of our common stock outstanding as of June 30, 2026, and exclude, as of that date,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15,544,253 shares of common stock issuable upon the exercise of outstanding warrants with a weighted average exercise price of $1.67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10,048,117 shares of our common stock issuable upon the exercise of stock options, with a weighted-average exercise price of $2.04 per share;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4,223,775 shares of common stock reserved for future issuance pursuant to future awards under our 2017 Equity Incentive Plan as of June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this prospectus supplement assumes full exercise of the pre-funded warrants. </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S-9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sp_008"/>
      <w:bookmarkEnd w:id="9"/>
      <w:r>
        <w:rPr>
          <w:rFonts w:ascii="Times New Roman;Times;Serif" w:hAnsi="Times New Roman;Times;Serif"/>
          <w:b/>
          <w:i w:val="false"/>
          <w:caps w:val="false"/>
          <w:smallCaps w:val="false"/>
          <w:sz w:val="20"/>
        </w:rPr>
        <w:t>MATERIAL U.S. FEDERAL INCOME TAX CONSIDERATIONS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discussion is a summary of the material U.S. federal income tax considerations of the acquisition, ownership and disposition of shares of our common stock and pre-funded warrants acquired in this offering by non-U.S. holders (as defined below) and the acquisition, ownership and disposition of pre-funded warrants acquired in this offering by U.S. holders (as defined below) that, in each case, hold such shares of our common stock or pre-funded warrants as a capital asset within the meaning of Section 1221 of the Code (generally, property held for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current provisions of the U.S. Internal Revenue Code of 1986, as amended, (the “Code”), U.S. Treasury Regulations promulgated thereunder, administrative rulings and judicial decisions, all as in effect as of the date of this prospectus supplement and all of which are subject to change or to differing interpretation, possibly with retroactive effect. Any such change or differing interpretation could alter the tax consequences to holders described in this prospectus supplement. There can be no assurance that the U.S. Internal Revenue Service (the “IRS”), will not challenge one or more of the tax consequences described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 particular holder in light of that holder’s individual circumstances nor does it address U.S. state, local or non-U.S. taxes, U.S. federal estate or gift tax laws, any alternative minimum tax levied under the Code, the Medicare tax on net investment income or any other aspect of any U.S. federal tax other than the income tax. This discussion also does not consider any specific facts or circumstances that may apply to a holder and does not address the special tax rules applicable to certain holders, such as: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 and real estate investment trusts;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or governmental organizations;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institutions;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brokers or dealers in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have elected to mark securities to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that accumulate earnings to avoid U.S. federal income tax;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qualified foreign pension funds” as defined in Section 897(l)(2) of the Code and entities all of the interests of which are held by qualified foreign pension funds;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deemed to sell our common stock or pre-funded warrants under the constructive sale provisions of the Code;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hold our common stock or pre-funded warrants as part of a straddle, hedge, conversion transaction, synthetic security or other integrated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hold or receive our common stock or pre-funded warrants pursuant to the exercise of an employee stock option or otherwise as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holders whose functional currency is not the U.S. dollar; persons that own, or have owned, directly, indirectly or constructively, more than 5% (by vote or value) of our common stock or pre-funded warrants at any time (other than as expressly provided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corporations (and shareholders thereof), partnerships or other entities or arrangements treated as pass-through entities for U.S. federal income tax purposes (and investors therein);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Controlled foreign corporations” and “passive foreign investment companies”;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U.S. expatriates,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tax treatment of partnerships (including any entity or arrangements treated as a partnership for U.S. federal income tax purposes) or persons that hold their common stock or pre-funded warrants through such a partnerships. If an entity or arrangement treated as a partnership for U.S. federal income tax purposes holds our common stock or pre-funded warrants, the tax treatment of a partner in the partnership will depend on the status of the partner, the activities of the partnership and certain determinations made at the partner level. A partner in a partnership or other pass-through entity (including an entity or arrangement that is treated as partnerships for U.S. federal income tax purposes) that will hold our common stock or pre-funded warrants should consult his, her or its tax advisor regarding the tax consequences of acquiring, holding and disposing of our common stock or pre-funded warrants through a partnership or other pass-through entity, as applicable.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discussion is for general information only and is not intended to be, and may not be construed as, tax advice. Accordingly, all prospective holders of our common stock or pre-funded warrants should consult their tax advisors with respect to the U.S. federal, state, local and non-U.S. tax consequences of the purchase, ownership and disposition of our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Pre-Funded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entirely free from doubt, a pre-funded warrant should be treated as a share of our common stock for U.S. federal income tax purposes and a holder of pre-funded warrants should generally be taxed in the same manner as a holder of common stock, as described below. Accordingly, no gain or loss should be recognized upon the exercise of a pre-funded warrant and, upon exercise, the holding period of a pre-funded warrant should carry over to the share of common stock received. Similarly, the tax basis of the pre-funded warrant should carry over to the share of common stock received upon exercise, increased by the exercise price of $0.0001. Each holder should consult his, her or its own tax advisor regarding the risks associated with the acquisition of pre-funded warrants pursuant to this offering (including potential alternative characterizations). The balance of this discussion generally assumes that the characterization described above is respected for U.S. federal income tax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Considerations of Owning and Disposing of Common Stock or Pre-Funded Warrants for 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discusses the material U.S. federal income tax consideration of owning and disposing of our common stock or pre-funded warrants for a U.S. holder. This section does not address the U.S. federal income tax considerations for U.S. holders of 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discussion, a U.S. holder is any beneficial owner of our common stock or pre-funded warrants that, for U.S. federal income tax purposes, is: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domestic corporation;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subject to U.S. federal income tax regardless of its source;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if (A) a U.S. court is able to exercise primary supervision over the trust’s administration and one or more U.S. persons have authority to control all of the trust’s substantial decisions or (B) the trust has validly elected to be treated as a U.S. person for U.S. federal income tax purposes.</w:t>
            </w:r>
          </w:p>
        </w:tc>
      </w:tr>
    </w:tbl>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Our Common Stock and Pre-Funded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section titled “Dividend Policy,” we do not anticipate paying any future distributions on our common stock. However, if we do make cash or other property distributions on our common stock or pre-funded warrants, such distributions will constitute dividends for U.S. federal income tax purposes to the extent paid out of our current or accumulated earnings and profits, as determined for U.S. federal income tax purposes. Amounts not treated as dividends for U.S. federal income tax purposes will constitute a return of capital to the extent of the holder’s tax basis in our common stock or pre-funded warrants, and, thereafter, as gain on the sale or other disposition of our common stock or pre-funded warrants, which is taxed as described under “-</w:t>
      </w:r>
      <w:r>
        <w:rPr>
          <w:rFonts w:ascii="Times New Roman;Times;Serif" w:hAnsi="Times New Roman;Times;Serif"/>
          <w:b w:val="false"/>
          <w:i/>
          <w:caps w:val="false"/>
          <w:smallCaps w:val="false"/>
          <w:sz w:val="20"/>
        </w:rPr>
        <w:t>Gains on Sale or Other Taxable Disposition of Our Common Stock or Pre-Funded Warrants</w:t>
      </w:r>
      <w:r>
        <w:rPr>
          <w:rFonts w:ascii="Times New Roman;Times;Serif" w:hAnsi="Times New Roman;Times;Serif"/>
          <w:b w:val="false"/>
          <w:i w:val="false"/>
          <w:caps w:val="false"/>
          <w:smallCaps w:val="false"/>
          <w:sz w:val="20"/>
        </w:rPr>
        <w:t>”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Gains on Sale or Other Taxable Disposition of Our Common Stock or Pre-Funded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sale or other taxable disposition of our common stock or pre-funded warrants, a U.S. holder generally will recognize capital gain or loss equal to the difference between (i) the amount of cash and the fair market value of any property received upon the sale or other taxable disposition and (ii) such U.S. holder’s adjusted tax basis in the common stock or pre-funded warrants. Such capital gain or loss will be long-term capital gain or loss if the U.S. holder’s holding period in such common stock or pre-funded warrants is more than one year at the time of the sale or other taxable disposition. Long-term capital gains recognized by certain non-corporate U.S. holders, including individuals, generally will be subject to reduced rates of U.S. federal income tax. The deductibility of capital losses is subject to certain limitations.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U.S. Federal Income Tax Consequences for Non-U.S.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discusses the material U.S. federal income tax consequences of acquiring, owning and disposing of shares of our common stock and pre-funded warrants to a non-U.S. holder. For purposes of this discussion, a U.S. holder is any beneficial owner of shares of our common stock or pre-funded warrants that, for U.S. federal income tax purposes, is:</w:t>
      </w:r>
    </w:p>
    <w:p>
      <w:pPr>
        <w:pStyle w:val="TextBody"/>
        <w:bidi w:val="0"/>
        <w:spacing w:before="0" w:after="0"/>
        <w:ind w:left="0" w:right="0" w:hanging="0"/>
        <w:jc w:val="both"/>
        <w:rPr>
          <w:caps w:val="false"/>
          <w:smallCaps w:val="false"/>
        </w:rPr>
      </w:pPr>
      <w:r>
        <w:rPr>
          <w:caps w:val="false"/>
          <w:smallCaps w:val="false"/>
        </w:rPr>
        <w:t> </w:t>
      </w:r>
    </w:p>
    <w:tbl>
      <w:tblPr>
        <w:tblW w:w="9768" w:type="dxa"/>
        <w:jc w:val="left"/>
        <w:tblInd w:w="0" w:type="dxa"/>
        <w:tblLayout w:type="fixed"/>
        <w:tblCellMar>
          <w:top w:w="0" w:type="dxa"/>
          <w:left w:w="0" w:type="dxa"/>
          <w:bottom w:w="0" w:type="dxa"/>
          <w:right w:w="0" w:type="dxa"/>
        </w:tblCellMar>
      </w:tblPr>
      <w:tblGrid>
        <w:gridCol w:w="38"/>
        <w:gridCol w:w="170"/>
        <w:gridCol w:w="9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non-resident alien individual;</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corporation or any other foreign association taxable as a corporation for U.S. federal income tax purposes;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foreign estate or trust the income of which is not subject to U.S. federal income tax on a net income basis.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Distributions on Our Common Stock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in the section titled “Dividend Policy,” we do not anticipate paying any future distributions on our common stock. However, if we do make distributions on our common stock or pre-funded warrants, such distributions will constitute dividends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common stock or pre-funded warrants. Any remaining excess will be treated as capital gain from the sale or exchange of such common stock or pre-funded warrants, subject to the tax treatment described below in “-</w:t>
      </w:r>
      <w:r>
        <w:rPr>
          <w:rFonts w:ascii="Times New Roman;Times;Serif" w:hAnsi="Times New Roman;Times;Serif"/>
          <w:b w:val="false"/>
          <w:i/>
          <w:caps w:val="false"/>
          <w:smallCaps w:val="false"/>
          <w:sz w:val="20"/>
        </w:rPr>
        <w:t>Gain on Sale or Other Taxable Disposition of Our Common Stock or Pre-Funded Warrants</w:t>
      </w:r>
      <w:r>
        <w:rPr>
          <w:rFonts w:ascii="Times New Roman;Times;Serif" w:hAnsi="Times New Roman;Times;Serif"/>
          <w:b w:val="false"/>
          <w:i w:val="false"/>
          <w:caps w:val="false"/>
          <w:smallCaps w:val="false"/>
          <w:sz w:val="20"/>
        </w:rPr>
        <w:t>.” Any such distributions will also be subject to the discussions below in the sections titled “-</w:t>
      </w:r>
      <w:r>
        <w:rPr>
          <w:rFonts w:ascii="Times New Roman;Times;Serif" w:hAnsi="Times New Roman;Times;Serif"/>
          <w:b w:val="false"/>
          <w:i/>
          <w:caps w:val="false"/>
          <w:smallCaps w:val="false"/>
          <w:sz w:val="20"/>
        </w:rPr>
        <w:t>Backup Withholding and Information Reporting” and “FATCA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in the remainder of this section, dividends (including any portion of constructive distributions treated as dividends) paid to a non-U.S. holder generally will be subject to withholding of U.S. federal income tax at a 30% rate or such lower rate as may be specified by an applicable income tax treaty between the United States and such holder’s country of residence. 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that non-U.S. holder has furnished to us or our paying agent an Internal Revenue Service Form W-8ECI (or applicable successor form), certifying under penalties of perjury that the dividend is effectively connected with the non-U.S. holder’s conduct of a trade or business in the United States (and, if an applicable income tax treaty so provides, attributable to a permanent establishment or fixed base maintained in the United States). However, such U.S. effectively connected income, net of specified deductions and credits, is generally taxed on a net income basis in the same manner and at the same regular U.S. federal income tax rates applicable to United States persons (as defined in the Code). Any U.S. effectively connected income received by a corporate non-U.S. holder may also, under certain circumstances, be subject to an additional “branch profits tax” at a 30% rate or such lower rate as may be specified by an applicable income tax treaty between the United States and such holder’s country of residence.</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A non-U.S. holder that holds our common stock through a financial institution or other agent will be required to provide appropriate documentation to the financial institution or other agent, which then will be required to provide certification to us or our paying agent either directly or through other intermediaries.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taxation of a distribution received with respect to a pre-funded warrant is unclear. It is possible such a distribution would be treated as a distribution as described in this section, although other treatments may also be possible. Non-U.S. holders should consult their own tax advisors regarding the proper treatment of any payments in respect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Gains on Sale or Other Taxable Disposition of Our Common Stock or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discussions below under “-</w:t>
      </w:r>
      <w:r>
        <w:rPr>
          <w:rFonts w:ascii="Times New Roman;Times;Serif" w:hAnsi="Times New Roman;Times;Serif"/>
          <w:b w:val="false"/>
          <w:i/>
          <w:caps w:val="false"/>
          <w:smallCaps w:val="false"/>
          <w:sz w:val="20"/>
        </w:rPr>
        <w:t>Backup Withholding and Information Reporting</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FATCA</w:t>
      </w:r>
      <w:r>
        <w:rPr>
          <w:rFonts w:ascii="Times New Roman;Times;Serif" w:hAnsi="Times New Roman;Times;Serif"/>
          <w:b w:val="false"/>
          <w:i w:val="false"/>
          <w:caps w:val="false"/>
          <w:smallCaps w:val="false"/>
          <w:sz w:val="20"/>
        </w:rPr>
        <w:t>,” a non-U.S. holder generally will not be subject to any U.S. federal income or withholding tax on any gain realized upon such holder’s sale or other taxable disposition of shares of our common stock or pre-funded warrants unless: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regular U.S. federal income tax rates applicable to United States persons (as defined in the Code) and, if the non-U.S. holder is a foreign corporation, the branch profits tax described above in “-</w:t>
            </w:r>
            <w:r>
              <w:rPr>
                <w:rFonts w:ascii="Times New Roman;Times;Serif" w:hAnsi="Times New Roman;Times;Serif"/>
                <w:b w:val="false"/>
                <w:i/>
                <w:caps w:val="false"/>
                <w:smallCaps w:val="false"/>
                <w:sz w:val="20"/>
              </w:rPr>
              <w:t>Distributions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on Our Common Stock and Pre-Funded Warrants</w:t>
            </w:r>
            <w:r>
              <w:rPr>
                <w:rFonts w:ascii="Times New Roman;Times;Serif" w:hAnsi="Times New Roman;Times;Serif"/>
                <w:b w:val="false"/>
                <w:i w:val="false"/>
                <w:caps w:val="false"/>
                <w:smallCaps w:val="false"/>
                <w:sz w:val="20"/>
              </w:rPr>
              <w:t>” also may apply;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non-U.S. holder is a nonresident alien individual who is present in the United States for 183 days or more in the taxable year of the disposition (as such days are calculated pursuant to Section 7701(b) of the Code) and certain other conditions are met, in which case the non-U.S. holder will be subject to a 30% tax (or such lower rate as may be specified by an applicable income tax treaty between the United States and such holder’s country of residence) on the net gain derived from the sale or other taxable disposition of the shares of common stock, which may be offset by certain U.S. source capital losses of the non-U.S. holder, if any (even though the individual is not considered a resident of the United States), provided that the non-U.S. holder has timely filed U.S. federal income tax returns with respect to such losses;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or have been, at any time during the five-year period preceding such sale or other taxable disposition (or the non-U.S. holder’s holding period, if shorter) of such shares of common stock, a U.S. real property holding corporation, unless our common stock is regularly traded on an established securities market and the non-U.S. holder holds no more than 5% (by value) of our outstanding common, directly or indirectly, actually or constructively, during the shorter of the 5-year period ending on the date of the disposition or the period that the non-U.S. holder held our common stock. If we are or were a U.S. real property holding corporation during the relevant period and the foregoing exception does not apply, the non-U.S. holder generally will be taxed on its net gain derived from the disposition at the regular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 Special rules may apply to non-U.S. holders of pre-funded warrants, who should consult their tax advisors.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Backup Withholding and Information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report annually to the IRS and to each non-U.S. holder the gross amount of the distributions on our securities paid to such holder and the tax withheld, if any, with respect to such distributions. A non-U.S. holder may have to comply with specific certification procedures to establish that such holder is not a United States person (as defined in the Code) in order to avoid backup withholding at the applicable rate with respect to dividends on our securities. Dividends paid to non-U.S. holders subject to withholding of U.S. federal income tax, as described above in “-</w:t>
      </w:r>
      <w:r>
        <w:rPr>
          <w:rFonts w:ascii="Times New Roman;Times;Serif" w:hAnsi="Times New Roman;Times;Serif"/>
          <w:b w:val="false"/>
          <w:i/>
          <w:caps w:val="false"/>
          <w:smallCaps w:val="false"/>
          <w:sz w:val="20"/>
        </w:rPr>
        <w:t>Distributions on Our Common Stock and Pre-Funded Warrants</w:t>
      </w:r>
      <w:r>
        <w:rPr>
          <w:rFonts w:ascii="Times New Roman;Times;Serif" w:hAnsi="Times New Roman;Times;Serif"/>
          <w:b w:val="false"/>
          <w:i w:val="false"/>
          <w:caps w:val="false"/>
          <w:smallCaps w:val="false"/>
          <w:sz w:val="20"/>
        </w:rPr>
        <w:t>,” generally will be exempt from U.S. backup withholding.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will generally apply to the proceeds of a disposition of our securities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the Foreign Account Tax Compliance Act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either certifies it does not have any substantial U.S. owners or furnishes identifying information regarding each substantial U.S. owner and such entity meets certain other specified requirements, or (iii) the foreign entity is otherwise exempt under FATCA. Such withholding may also apply to gross proceeds from the sale or other disposition of our common stock or pre-funded warrants, although under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or pre-funded warrants, including the consequences of any proposed change in applicable laws.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0" w:name="sp_009"/>
      <w:bookmarkEnd w:id="10"/>
      <w:r>
        <w:rPr>
          <w:rFonts w:ascii="Times New Roman;Times;Serif" w:hAnsi="Times New Roman;Times;Serif"/>
          <w:b/>
          <w:i w:val="false"/>
          <w:caps w:val="false"/>
          <w:smallCaps w:val="false"/>
          <w:sz w:val="20"/>
        </w:rPr>
        <w:t>DESCRIPTION OF THE SECURITIES WE ARE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the securities being offered in this offering. The following description is subject in all respects to the provisions contained in instruments governing the applicable 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rights associated with the common stock, see “</w:t>
      </w:r>
      <w:r>
        <w:rPr>
          <w:rFonts w:ascii="Times New Roman;Times;Serif" w:hAnsi="Times New Roman;Times;Serif"/>
          <w:b w:val="false"/>
          <w:i/>
          <w:caps w:val="false"/>
          <w:smallCaps w:val="false"/>
          <w:sz w:val="20"/>
        </w:rPr>
        <w:t>Description of Capital Stock</w:t>
      </w:r>
      <w:r>
        <w:rPr>
          <w:rFonts w:ascii="Times New Roman;Times;Serif" w:hAnsi="Times New Roman;Times;Serif"/>
          <w:b w:val="false"/>
          <w:i w:val="false"/>
          <w:caps w:val="false"/>
          <w:smallCaps w:val="false"/>
          <w:sz w:val="20"/>
        </w:rPr>
        <w:t>” in the accompanying prospectus. The transfer agent and registrar for our common stock is Colonial Stock Transfer. The transfer agent’s address is 7840 S 700 E Sandy, UT 84070. Our common stock is listed on Nasdaq under the symbol “WRAP.”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summary of certain terms and provisions of the pre-funded warrants that are being offered hereby is not complete and is subject to, and qualified in its entirety by, the provisions of the pre-funded warrant, the form of which will be filed as an exhibit to our Current Report on Form 8-K.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pre-funded warrant will be sold in this offering at a purchase price equal to $1.3999 (equal to the purchase price per share of common stock, minus $0.0001). The purpose of the pre-funded warrants is to enable investors that may have restrictions on their ability to beneficially own more than 4.99% (or, upon election of the holder, 9.99%) of our outstanding common stock following the consummation of this offering the opportunity to make an investment in the Company without triggering their ownership restrictions, by receiving pre-funded warrants in lieu of our common stock which would result in such ownership of more than 4.99% (or, upon election of the holder 9.99%), and receive the ability to exercise their option to purchase the shares of common stock underlying the pre-funded warrants at such nominal price at a later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 and Duration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have an exercise price of $0.0001 per share. The pre-funded warrants are exercisable immediately upon issuance and may be exercised at any time until all of the pre-funded warrants are exercised in full. The exercise price and number of shares of our common stock issuable upon exercise is subject to appropriate adjustment in the event of certain stock dividends and distributions, stock splits, stock combinations, reclassifications or similar events affecting our shares of common stock and the exercise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at the option of each holder, in whole or in part by delivering to us a duly executed exercise notice and, at any time a registration statement registering the issuance of the shares of common stock underlying the pre-funded warrants under the Securities Act is effective and available for the issuance of such shares, or an exemption from registration under the Securities Act is available for the issuance of such shares, by payment in full in immediately available funds for the number of shares of common stock purchased upon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may also be exercised, in whole or in part, by means of a cashless exercise, in which case the holder would receive upon such exercise the net number of shares of common stock determined according to the formula set forth in the pre-funded warrant.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will not have the right to exercise any portion of the pre-funded warrant if the holder (together with its affiliates) would beneficially own in excess of 9.99% of the number of shares of common stock outstanding immediately after giving effect to the exercise, as such percentage ownership is determined in accordance with the terms of the pre-funded warrants. However, any holder may increase or decrease such percentage (up to 9.99%), provided that any increase will not be effective until the 61st day after such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laws, the pre-funded warrants may be offered for sale, sold, transferred or assigned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common stock will be issued upon the exercise of the pre-funded warrants. Rather, the number of shares of common stock to be issued will be rounded to the nearest whole number.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pre-funded warrants being issued in this offering, and we do not expect a market to develop. We do not intend to apply for listing of the pre-funded warrants on any securities exchange or other nationally recognized trading system. Without an active trading market, the liquidity of the pre-funded warrants will be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fundamental transaction, as described in the form of pre-funded warrant, occurs, then the successor entity will succeed to, and be substituted for us, and may exercise every right and power that we may exercise and will assume all of our obligations under the pre-funded warrants with the same effect as if such successor entity had been named in the pre-funded warrant itself. If holders of our shares of common stock are given a choice as to the securities, cash or property to be received in a fundamental transaction, then the holder of a pre-funded warrant shall be given the same choice as to the consideration it receives upon any exercise of the pre-funded warrant following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such holder’s ownership of our shares of common stock, the holder of a pre-funded warrant does not have the rights or privileges of a holder of our shares of common stock, including any voting rights, until the holder exercises the pre-funded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pre-funded warrants may be modified or amended or the provisions thereof waived with the written consent of our company and the respective holder.</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1" w:name="sp_010"/>
      <w:bookmarkEnd w:id="11"/>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 placement agency agreement dated as of August 16, 2026 (“the placement agency agreement”), we have engaged Maxim Group LLC (“Maxim”) to act as our exclusive placement agent in connection with this offering. Under the terms of the placement agency agreement, Maxim has agreed to act as our exclusive placement agent, on a reasonable best efforts basis, in connection with the issuance and sale of our securities pursuant to this prospectus supplement and the accompanying prospectus. The terms of this offering were subject to market conditions and negotiations between us, Maxim and prospective investors. The placement agency agreement does not give rise to any commitment by Maxim to purchase or sell any of our securities, and Maxim will have no authority to bind us by virtue of the placement agency agreement. Maxim may retain other brokers, dealers, or agents to assist with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proposes to arrange for the sale of the securities we are offering pursuant to this prospectus supplement and accompanying prospectus to one or more purchasers through a securities purchase agreement directly between such purchasers and us. We will only sell to such investors who have entered into the securities purchase agreement with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deliver the securities being offered pursuant to this prospectus supplement and accompanying prospectus on or about August 18, 2026, subject to satisfaction of customary closing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and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 a cash fee equal to up to 7.0% of the aggregate gross proceeds received for the securities sold in this offering. The following table shows the per share, per pre-funded warrant and total cash placement agent’s fees we will pay to the placement agent in connection with the sale of the securities offered pursuant to this prospectus supplement and the accompanying prospectus, assuming the purchase of all of the securities offered hereby.</w:t>
      </w:r>
    </w:p>
    <w:p>
      <w:pPr>
        <w:pStyle w:val="TextBody"/>
        <w:bidi w:val="0"/>
        <w:spacing w:before="0" w:after="0"/>
        <w:ind w:left="0" w:right="0" w:hanging="0"/>
        <w:jc w:val="both"/>
        <w:rPr>
          <w:caps w:val="false"/>
          <w:smallCaps w:val="false"/>
        </w:rPr>
      </w:pPr>
      <w:r>
        <w:rPr>
          <w:caps w:val="false"/>
          <w:smallCaps w:val="false"/>
        </w:rPr>
        <w:t> </w:t>
      </w:r>
    </w:p>
    <w:tbl>
      <w:tblPr>
        <w:tblW w:w="7778" w:type="dxa"/>
        <w:jc w:val="left"/>
        <w:tblInd w:w="0" w:type="dxa"/>
        <w:tblLayout w:type="fixed"/>
        <w:tblCellMar>
          <w:top w:w="0" w:type="dxa"/>
          <w:left w:w="0" w:type="dxa"/>
          <w:bottom w:w="0" w:type="dxa"/>
          <w:right w:w="0" w:type="dxa"/>
        </w:tblCellMar>
      </w:tblPr>
      <w:tblGrid>
        <w:gridCol w:w="2885"/>
        <w:gridCol w:w="120"/>
        <w:gridCol w:w="268"/>
        <w:gridCol w:w="831"/>
        <w:gridCol w:w="120"/>
        <w:gridCol w:w="120"/>
        <w:gridCol w:w="269"/>
        <w:gridCol w:w="1130"/>
        <w:gridCol w:w="120"/>
        <w:gridCol w:w="120"/>
        <w:gridCol w:w="200"/>
        <w:gridCol w:w="1460"/>
        <w:gridCol w:w="135"/>
      </w:tblGrid>
      <w:tr>
        <w:trPr/>
        <w:tc>
          <w:tcPr>
            <w:tcW w:w="2885" w:type="dxa"/>
            <w:tcBorders/>
            <w:vAlign w:val="center"/>
          </w:tcPr>
          <w:p>
            <w:pPr>
              <w:pStyle w:val="TableContents"/>
              <w:bidi w:val="0"/>
              <w:spacing w:before="0" w:after="283"/>
              <w:jc w:val="center"/>
              <w:rPr/>
            </w:pPr>
            <w:r>
              <w:rPr/>
              <w:t xml:space="preserve">  </w:t>
            </w:r>
          </w:p>
        </w:tc>
        <w:tc>
          <w:tcPr>
            <w:tcW w:w="120" w:type="dxa"/>
            <w:tcBorders/>
            <w:vAlign w:val="center"/>
          </w:tcPr>
          <w:p>
            <w:pPr>
              <w:pStyle w:val="TableContents"/>
              <w:bidi w:val="0"/>
              <w:spacing w:before="0" w:after="283"/>
              <w:jc w:val="left"/>
              <w:rPr/>
            </w:pPr>
            <w:r>
              <w:rPr/>
              <w:t xml:space="preserve">  </w:t>
            </w:r>
          </w:p>
        </w:tc>
        <w:tc>
          <w:tcPr>
            <w:tcW w:w="109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Per Share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39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Per Pre-Funded</w:t>
            </w:r>
            <w:r>
              <w:rPr>
                <w:rFonts w:ascii="Times New Roman;Times;Serif" w:hAnsi="Times New Roman;Times;Serif"/>
                <w:b w:val="false"/>
                <w:i w:val="false"/>
                <w:caps w:val="false"/>
                <w:smallCaps w:val="false"/>
                <w:sz w:val="20"/>
              </w:rPr>
              <w:t xml:space="preserve">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xml:space="preserve"> </w:t>
            </w:r>
          </w:p>
        </w:tc>
        <w:tc>
          <w:tcPr>
            <w:tcW w:w="120" w:type="dxa"/>
            <w:tcBorders/>
            <w:vAlign w:val="center"/>
          </w:tcPr>
          <w:p>
            <w:pPr>
              <w:pStyle w:val="TableContents"/>
              <w:bidi w:val="0"/>
              <w:spacing w:before="0" w:after="283"/>
              <w:jc w:val="left"/>
              <w:rPr/>
            </w:pPr>
            <w:r>
              <w:rPr/>
              <w:t xml:space="preserve">  </w:t>
            </w:r>
          </w:p>
        </w:tc>
        <w:tc>
          <w:tcPr>
            <w:tcW w:w="120" w:type="dxa"/>
            <w:tcBorders/>
            <w:vAlign w:val="center"/>
          </w:tcPr>
          <w:p>
            <w:pPr>
              <w:pStyle w:val="TableContents"/>
              <w:bidi w:val="0"/>
              <w:spacing w:before="0" w:after="283"/>
              <w:jc w:val="left"/>
              <w:rPr/>
            </w:pPr>
            <w:r>
              <w:rPr/>
              <w:t xml:space="preserve">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Total </w:t>
            </w:r>
          </w:p>
        </w:tc>
        <w:tc>
          <w:tcPr>
            <w:tcW w:w="135" w:type="dxa"/>
            <w:tcBorders/>
            <w:vAlign w:val="center"/>
          </w:tcPr>
          <w:p>
            <w:pPr>
              <w:pStyle w:val="TableContents"/>
              <w:bidi w:val="0"/>
              <w:spacing w:before="0" w:after="283"/>
              <w:jc w:val="left"/>
              <w:rPr/>
            </w:pPr>
            <w:r>
              <w:rPr/>
              <w:t xml:space="preserve">  </w:t>
            </w:r>
          </w:p>
        </w:tc>
      </w:tr>
      <w:tr>
        <w:trPr/>
        <w:tc>
          <w:tcPr>
            <w:tcW w:w="2885" w:type="dxa"/>
            <w:tcBorders/>
            <w:shd w:fill="CCEEFF" w:val="clear"/>
            <w:vAlign w:val="center"/>
          </w:tcPr>
          <w:p>
            <w:pPr>
              <w:pStyle w:val="TableContents"/>
              <w:bidi w:val="0"/>
              <w:spacing w:before="0" w:after="283"/>
              <w:jc w:val="both"/>
              <w:rPr/>
            </w:pPr>
            <w:r>
              <w:rPr/>
              <w:t xml:space="preserve">Offering Price </w:t>
            </w:r>
          </w:p>
        </w:tc>
        <w:tc>
          <w:tcPr>
            <w:tcW w:w="120" w:type="dxa"/>
            <w:tcBorders/>
            <w:shd w:fill="CCEEFF" w:val="clear"/>
            <w:vAlign w:val="center"/>
          </w:tcPr>
          <w:p>
            <w:pPr>
              <w:pStyle w:val="TableContents"/>
              <w:bidi w:val="0"/>
              <w:spacing w:before="0" w:after="283"/>
              <w:jc w:val="left"/>
              <w:rPr/>
            </w:pPr>
            <w:r>
              <w:rPr/>
              <w:t xml:space="preserve">  </w:t>
            </w:r>
          </w:p>
        </w:tc>
        <w:tc>
          <w:tcPr>
            <w:tcW w:w="268" w:type="dxa"/>
            <w:tcBorders/>
            <w:shd w:fill="CCEEFF" w:val="clear"/>
            <w:vAlign w:val="center"/>
          </w:tcPr>
          <w:p>
            <w:pPr>
              <w:pStyle w:val="TableContents"/>
              <w:bidi w:val="0"/>
              <w:spacing w:before="0" w:after="283"/>
              <w:jc w:val="left"/>
              <w:rPr/>
            </w:pPr>
            <w:r>
              <w:rPr/>
              <w:t xml:space="preserve">$ </w:t>
            </w:r>
          </w:p>
        </w:tc>
        <w:tc>
          <w:tcPr>
            <w:tcW w:w="831" w:type="dxa"/>
            <w:tcBorders/>
            <w:shd w:fill="CCEEFF" w:val="clear"/>
            <w:vAlign w:val="center"/>
          </w:tcPr>
          <w:p>
            <w:pPr>
              <w:pStyle w:val="TableContents"/>
              <w:bidi w:val="0"/>
              <w:spacing w:before="0" w:after="283"/>
              <w:jc w:val="right"/>
              <w:rPr/>
            </w:pPr>
            <w:r>
              <w:rPr/>
              <w:t xml:space="preserve">1.40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9" w:type="dxa"/>
            <w:tcBorders/>
            <w:shd w:fill="CCEEFF" w:val="clear"/>
            <w:vAlign w:val="center"/>
          </w:tcPr>
          <w:p>
            <w:pPr>
              <w:pStyle w:val="TableContents"/>
              <w:bidi w:val="0"/>
              <w:spacing w:before="0" w:after="283"/>
              <w:jc w:val="left"/>
              <w:rPr/>
            </w:pPr>
            <w:r>
              <w:rPr/>
              <w:t xml:space="preserve">$ </w:t>
            </w:r>
          </w:p>
        </w:tc>
        <w:tc>
          <w:tcPr>
            <w:tcW w:w="1130" w:type="dxa"/>
            <w:tcBorders/>
            <w:shd w:fill="CCEEFF" w:val="clear"/>
            <w:vAlign w:val="center"/>
          </w:tcPr>
          <w:p>
            <w:pPr>
              <w:pStyle w:val="TableContents"/>
              <w:bidi w:val="0"/>
              <w:spacing w:before="0" w:after="283"/>
              <w:jc w:val="right"/>
              <w:rPr/>
            </w:pPr>
            <w:r>
              <w:rPr/>
              <w:t xml:space="preserve">1.3999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460" w:type="dxa"/>
            <w:tcBorders/>
            <w:shd w:fill="CCEEFF" w:val="clear"/>
            <w:vAlign w:val="center"/>
          </w:tcPr>
          <w:p>
            <w:pPr>
              <w:pStyle w:val="TableContents"/>
              <w:bidi w:val="0"/>
              <w:spacing w:before="0" w:after="283"/>
              <w:jc w:val="right"/>
              <w:rPr/>
            </w:pPr>
            <w:r>
              <w:rPr/>
              <w:t xml:space="preserve">11,999,972.59 </w:t>
            </w:r>
          </w:p>
        </w:tc>
        <w:tc>
          <w:tcPr>
            <w:tcW w:w="135" w:type="dxa"/>
            <w:tcBorders/>
            <w:shd w:fill="CCEEFF" w:val="clear"/>
            <w:vAlign w:val="center"/>
          </w:tcPr>
          <w:p>
            <w:pPr>
              <w:pStyle w:val="TableContents"/>
              <w:bidi w:val="0"/>
              <w:spacing w:before="0" w:after="283"/>
              <w:jc w:val="left"/>
              <w:rPr/>
            </w:pPr>
            <w:r>
              <w:rPr/>
              <w:t xml:space="preserve">  </w:t>
            </w:r>
          </w:p>
        </w:tc>
      </w:tr>
      <w:tr>
        <w:trPr/>
        <w:tc>
          <w:tcPr>
            <w:tcW w:w="2885" w:type="dxa"/>
            <w:tcBorders/>
            <w:shd w:fill="FFFFFF" w:val="clear"/>
            <w:vAlign w:val="center"/>
          </w:tcPr>
          <w:p>
            <w:pPr>
              <w:pStyle w:val="TableContents"/>
              <w:bidi w:val="0"/>
              <w:spacing w:before="0" w:after="283"/>
              <w:jc w:val="both"/>
              <w:rPr/>
            </w:pPr>
            <w:r>
              <w:rPr>
                <w:sz w:val="20"/>
              </w:rPr>
              <w:t>Placement Agent Fees</w:t>
            </w:r>
            <w:r>
              <w:rPr>
                <w:position w:val="7"/>
                <w:sz w:val="16"/>
                <w:sz w:val="20"/>
              </w:rPr>
              <w:t>(1)</w:t>
            </w: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8" w:type="dxa"/>
            <w:tcBorders/>
            <w:shd w:fill="FFFFFF" w:val="clear"/>
            <w:vAlign w:val="center"/>
          </w:tcPr>
          <w:p>
            <w:pPr>
              <w:pStyle w:val="TableContents"/>
              <w:bidi w:val="0"/>
              <w:spacing w:before="0" w:after="283"/>
              <w:jc w:val="left"/>
              <w:rPr/>
            </w:pPr>
            <w:r>
              <w:rPr/>
              <w:t xml:space="preserve">$ </w:t>
            </w:r>
          </w:p>
        </w:tc>
        <w:tc>
          <w:tcPr>
            <w:tcW w:w="831" w:type="dxa"/>
            <w:tcBorders/>
            <w:shd w:fill="FFFFFF" w:val="clear"/>
            <w:vAlign w:val="center"/>
          </w:tcPr>
          <w:p>
            <w:pPr>
              <w:pStyle w:val="TableContents"/>
              <w:bidi w:val="0"/>
              <w:spacing w:before="0" w:after="283"/>
              <w:jc w:val="right"/>
              <w:rPr/>
            </w:pPr>
            <w:r>
              <w:rPr/>
              <w:t xml:space="preserve">0.098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69" w:type="dxa"/>
            <w:tcBorders/>
            <w:shd w:fill="FFFFFF" w:val="clear"/>
            <w:vAlign w:val="center"/>
          </w:tcPr>
          <w:p>
            <w:pPr>
              <w:pStyle w:val="TableContents"/>
              <w:bidi w:val="0"/>
              <w:spacing w:before="0" w:after="283"/>
              <w:jc w:val="left"/>
              <w:rPr/>
            </w:pPr>
            <w:r>
              <w:rPr/>
              <w:t xml:space="preserve">$ </w:t>
            </w:r>
          </w:p>
        </w:tc>
        <w:tc>
          <w:tcPr>
            <w:tcW w:w="1130" w:type="dxa"/>
            <w:tcBorders/>
            <w:shd w:fill="FFFFFF" w:val="clear"/>
            <w:vAlign w:val="center"/>
          </w:tcPr>
          <w:p>
            <w:pPr>
              <w:pStyle w:val="TableContents"/>
              <w:bidi w:val="0"/>
              <w:spacing w:before="0" w:after="283"/>
              <w:jc w:val="right"/>
              <w:rPr/>
            </w:pPr>
            <w:r>
              <w:rPr/>
              <w:t xml:space="preserve">0.098 </w:t>
            </w:r>
          </w:p>
        </w:tc>
        <w:tc>
          <w:tcPr>
            <w:tcW w:w="120" w:type="dxa"/>
            <w:tcBorders/>
            <w:shd w:fill="FFFFFF" w:val="clear"/>
            <w:vAlign w:val="center"/>
          </w:tcPr>
          <w:p>
            <w:pPr>
              <w:pStyle w:val="TableContents"/>
              <w:bidi w:val="0"/>
              <w:spacing w:before="0" w:after="283"/>
              <w:jc w:val="left"/>
              <w:rPr/>
            </w:pPr>
            <w:r>
              <w:rPr/>
              <w:t xml:space="preserve">  </w:t>
            </w:r>
          </w:p>
        </w:tc>
        <w:tc>
          <w:tcPr>
            <w:tcW w:w="120" w:type="dxa"/>
            <w:tcBorders/>
            <w:shd w:fill="FFFFFF" w:val="clear"/>
            <w:vAlign w:val="center"/>
          </w:tcPr>
          <w:p>
            <w:pPr>
              <w:pStyle w:val="TableContents"/>
              <w:bidi w:val="0"/>
              <w:spacing w:before="0" w:after="283"/>
              <w:jc w:val="left"/>
              <w:rPr/>
            </w:pPr>
            <w:r>
              <w:rPr/>
              <w:t xml:space="preserve">  </w:t>
            </w:r>
          </w:p>
        </w:tc>
        <w:tc>
          <w:tcPr>
            <w:tcW w:w="200" w:type="dxa"/>
            <w:tcBorders/>
            <w:shd w:fill="FFFFFF" w:val="clear"/>
            <w:vAlign w:val="center"/>
          </w:tcPr>
          <w:p>
            <w:pPr>
              <w:pStyle w:val="TableContents"/>
              <w:bidi w:val="0"/>
              <w:spacing w:before="0" w:after="283"/>
              <w:jc w:val="left"/>
              <w:rPr/>
            </w:pPr>
            <w:r>
              <w:rPr/>
              <w:t xml:space="preserve">$ </w:t>
            </w:r>
          </w:p>
        </w:tc>
        <w:tc>
          <w:tcPr>
            <w:tcW w:w="1460" w:type="dxa"/>
            <w:tcBorders/>
            <w:shd w:fill="FFFFFF" w:val="clear"/>
            <w:vAlign w:val="center"/>
          </w:tcPr>
          <w:p>
            <w:pPr>
              <w:pStyle w:val="TableContents"/>
              <w:bidi w:val="0"/>
              <w:spacing w:before="0" w:after="283"/>
              <w:jc w:val="right"/>
              <w:rPr/>
            </w:pPr>
            <w:r>
              <w:rPr/>
              <w:t xml:space="preserve">839,998.08 </w:t>
            </w:r>
          </w:p>
        </w:tc>
        <w:tc>
          <w:tcPr>
            <w:tcW w:w="135" w:type="dxa"/>
            <w:tcBorders/>
            <w:shd w:fill="FFFFFF" w:val="clear"/>
            <w:vAlign w:val="center"/>
          </w:tcPr>
          <w:p>
            <w:pPr>
              <w:pStyle w:val="TableContents"/>
              <w:bidi w:val="0"/>
              <w:spacing w:before="0" w:after="283"/>
              <w:jc w:val="left"/>
              <w:rPr/>
            </w:pPr>
            <w:r>
              <w:rPr/>
              <w:t xml:space="preserve">  </w:t>
            </w:r>
          </w:p>
        </w:tc>
      </w:tr>
      <w:tr>
        <w:trPr/>
        <w:tc>
          <w:tcPr>
            <w:tcW w:w="2885" w:type="dxa"/>
            <w:tcBorders/>
            <w:shd w:fill="CCEEFF" w:val="clear"/>
            <w:vAlign w:val="center"/>
          </w:tcPr>
          <w:p>
            <w:pPr>
              <w:pStyle w:val="TableContents"/>
              <w:bidi w:val="0"/>
              <w:spacing w:before="0" w:after="283"/>
              <w:jc w:val="both"/>
              <w:rPr/>
            </w:pPr>
            <w:r>
              <w:rPr>
                <w:sz w:val="20"/>
              </w:rPr>
              <w:t>Proceeds, before expenses, to us</w:t>
            </w:r>
            <w:r>
              <w:rPr>
                <w:position w:val="7"/>
                <w:sz w:val="16"/>
                <w:sz w:val="20"/>
              </w:rPr>
              <w:t>(2)</w:t>
            </w: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8" w:type="dxa"/>
            <w:tcBorders/>
            <w:shd w:fill="CCEEFF" w:val="clear"/>
            <w:vAlign w:val="center"/>
          </w:tcPr>
          <w:p>
            <w:pPr>
              <w:pStyle w:val="TableContents"/>
              <w:bidi w:val="0"/>
              <w:spacing w:before="0" w:after="283"/>
              <w:jc w:val="left"/>
              <w:rPr/>
            </w:pPr>
            <w:r>
              <w:rPr/>
              <w:t xml:space="preserve">$ </w:t>
            </w:r>
          </w:p>
        </w:tc>
        <w:tc>
          <w:tcPr>
            <w:tcW w:w="831" w:type="dxa"/>
            <w:tcBorders/>
            <w:shd w:fill="CCEEFF" w:val="clear"/>
            <w:vAlign w:val="center"/>
          </w:tcPr>
          <w:p>
            <w:pPr>
              <w:pStyle w:val="TableContents"/>
              <w:bidi w:val="0"/>
              <w:spacing w:before="0" w:after="283"/>
              <w:jc w:val="right"/>
              <w:rPr/>
            </w:pPr>
            <w:r>
              <w:rPr/>
              <w:t xml:space="preserve">1.302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69" w:type="dxa"/>
            <w:tcBorders/>
            <w:shd w:fill="CCEEFF" w:val="clear"/>
            <w:vAlign w:val="center"/>
          </w:tcPr>
          <w:p>
            <w:pPr>
              <w:pStyle w:val="TableContents"/>
              <w:bidi w:val="0"/>
              <w:spacing w:before="0" w:after="283"/>
              <w:jc w:val="left"/>
              <w:rPr/>
            </w:pPr>
            <w:r>
              <w:rPr/>
              <w:t xml:space="preserve">$ </w:t>
            </w:r>
          </w:p>
        </w:tc>
        <w:tc>
          <w:tcPr>
            <w:tcW w:w="1130" w:type="dxa"/>
            <w:tcBorders/>
            <w:shd w:fill="CCEEFF" w:val="clear"/>
            <w:vAlign w:val="center"/>
          </w:tcPr>
          <w:p>
            <w:pPr>
              <w:pStyle w:val="TableContents"/>
              <w:bidi w:val="0"/>
              <w:spacing w:before="0" w:after="283"/>
              <w:jc w:val="right"/>
              <w:rPr/>
            </w:pPr>
            <w:r>
              <w:rPr/>
              <w:t xml:space="preserve">1.3019 </w:t>
            </w:r>
          </w:p>
        </w:tc>
        <w:tc>
          <w:tcPr>
            <w:tcW w:w="120" w:type="dxa"/>
            <w:tcBorders/>
            <w:shd w:fill="CCEEFF" w:val="clear"/>
            <w:vAlign w:val="center"/>
          </w:tcPr>
          <w:p>
            <w:pPr>
              <w:pStyle w:val="TableContents"/>
              <w:bidi w:val="0"/>
              <w:spacing w:before="0" w:after="283"/>
              <w:jc w:val="left"/>
              <w:rPr/>
            </w:pPr>
            <w:r>
              <w:rPr/>
              <w:t xml:space="preserve">  </w:t>
            </w:r>
          </w:p>
        </w:tc>
        <w:tc>
          <w:tcPr>
            <w:tcW w:w="120" w:type="dxa"/>
            <w:tcBorders/>
            <w:shd w:fill="CCEEFF" w:val="clear"/>
            <w:vAlign w:val="center"/>
          </w:tcPr>
          <w:p>
            <w:pPr>
              <w:pStyle w:val="TableContents"/>
              <w:bidi w:val="0"/>
              <w:spacing w:before="0" w:after="283"/>
              <w:jc w:val="left"/>
              <w:rPr/>
            </w:pPr>
            <w:r>
              <w:rPr/>
              <w:t xml:space="preserve">  </w:t>
            </w:r>
          </w:p>
        </w:tc>
        <w:tc>
          <w:tcPr>
            <w:tcW w:w="200" w:type="dxa"/>
            <w:tcBorders/>
            <w:shd w:fill="CCEEFF" w:val="clear"/>
            <w:vAlign w:val="center"/>
          </w:tcPr>
          <w:p>
            <w:pPr>
              <w:pStyle w:val="TableContents"/>
              <w:bidi w:val="0"/>
              <w:spacing w:before="0" w:after="283"/>
              <w:jc w:val="left"/>
              <w:rPr/>
            </w:pPr>
            <w:r>
              <w:rPr/>
              <w:t xml:space="preserve">$ </w:t>
            </w:r>
          </w:p>
        </w:tc>
        <w:tc>
          <w:tcPr>
            <w:tcW w:w="1460" w:type="dxa"/>
            <w:tcBorders/>
            <w:shd w:fill="CCEEFF" w:val="clear"/>
            <w:vAlign w:val="center"/>
          </w:tcPr>
          <w:p>
            <w:pPr>
              <w:pStyle w:val="TableContents"/>
              <w:bidi w:val="0"/>
              <w:spacing w:before="0" w:after="283"/>
              <w:jc w:val="right"/>
              <w:rPr/>
            </w:pPr>
            <w:r>
              <w:rPr/>
              <w:t xml:space="preserve">11,159,974.51 </w:t>
            </w:r>
          </w:p>
        </w:tc>
        <w:tc>
          <w:tcPr>
            <w:tcW w:w="135" w:type="dxa"/>
            <w:tcBorders/>
            <w:shd w:fill="CCEEFF" w:val="clear"/>
            <w:vAlign w:val="center"/>
          </w:tcPr>
          <w:p>
            <w:pPr>
              <w:pStyle w:val="TableContents"/>
              <w:bidi w:val="0"/>
              <w:spacing w:before="0" w:after="283"/>
              <w:jc w:val="left"/>
              <w:rPr/>
            </w:pPr>
            <w:r>
              <w:rPr/>
              <w:t xml:space="preserve">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total expenses of the offering payable by us, excluding the placement agent fees, will be approximately $350,000, which includes up to $75,000 of legal fees and expenses that we have agreed to reimburse Maxim in connection with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may be deemed to be an underwriter within the meaning of Section 2(a)(11) of the Securities Act, and any commissions received by it and any profit realized on the sale of our securities offered hereby by it while acting as our exclusive placement agent might be deemed to be underwriting discounts or commissions under the Securities Act. As an underwriter, Maxim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our securities by Maxim acting as exclusive placement agent. Under these rules and regulations, Maxim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Discretionary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 does not intend to confirm sales of the securities offered hereby to any accounts over which it has discretionary authority.</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“WRAP”.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and officers have entered into lock-up agreements. Under these agreements, these individuals have agreed, subject to specified exceptions, not to sell or transfer any shares of common stock or securities convertible into, or exchangeable or exercisable for, our common stock during a period ending forty-five (45) days after the closing date of this offering. Specifically, these individuals have agreed, in part, not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 sell, contract to sell, hypothecate, pledge, sell any option or contract to purchase, purchase any option or contract to sell, grant any option, right or warrant to purchase or otherwise transfer or dispose of;</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 into any swap or any other agreement or any transaction which is designed to, or might reasonably be expected to, result in the disposition whether by actual disposition or effective economic disposition due to cash settlement or otherwise;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or indirectly, or establish or increase a put equivalent position or liquidate or decrease a call equivalent position within the meaning of Section 16 of the Exchange Act</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publicly announce the intention to make any offer, sale, pledge or disposition, or to enter into any transaction, swap, hedge; or</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arrangement relating to any of our securities.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these limitations, these shares of common stock may be transferred under limited circumstances, including, without limitation, by a bona fide gift, will or intestate succession.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Standstill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for a period of forty-five (45) days after the closing date of the offering (the “standstill period”) that we will not (a) issue, enter into any agreement to issue or announce the issuance or proposed issuance of any shares of common stock or common stock equivalents, or (b) file any registration statement or any amendment or supplement thereto, other than this prospectus supplement or filing a registration statement on Form S-8 in connection with any employee benefit plan. The standstill period does not apply to certain exempt issuances, as described in the securities purchase agreement, provided, however, that no variable rate transaction (as defined in the securities purchase agreement) shall be an exempt issuance.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Tail</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also agreed to pay the placement agent a tail fee equal to the cash compensation set forth in the placement agency agreement if (i) there is a closing of this offering or the engagement is terminated prior to closing of this offering other than for Cause (as defined in the placement agency agreement), and (ii) within twelve (12) months thereafter, we complete any financing of equity, equity-linked, convertible, debt or other capital raising activity with, or receive proceeds from, any investor contacted, or introduced to us by the placement agent during the term of this engagement, subject to certain exceptions.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xml:space="preserve"> </w:t>
      </w:r>
    </w:p>
    <w:p>
      <w:pPr>
        <w:pStyle w:val="TextBody"/>
        <w:bidi w:val="0"/>
        <w:jc w:val="both"/>
        <w:rPr>
          <w:caps w:val="false"/>
          <w:smallCaps w:val="false"/>
        </w:rPr>
      </w:pPr>
      <w:r>
        <w:rPr>
          <w:caps w:val="false"/>
          <w:smallCaps w:val="false"/>
        </w:rPr>
        <w:t xml:space="preserve">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to indemnify Maxim and specified other persons against certain liabilities relating to or arising out of Maxim’s activities under the placement agency agreement and to contribute to payments that Maxim may be required to make in respect of liabilities.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accompanying prospectus may be made available in electronic format on websites or through other online services maintained by the Company and/or Maxim or by their respective affiliates. Other than this prospectus supplement and accompanying prospectus in electronic format, the information on the Company’s and/or Maxim’s websites and any information contained in any other websites maintained by the Company and/or Maxim is not part of this prospectus supplement, accompanying prospectus, or the registration statement of which this prospectus supplement and accompanying prospectus form a part, has not been approved and/or endorsed by us or Maxim, and should not be relied upon by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purport to be a complete statement of the terms and conditions of the placement agency agreement with Maxim nor the securities purchase agreement.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in the past and may in the future perform, various commercial and investment banking and financial advisory services for us and our affiliates, for which they have or will receive customary fees and expenses. One of Maxim’s principals is a minority stockholder of the Company. Except as disclosed in this prospectus supplement, we have no present arrangement with the placement agent for any services. </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2" w:name="sp_011"/>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 which has acted as our counsel in connection with this offering, will pass on certain legal matters with respect to U.S. federal law in connection with this offering. Ellenoff Grossman &amp; Schole LLP, New York, New York is acting as counsel to the placement agent in connection with this offering.</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p_012"/>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WRAP Technologies, Inc. appearing in our Annual Report on Form 10-K for the year ended December 31, 2025, have been audited by HTL International, LLC, an independent registered public accounting firm, as set forth in their report thereon, included therein, and incorporated herein by reference. Such financial statements are incorporated by reference herein in reliance upon such report.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4" w:name="sp_013"/>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S-3 under the Securities Act with respect to the securities offered by this prospectus supplement and the accompanying prospectus. This prospectus supplement,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Statements contained in this prospectus supplement as to the contents of any contract, agreement or other document referred to are not necessarily complete, and you should refer to the copy of that contract or other documents filed as an exhibit to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The SEC maintains an internet website at www.sec.gov that contains registration statements, periodic and current reports, proxy statements and other information regarding registrants that are filed electronically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documents are also available, free of charge, through the Investors section of our website, which is located at https://wrap.com. Information contained on our website is not incorporated by reference into this prospectus and you should not consider information on our website to be part of this prospectus supplement or the accompanying prospectus.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p_014"/>
      <w:bookmarkEnd w:id="15"/>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“incorporating by reference” certain documents we file with the SEC, which means that we can disclose important information to you by referring you to those documents. The information in the documents incorporated by reference is considered to be part of this prospectus supplement. Statements contained in documents that we file with the SEC and that are incorporated by reference in this prospectus supplement will automatically update and supersede information contained in this prospectus supplement, including information in previously filed documents or reports that have been incorporated by reference in this prospectus supplement, to the extent the new information differs from or is inconsistent with the old information. We incorporate by reference the documents listed below and any future documents (excluding information furnished pursuant to Items 2.02 and 7.01 of Form 8-K) we file with the SEC pursuant to Sections l3(a), l3(c), 14 or l5(d) of the Exchange Act subsequent to the date of this prospectus supplement and prior to the termination of the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with the SEC on March 26, 2026;</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quarters ended March 31, 2026 and June 30, 2026 filed with the SEC on </w:t>
            </w:r>
            <w:hyperlink r:id="rId4">
              <w:r>
                <w:rPr>
                  <w:rStyle w:val="InternetLink"/>
                  <w:rFonts w:ascii="Times New Roman;Times;Serif" w:hAnsi="Times New Roman;Times;Serif"/>
                  <w:b w:val="false"/>
                  <w:i w:val="false"/>
                  <w:caps w:val="false"/>
                  <w:smallCaps w:val="false"/>
                  <w:sz w:val="20"/>
                </w:rPr>
                <w:t>May 13, 2026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August 11, 2026</w:t>
              </w:r>
            </w:hyperlink>
            <w:r>
              <w:rPr>
                <w:rFonts w:ascii="Times New Roman;Times;Serif" w:hAnsi="Times New Roman;Times;Serif"/>
                <w:b w:val="false"/>
                <w:i w:val="false"/>
                <w:caps w:val="false"/>
                <w:smallCaps w:val="false"/>
                <w:sz w:val="20"/>
              </w:rPr>
              <w:t>, respectively;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(other than any portions thereof deemed furnished and not filed) filed with the SEC on </w:t>
            </w:r>
            <w:hyperlink r:id="rId6">
              <w:r>
                <w:rPr>
                  <w:rStyle w:val="InternetLink"/>
                  <w:rFonts w:ascii="Times New Roman;Times;Serif" w:hAnsi="Times New Roman;Times;Serif"/>
                  <w:b w:val="false"/>
                  <w:i w:val="false"/>
                  <w:caps w:val="false"/>
                  <w:smallCaps w:val="false"/>
                  <w:sz w:val="20"/>
                </w:rPr>
                <w:t>February 4, 2026</w:t>
              </w:r>
            </w:hyperlink>
            <w:r>
              <w:rPr>
                <w:rFonts w:ascii="Times New Roman;Times;Serif" w:hAnsi="Times New Roman;Times;Serif"/>
                <w:b w:val="false"/>
                <w:i w:val="false"/>
                <w:caps w:val="false"/>
                <w:smallCaps w:val="false"/>
                <w:sz w:val="20"/>
              </w:rPr>
              <w:t xml:space="preserve"> and </w:t>
            </w:r>
            <w:hyperlink r:id="rId7">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descriptions of our securities incorporated by reference to </w:t>
            </w:r>
            <w:hyperlink r:id="rId8">
              <w:r>
                <w:rPr>
                  <w:rStyle w:val="InternetLink"/>
                  <w:rFonts w:ascii="Times New Roman;Times;Serif" w:hAnsi="Times New Roman;Times;Serif"/>
                  <w:b w:val="false"/>
                  <w:i w:val="false"/>
                  <w:caps w:val="false"/>
                  <w:smallCaps w:val="false"/>
                  <w:sz w:val="20"/>
                </w:rPr>
                <w:t>Exhibit 4.7</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26, 2026, including any amendment or report filed or to be filed for the purpose of updating such descriptions.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supplement. We have not authorized anyone else to provide you with different information. Any statement contained in a document incorporated by reference into this prospectus supplement will be deemed to be modified or superseded for the purposes of this prospectus supplement to the extent that a later statement contained in this prospectus supplement or in any other document incorporated by reference into this prospectus supplement modifies or supersedes the earlier statement. Any statement so modified or superseded will not be deemed, except as so modified or superseded, to constitute a part of this prospectus supplement. You should not assume that the information in this prospectus supplement is accurate as of any date other than the date of this prospectus supplement or the date of the documents incorporated by reference in this prospectus supplement.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S-22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WRAP TECHNOLOGIES, INC.</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$200,000,000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br/>
        <w:t>PREFERRED STOCK</w:t>
        <w:br/>
        <w:t>DEBT SECURITIES</w:t>
        <w:br/>
        <w:t>WARRANTS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SUBSCRIPTION RIGHTS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and sell from time to time, in one or more series or issuances and on terms that we will determine at the time of the offering, any combination of the securities described in this prospectus, up to an aggregate amount of $200,000,000.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specific terms of any offering in a supplement to this prospectus. Any prospectus supplement may also add, update, or change information contained in this prospectus. You should carefully read this prospectus and the applicable prospectus supplement as well as the documents incorporated or deemed to be incorporated by reference in this prospectus before you purchase any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securities may be offered and sold in the same offering or in separate offerings; to or through underwriters, dealers, and agents; or directly to purchasers. The names of any underwriters, dealers, or agents involved in the sale of our securities, their compensation and any over-allotment options held by them will be described in the applicable prospectus supplement. See “Plan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“WRAP.” On November 20, 2025, the last reported sale price of our common stock was $1.98 per share as reported on Nasdaq. We recommend that you obtain current market quotations for our common stock prior to making an investment decision. We will provide information in any applicable prospectus supplement regarding any listing of securities other than shares of our common stock on any securities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carefully read this prospectus, any prospectus supplement relating to any specific offering of securities, and all information incorporated by reference herein and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These risks are discussed in this prospectus under “Risk Factors” beginning on page 7 and in the documents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______ __, 2025.</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jc w:val="center"/>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5105"/>
        <w:gridCol w:w="455"/>
      </w:tblGrid>
      <w:tr>
        <w:trPr/>
        <w:tc>
          <w:tcPr>
            <w:tcW w:w="510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51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About This Prospectus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51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51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Prospectus Summary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51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Risk Factors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51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51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Description of Capital Stock</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51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Description of Debt Securities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51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Description of Warrants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51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Description of Subscription Rights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51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Description of Units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51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Plan of Distribution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51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val="false"/>
                  <w:i w:val="false"/>
                  <w:caps w:val="false"/>
                  <w:smallCaps w:val="false"/>
                  <w:sz w:val="20"/>
                </w:rPr>
                <w:t>Legal Matters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Experts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Where You Can Find More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5105"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Incorporation of Documents by Reference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bl>
    <w:p>
      <w:pPr>
        <w:pStyle w:val="TextBody"/>
        <w:bidi w:val="0"/>
        <w:spacing w:before="0" w:after="0"/>
        <w:ind w:left="0" w:right="0" w:hanging="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6" w:name="a_001"/>
      <w:bookmarkEnd w:id="16"/>
      <w:r>
        <w:rPr>
          <w:rFonts w:ascii="Times New Roman;Times;Serif" w:hAnsi="Times New Roman;Times;Serif"/>
          <w:b/>
          <w:i w:val="false"/>
          <w:caps/>
          <w:sz w:val="20"/>
        </w:rPr>
        <w:t>About this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 using a “shelf” registration process. Under this shelf process, we may, from time to time, sell any combination of the securities described in this prospectus in one or more offerings up to a total amount of $200,000,000.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to be attached to the front of this prospectus may describe, as applicable: the terms of the securities offered; the public offering price; the price paid for the securities; net proceeds; and the other specific terms related to the offering of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only rely on the information contained or incorporated by reference in this prospectus and any prospectus supplement or issuer free writing prospectus relating to a particular offering. No person has been authorized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the entire prospectus and any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prospectus to “WRAP,” the “Company,” “we,” “us,” “our,” or similar terms refer to Wrap Technologies, Inc. and its subsidiaries taken as a whole, except where the context otherwise requires or as otherwise indicated.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7" w:name="a_002"/>
      <w:bookmarkEnd w:id="17"/>
      <w:r>
        <w:rPr>
          <w:rFonts w:ascii="Times New Roman;Times;Serif" w:hAnsi="Times New Roman;Times;Serif"/>
          <w:b/>
          <w:i w:val="false"/>
          <w:caps/>
          <w:sz w:val="20"/>
        </w:rPr>
        <w:t>Cautionary Statement Regarding Forward Looking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herein may contain or incorporate by reference forward-looking statements within the meaning of Section 27A of the Securities Act of 1933, as amended (the “Securities Act”), and Section 21E of the Securities Exchange Act of 1934, as amended (the “Exchange Act”). Such forward-looking statements are based upon management’s assumptions, expectations, projections, intentions and beliefs about future events. In some cases, predictive, future-tense or forward-looking words such as “intend,” “plan,” “predict,” “may,” “will,” “project,” “target,” “strategy,” “estimate,” “anticipate,” “believe,” “expect,” “continue,” “potential,” “opportunity,” “forecast,” “should” and similar expressions, whether in the negative or affirmative, that reflect our current views with respect to future events and operational, economic and financial performance are intended to identify such forward-looking statements, but are not the exclusive means of identifying such statements. Such forward-looking statements are only predictions, and actual results and the timing of certain events and circumstances may differ materially from those described by the forward-looking statements as a result of risks and uncertainties, including, without limitation, the Company’s ability to successfully implement training programs for the use of its products; the Company’s ability to manufacture and produce its products; the Company’s ability to develop sales for its new products; the acceptance of existing and future products, including the acceptance of the BolaWrap 150, Wrap Reality, WrapTactics, WrapVision, our Body-Worn Camera and our Digital Evidence Management system and our Counter-Unmanned-Aircraft-System; the risk that distributor and customer orders for future deliveries are modified, rescheduled or cancelled in the normal course of business; the availability of funding to continue to finance operations; the complexity, expense and time associated with sales to law enforcement and government entities; the lengthy evaluation and sales cycle for the Company’s product solution; product defects; litigation risks from alleged product-related injuries; risks of government regulations; the impact resulting from geopolitical conflicts and any resulting sanctions; the ability to obtain export licenses for countries outside of the US; the ability to obtain patents and defend IP against competitors; the impact of competitive products and solutions; and the Company’s ability to maintain and enhance its brand; the ability to maintain compliance with the Nasdaq Stock Market’s listing standards; the ability of the Company to timely and effectively implement controls and procedures required by Section 404 of the Sarbanes-Oxley Act of 2002; and risks resulting from the Company’s status as a smaller reporting company, including that reduced disclosure requirements may make shares of the Company’s common stock less attractive to investors. Additional factors that could cause actual results to differ materially from the results anticipated in these forward-looking statements are described in this prospectus, including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w:t>
      </w:r>
      <w:r>
        <w:rPr>
          <w:rFonts w:ascii="Times New Roman;Times;Serif" w:hAnsi="Times New Roman;Times;Serif"/>
          <w:b w:val="false"/>
          <w:i/>
          <w:caps w:val="false"/>
          <w:smallCaps w:val="false"/>
          <w:sz w:val="20"/>
        </w:rPr>
        <w:t>Part I, Item 1A. — Risk Factors</w:t>
      </w:r>
      <w:r>
        <w:rPr>
          <w:rFonts w:ascii="Times New Roman;Times;Serif" w:hAnsi="Times New Roman;Times;Serif"/>
          <w:b w:val="false"/>
          <w:i w:val="false"/>
          <w:caps w:val="false"/>
          <w:smallCaps w:val="false"/>
          <w:sz w:val="20"/>
        </w:rPr>
        <w:t>” of the Company’s Annual Report on Form 10-K for the fiscal year ended December 31, 2024, filed on March 31, 2025, any updates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w:t>
      </w:r>
      <w:r>
        <w:rPr>
          <w:rFonts w:ascii="Times New Roman;Times;Serif" w:hAnsi="Times New Roman;Times;Serif"/>
          <w:b w:val="false"/>
          <w:i/>
          <w:caps w:val="false"/>
          <w:smallCaps w:val="false"/>
          <w:sz w:val="20"/>
        </w:rPr>
        <w:t>Part II, Item 1A. — Risk Factors</w:t>
      </w:r>
      <w:r>
        <w:rPr>
          <w:rFonts w:ascii="Times New Roman;Times;Serif" w:hAnsi="Times New Roman;Times;Serif"/>
          <w:b w:val="false"/>
          <w:i w:val="false"/>
          <w:caps w:val="false"/>
          <w:smallCaps w:val="false"/>
          <w:sz w:val="20"/>
        </w:rPr>
        <w:t>” of any applicable Quarterly Report on Form 10-Q, and the risk factors described under the caption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in any applicable prospectus supplement. See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We advise you to carefully review the reports and documents we file from time to time with the SEC, particularly our annual reports on Form 10-K, our quarterly reports on Form 10-Q and our current reports on Form 8-K. The Company cautions readers that the forward-looking statements included in, or incorporated by reference into, this prospectus represent our beliefs, expectations, estimates and assumptions only as of the date hereof and are not intended to give any assurance as to future results. New factors emerge from time to time, and it is not possible for us to predict all of these factors. Further, we cannot assess the effect of each such factor on our business or the extent to which any factor, or combination of factors, may cause actual results to be materially different from those contained in any forward-looking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applicable prospectus supplement and any related free-writing prospectus and the documents incorporated by reference in this prospectus with the understanding that our actual future results, levels of activity, performance and events and circumstances may be materially different from what we expect. The forward-looking statements contained or incorporated by reference in this prospectus or any prospectus supplement are expressly qualified in their entirety by this cautionary statement. We do not undertake any obligation to publicly update any forward-looking statement to reflect events or circumstances after the date on which any such statement is made or to reflect the occurrence of unanticipated events.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8" w:name="a_003"/>
      <w:bookmarkEnd w:id="18"/>
      <w:r>
        <w:rPr>
          <w:rFonts w:ascii="Times New Roman;Times;Serif" w:hAnsi="Times New Roman;Times;Serif"/>
          <w:b/>
          <w:i w:val="false"/>
          <w:caps/>
          <w:sz w:val="20"/>
        </w:rPr>
        <w:t>Prospectus Summary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provides an overview of selected information contained elsewhere or incorporated by reference in this prospectus and does not contain all of the information you should consider before investing in our securities. You should carefully read the prospectus, the information incorporated by reference and the registration statement of which this prospectus is a part in their entirety before investing in our securities, including the information discussed under “Risk Factors” in this prospectus and the documents incorporated by reference and our financial statements and notes thereto that are incorporated by reference in this prospectus. Some of the statements in this prospectus and the documents incorporated by reference herein constitute forward-looking statements that involve risks and uncertainties. See information set forth under the section “Cautionary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global public safety technology and services company that delivers safe and effective policing solutions to law enforcement and security personnel worldwide. We are leading the movement for safer outcomes by equipping law enforcement with safer, non-painful compliance tools, and immersive training fit for modern society. We began sales of our first public safety product, the BolaWrap 100 remote restraint device, in late 2018. In the first quarter of 2022, we delivered a new generation product, the BolaWrap 150. The BolaWrap 150 is electronically deployed and is more robust, smaller, lighter and simpler to deploy than the BolaWrap 100 that has since been phased out. In late 2020 we added a new solution to our public safety technologies, our virtual reality (“VR”) training platform, Wrap Reality, and in August 2023 we acquired Intrensic, LLC, a Delaware limited liability company (“Intrensic”), which added a Body-Worn Camera (“BWC”) and Digital Evidence Management (“DEM”) solution to our portfolio of policing solutions. Wrap Reality is now sold to law enforcement agencies for simulation training as well as corrections departments for the societal reentry scenarios.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2025, we expanded our product portfolio with the launch of WrapTactics, a digital pre-escalation and performance training platform, and WrapVision, a North American-made body-worn camera solution designed to meet federal procurement standards. We also advanced several counter-unmanned-aircraft-system (“C-UAS”) initiatives, including our MERLIN and PAN-DA programs, which apply our tether-deployment technology to non-lethal drone interdiction and defense applications. These developments broaden our reach beyond traditional policing to include defense, homeland security, and other public-safety markets, while maintaining our focus on de-escalation, accountability, and safer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target market for our product and technology enabled services includes approximately 900,000 full-time sworn law enforcement officers in over 18,000 federal, state, and local law enforcement agencies in the U.S. and over 12 million police officers in more than 100 countries. Additionally, we are exploring opportunities to increase our presence in other adjacent markets, such as military and private security. Our international focus is on countries with the largest police forces. According to 360iResearch, a market research consulting firm, our non-lethal products are part of a global market segment expected to grow to $16.1 billion by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our efforts on the following products and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BolaWrap Remote Restraint Device</w:t>
      </w:r>
      <w:r>
        <w:rPr>
          <w:rFonts w:ascii="Times New Roman;Times;Serif" w:hAnsi="Times New Roman;Times;Serif"/>
          <w:b w:val="false"/>
          <w:i w:val="false"/>
          <w:caps w:val="false"/>
          <w:smallCaps w:val="false"/>
          <w:sz w:val="20"/>
        </w:rPr>
        <w:t xml:space="preserve"> - a hand-held remote restraint device that discharges a seven and half-foot Kevlar tether to entangle an individual at a range of 10-25 feet. BolaWrap assists law enforcement to safely and effectively control encounters early without resorting to painful use of force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Reality</w:t>
      </w:r>
      <w:r>
        <w:rPr>
          <w:rFonts w:ascii="Times New Roman;Times;Serif" w:hAnsi="Times New Roman;Times;Serif"/>
          <w:b w:val="false"/>
          <w:i w:val="false"/>
          <w:caps w:val="false"/>
          <w:smallCaps w:val="false"/>
          <w:sz w:val="20"/>
        </w:rPr>
        <w:t xml:space="preserve"> - a law enforcement 3D training system employing immersive computer graphics VR with proprietary software-enabled content. It allows up to two participants to enter a simulated training environment simultaneously, and customized weapons controllers enable trainees to engage in strategic decision making along the force continuum. Wrap Reality has 45 scenarios for law enforcement and corrections and 15 scenarios for societal reentry. Wrap Reality is one of the most robust 3D Virtual Reality solutions on the market for law enforcement and societal reentry today.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 Intrensic</w:t>
      </w:r>
      <w:r>
        <w:rPr>
          <w:rFonts w:ascii="Times New Roman;Times;Serif" w:hAnsi="Times New Roman;Times;Serif"/>
          <w:b w:val="false"/>
          <w:i w:val="false"/>
          <w:caps w:val="false"/>
          <w:smallCaps w:val="false"/>
          <w:sz w:val="20"/>
        </w:rPr>
        <w:t xml:space="preserve"> - a Body-Worn Camera and Digital Evidence Management solutions provider. BWC and DEM play crucial roles in capturing, storing, and managing digital evidence, such as video and audio recordings for various purposes, including criminal investigations and maintaining transparency in public interactions. The Wrap Intrensic X2 camera hardware and storage and data management capability, along with awareness of front-line operations, provides customers with a solution to meet their challenges. Wrap Intrensic Evidence on our cloud-based video storage platform provides an unlimited video storage platform that includes video and other evidence uploading, search, retrieval, redaction, and evidence sharing while reducing the need for resources required to manage this evidence.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WrapTactics Digital Training Platform</w:t>
      </w:r>
      <w:r>
        <w:rPr>
          <w:rFonts w:ascii="Times New Roman;Times;Serif" w:hAnsi="Times New Roman;Times;Serif"/>
          <w:b w:val="false"/>
          <w:i w:val="false"/>
          <w:caps w:val="false"/>
          <w:smallCaps w:val="false"/>
          <w:sz w:val="20"/>
        </w:rPr>
        <w:t xml:space="preserve"> - a subscription-based digital learning and training system that delivers short-form, scenario-based courses focused on pre-escalation tactics, emotional regulation, and post-deployment control techniques. The platform reinforces officer readiness through burst-learning modules and supports recurring-revenue opportunities by integrating with Wrap’s bundled offerings, WrapReady and WrapPlus. WrapTactics includes an exclusive partnership with STORM Training Group, whose evidence-based defensive-tactics curriculum is incorporated into Wrap’s subscription ecosystem to provide post-BolaWrap arrest and control instruction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WrapReality Training Simulator</w:t>
      </w:r>
      <w:r>
        <w:rPr>
          <w:rFonts w:ascii="Times New Roman;Times;Serif" w:hAnsi="Times New Roman;Times;Serif"/>
          <w:b w:val="false"/>
          <w:i w:val="false"/>
          <w:caps w:val="false"/>
          <w:smallCaps w:val="false"/>
          <w:sz w:val="20"/>
        </w:rPr>
        <w:t>- a fully immersive VR training simulator that provides first responders with realistic, interactive scenarios designed to improve decision-making under pressure. The system continues to expand its content library and complements WrapTactics and BolaWrap deployments.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WrapVision Body-Worn Camera and Evidence Management System</w:t>
      </w:r>
      <w:r>
        <w:rPr>
          <w:rFonts w:ascii="Times New Roman;Times;Serif" w:hAnsi="Times New Roman;Times;Serif"/>
          <w:b w:val="false"/>
          <w:i w:val="false"/>
          <w:caps w:val="false"/>
          <w:smallCaps w:val="false"/>
          <w:sz w:val="20"/>
        </w:rPr>
        <w:t xml:space="preserve"> - a North American-made, Trade Agreements Act-compliant body-worn camera solution designed for law enforcement, public-safety, and healthcare users. The device integrates LTE, Wi-Fi, Bluetooth, and VPN connectivity for secure live streaming, provides up to twelve hours of operation per charge, and is compatible with leading video-management platforms. WrapVision complements our pre-escalation and accountability initiatives by offering secure domestic data storage and alignment with federal procurement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C-UAS and Drone-Based Solutions - we have expanded into the C-UAS and aerial-interdiction markets through multiple research, development, and demonstration programs including: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MERLIN Platform</w:t>
      </w:r>
      <w:r>
        <w:rPr>
          <w:rFonts w:ascii="Times New Roman;Times;Serif" w:hAnsi="Times New Roman;Times;Serif"/>
          <w:b w:val="false"/>
          <w:i w:val="false"/>
          <w:caps w:val="false"/>
          <w:smallCaps w:val="false"/>
          <w:sz w:val="20"/>
        </w:rPr>
        <w:t xml:space="preserve"> - a modular housing system enabling integration of our kinetic cassettes into UAS and UGV platforms for scalable aerial defense.</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Project PAN-DA (Personal Anti-Drone Armament)</w:t>
      </w:r>
      <w:r>
        <w:rPr>
          <w:rFonts w:ascii="Times New Roman;Times;Serif" w:hAnsi="Times New Roman;Times;Serif"/>
          <w:b w:val="false"/>
          <w:i w:val="false"/>
          <w:caps w:val="false"/>
          <w:smallCaps w:val="false"/>
          <w:sz w:val="20"/>
        </w:rPr>
        <w:t xml:space="preserve"> - a handheld, surface-to-air, quick-reaction C-UAS launcher derived from the BolaWrap 150 platform, providing individual operators with a portable non-lethal defense capability against small drones.</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1KC Wide Area Kinetic Anti-Drone Cassette</w:t>
      </w:r>
      <w:r>
        <w:rPr>
          <w:rFonts w:ascii="Times New Roman;Times;Serif" w:hAnsi="Times New Roman;Times;Serif"/>
          <w:b w:val="false"/>
          <w:i w:val="false"/>
          <w:caps w:val="false"/>
          <w:smallCaps w:val="false"/>
          <w:sz w:val="20"/>
        </w:rPr>
        <w:t xml:space="preserve"> - a patent-pending, modular cassette designed for integration with PAN-DA and MERLIN systems to enable wide-area coverage and multiple drone engagements per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U.S. law enforcement market, we have shipped our restraint products to 62 countries. We have distribution agreements with 22 international distributors covering 43 countries. We focus significant sales, training and business development efforts to support our distribution network in addition to our internal sales 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focus significant resources on research and development innovations and continue to enhance our products and plan to introduce new products. We believe we have established a strong brand and market presence globally and have established significant competitive advantages in our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 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smaller reporting company as defined in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if we are a smaller reporting company with less than $100 million in annual revenue, we would not be required to obtain an attestation report on internal control over financial reporting issued by our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Wrap Technologies, Inc. is a Delaware corporation. Our corporate headquarters are located at 3480 Main Hwy, Suite 202, Miami, Florida 33133. Our phone number is (800) 583-2652. Our website address is </w:t>
      </w:r>
      <w:r>
        <w:rPr>
          <w:rFonts w:ascii="Times New Roman;Times;Serif" w:hAnsi="Times New Roman;Times;Serif"/>
          <w:b w:val="false"/>
          <w:i/>
          <w:caps w:val="false"/>
          <w:smallCaps w:val="false"/>
          <w:sz w:val="20"/>
        </w:rPr>
        <w:t>www.wrap.com</w:t>
      </w:r>
      <w:r>
        <w:rPr>
          <w:rFonts w:ascii="Times New Roman;Times;Serif" w:hAnsi="Times New Roman;Times;Serif"/>
          <w:b w:val="false"/>
          <w:i w:val="false"/>
          <w:caps w:val="false"/>
          <w:smallCaps w:val="false"/>
          <w:sz w:val="20"/>
        </w:rPr>
        <w:t>. Through our website, we will make available, free of charge, our Annual Report on Form 10-K, Quarterly Reports on Form 10-Q, Current Reports on Form 8-K and any amendments to those reports, as soon as reasonably practicable after such material is electronically filed with, or furnished to, the SEC. Information contained on, or that can be accessed through, our website is not and shall not be deemed to be a part of this prospectus or incorporated by reference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We May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offer up to $200,000,000 of common stock, preferred stock, various series of debt securities, warrants, units and/or subscription rights in one or more offerings and in any combination. This prospectus provides you with a general description of the securities we may offer. A prospectus supplement, which we will provide each time we offer securities, will describe the specific amounts, prices and terms of these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of our common stock from time to time. Holders of our common stock are entitled to receive ratably dividends as may be declared by the board of directors of the Company (the “Board”) out of funds legally available for that purpose. We have never paid cash dividends on our common stock and do not anticipate paying any cash dividends in the foreseeable future but intend to retain our capital resources for reinvestment in our business. So long as any shares of Series A Convertible Preferred Stock, with a stated value of $1,000 (“Series A Preferred Stock”) are outstanding, we are not able to declare or pay any cash dividend or distribution on any of our common stock without the prior written consent of the Required Holders (as defined in the Certificate of Designations of the Series A Preferred Stock (“Series A Certificate of Designations”)). So long as any shares of Series B Convertible Preferred Stock, with a stated value of $1,000 (“Series B Preferred Stock”) are outstanding, we are not able to declare or pay any cash dividend or distribution of any of our common stock. Any future disposition of dividends will be at the discretion of the Board and will depend upon, among other things, our future earnings, operating and financial condition, capital requirements,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the holder to one vote, either in person or by proxy, at meetings of stockholders. The holders are not permitted to vote their shares cumulatively. Each election of directors by our stockholders will be determined by a plurality of the votes cast by the stockholders entitled to vote on the election. Other than the election of directors, all matters submitted to a vote of stockholders require the affirmative vote of a majority of the votes cast by the stockholders at the meeting and entitled to vote on the subject matter, voting affirmatively or negatively (excluding abstentions and broker non-votes) to authorize, affirm, ratify or consent to such act or action, except as otherwise provided by our amended and restated certificate of incorporation (“Certificate of Incorporation”), our amended and restated bylaws, as amended (“Bylaws”), the rules or regulations of any stock exchange applicable to us, applicable law or pursuant to any regulation applicable to us or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rights or other subscription rights, conversion rights, redemption or sinking fund provisions. Subject to the rights of the holders of our preferred stock, upon our liquidation, dissolution or winding up, the holders of our common stock will be entitled to share ratably in the net assets legally available for distribution to stockholders after the payment of all of our debts and other liabilities. The rights, preferences and privileges of holders of our common stock are subject to, and may be adversely affected by, the rights of the holders of any series of preferred stock, which may be designated solely by action of the Board and issued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shares of our preferred stock from time to time, in one or more series. The Board will determine the rights, preferences, privileges and restrictions of the preferred stock, including dividend rights, conversion rights, voting rights, terms of redemption, liquidation preferences, sinking fund terms and the number of shares constituting any series or the designation of such series, without any further vote or action by stockholders. Convertible preferred stock will be convertible into our common stock or exchangeable for our other securities. Conversion may be mandatory, at the option of the holder, or both and would be at prescribed conversion rates.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sell any series of preferred stock under this prospectus and applicable prospectus supplements, we will fix the rights, preferences, privileges and restrictions of the preferred stock of such series in the certificate of designation relating to that series. We will file as an exhibit to the registration statement of which this prospectus is a part, or will incorporate by reference from reports that we file with the SEC, the form of any certificate of designation that describes the terms of the series of preferred stock we are offering before the issuance of the related series of preferred stock. We urge you to read the applicable prospectus supplement related to the series of preferred stock being offered, as well as the complete certificate of designation that contains the terms of the applicable series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the Series A Preferred Stock and Series B Preferred Stock, see “Description of Capital Stock” on page 9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or preferred stock in one or more series. We may issue warrants independently or together with common stock or preferred stock, and the warrants may be attached to or separate from these securities. We will evidence each series of warrants by warrant certificates that we will issue under a separate agreement. We may enter into warrant agreements with a bank or trust company that we select to be our warrant agent. We will indicate the name and address of the warrant agent in the applicable prospectus supplement relating to a particular series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prospectus, we have summarized certain general features of the warrants. We urge you, however, to read the applicable prospectus supplement related to the particular series of warrants being offered, as well as the warrant agreements and warrant certificates that contain the terms of the warrants. We will file as exhibits to the registration statement of which this prospectus is a part, or will incorporate by reference from reports that we file with the SEC, the form of warrant agreement or warrant certificate containing the terms of the warrants we are offering before the issuance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or other securities. These subscription rights may be issued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 We will file as exhibits to the registration statement of which this prospectus is a part, or will incorporate by reference reports that we file with the SEC, the form of such agreement and any supplemental agreements that describe the terms of the subscription rights we are offering before the issuance of such subscription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and/or warrants for the purchase of common stock or preferred stock in one or more series. In this prospectus, we have summarized certain general features of the units. We urge you, however, to read the applicable prospectus supplement related to the series of units being offered, as well as the unit agreements that contain the terms of the units. We will file as exhibits to the registration statement of which this prospectus is a part, or will incorporate by reference reports that we file with the SEC, the form of unit agreement and any supplemental agreements that describe the terms of the series of units we are offering before the issuance of the related series of units.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9" w:name="a_004"/>
      <w:bookmarkEnd w:id="19"/>
      <w:r>
        <w:rPr>
          <w:rFonts w:ascii="Times New Roman;Times;Serif" w:hAnsi="Times New Roman;Times;Serif"/>
          <w:b/>
          <w:i w:val="false"/>
          <w:caps/>
          <w:sz w:val="20"/>
        </w:rPr>
        <w:t>Risk Factors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 investment in our securities involves a high degree of risk. Before deciding whether to invest in our securities, you should consider carefully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Part I, Item 1A, “Risk Factors,” in our most recent Annual Report on Form 10-K or any updates in our Quarterly Reports on Form 10-Q, which are incorporated herein by reference, as updated or superseded by the risks and uncertainties described under similar headings in the other documents that are filed after the date hereof and incorporated by reference into this prospectus and any prospectus supplement related to a particular offering. The risks and uncertainties we have described are not the only ones we face. Additional risks and uncertainties not presently known to us or that we currently deem immaterial may also affect our operations. Past financial performance may not be a reliable indicator of future performance, and historical trends should not be used to anticipate results or trends in future periods. If any of these risks actually occurs, our business, business prospects, financial condition or results of operations could be seriously harmed. This could cause the trading price of our common stock to decline, resulting in a loss of all or part of your investment. Please also read carefully the section above entitled “Cautionary Statement Regarding Forward-Looking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0" w:name="a_005"/>
      <w:bookmarkEnd w:id="20"/>
      <w:r>
        <w:rPr>
          <w:rFonts w:ascii="Times New Roman;Times;Serif" w:hAnsi="Times New Roman;Times;Serif"/>
          <w:b/>
          <w:i w:val="false"/>
          <w:caps/>
          <w:sz w:val="20"/>
        </w:rPr>
        <w:t>Use of Proceeds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general corporate purposes, including, but not limited to, product development and manufacturing, sales and marketing and working capital and other general corporate purposes. We have not determined the amounts we plan to spend on any of the areas listed above or the timing of these expenditures. As a result, our management will have broad discretion over the allocation of net proceeds, if any, we receive in connection with securities offered pursuant to this prospectus for any purpose. We may initially invest the net proceeds in short-term, investment-grade, interest-bearing securities or apply them to the reduction of short-term indebtedness.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1" w:name="a_006"/>
      <w:bookmarkEnd w:id="21"/>
      <w:r>
        <w:rPr>
          <w:rFonts w:ascii="Times New Roman;Times;Serif" w:hAnsi="Times New Roman;Times;Serif"/>
          <w:b/>
          <w:i w:val="false"/>
          <w:caps/>
          <w:sz w:val="20"/>
        </w:rPr>
        <w:t>Description of Capital Stock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common stock and preferred stock summarizes the material terms and provisions of the common stock and preferred stock that we may offer under this prospectus, but is not complete. For the complete terms of our common stock and preferred stock, please refer to our Certificate of Incorporation and Bylaws and any certificates of designation for our preferred stock. While the terms we have summarized below will apply generally to any future common stock or preferred stock that we may offer, we will describe the specific terms of any series of preferred stock in more detail in the applicable prospectus supplement. If we so indicate in a prospectus supplement, the terms of any preferred stock we offer under that prospectus supplement may differ from the terms we describe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authorize us to issue 150,000,000 shares of common stock, $0.0001 par value per share, and 5,000,000 shares of preferred stock, par value $0.0001 per share, of which 10,000 are designated as Series A Convertible Preferred Stock (“Series A Preferred Stock”) and 4,500 are designated as Series B Convertible Preferred Stock (“Series B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20, 2025, there were 51,549,094 shares of common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are entitled to one vote for each share held on all matters submitted to a vote of stockholders and do not have cumulative voting rights. Each election of directors by our stockholders will be determined by a plurality of the votes cast by the stockholders entitled to vote on the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receive proportionately any dividends as may be declared by the Board, subject to any preferential dividend rights of outstanding preferred stock. So long as any shares of Series A Preferred Stock are outstanding, as they are at this time, we are not able to declare or pay any cash dividend or distribution on any of our common stock without the prior written consent of the Required Holders. So long as any shares of Series B Preferred Stock are outstanding, as they are at this time, we are not able to declare or pay any cash dividend or distribution on any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dissolution, the holders of our common stock are entitled to receive proportionately all assets available for distribution to stockholders after the payment of all debts and other liabilities and subject to the prior rights of any of our outstanding preferred stock. Holders of our common stock have no preemptive, subscription, redemption or conversion rights. No sinking fund provisions are applicable to our common stock. The rights, preferences and privileges of holders of our common stock are subject to and may be adversely affected by the rights of the holders of shares of any series of our preferred stock that we may designate and issue in the future. All outstanding shares of our common stock are validly authorized and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Colonial Stock Transfer. The transfer agent’s address is 7840 S 700 E Sandy, UT 84070. Our common stock is listed on Nasdaq under the symbol “WRAP.”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to issue 5,000,000 shares of preferred stock without further action by the holders of common stock. The shares of preferred stock may be issued from time to time in one or more series, each of which will have such distinctive designation or title as shall be determined by the Board prior to the issuance of any shares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authorized, subject to limitations prescribed by law, to fix by resolution or resolutions the designations, powers, preferences, and rights and the qualifications, limitations, or restrictions thereof, of each such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wholly unissued series of preferred stock, and the number of shares constituting such series and the designation thereof, or any of the foregoing.</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20, 2025, there were 8,207 shares of Series A Preferred Stock outstanding. The following are the principal terms of the Series A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Holders of Series A Preferred Stock are entitled to dividends of 8% per annum, compounded monthly, which are payable in cash or shares of common stock, or a combination thereof, at the Company’s option in accordance with the terms of the Series A Certificate of Designations. Upon the occurrence and during the continuance of a Triggering Event (as defined in the Series A Certificate of Designations), the Series A Preferred Stock will accrue dividends at the rate of 20% per annum, compounded monthly.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Series A Preferred Stock has no voting rights, except as required by law (including without limitation, the DGCL). To the extent that under the DGCL the vote of holders of Series A Preferred Stock, voting separately as a class or series as applicable, is required to authorize a given action of the Company, the affirmative vote or consent of the Required Holders of Series A Preferred Stock, voting together in the aggregate and not in separate series, represented at a duly held meeting at which a quorum is present or by written consent of the Required Holders, voting together in the aggregate and not in separate series (in each instance, except as otherwise may be required under the DGCL), shall constitute the approval of such action by both the class or the series,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dissolution or winding-up of the Company, whether voluntary or involuntary, each holder of the Series A Preferred Stock shall be entitled to receive out of the assets, whether capital or surplus, of the Company an amount per share of Series A Preferred Stock equal to the greater of (A) 150% of the stated value of such share of Series A Preferred Stock (plus any applicable make-whole amount, unpaid late charge or other applicable amount) on the date of such payment and (B) the amount per share such holder would receive if such holder converted such Series A Preferred Share into common stock immediately prior to the date of such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Series A Preferred Stock is convertible into shares of common stock (the “Series A Conversion Shares”) at the election of the holder at any time at an initial conversion price of $1.45 (the “Series A Conversion Price”). The Series A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Series A Conversion Price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Mandatory Conversion</w:t>
      </w:r>
      <w:r>
        <w:rPr>
          <w:rFonts w:ascii="Times New Roman;Times;Serif" w:hAnsi="Times New Roman;Times;Serif"/>
          <w:b w:val="false"/>
          <w:i w:val="false"/>
          <w:caps w:val="false"/>
          <w:smallCaps w:val="false"/>
          <w:sz w:val="20"/>
        </w:rPr>
        <w:t>. If on any day after the issuance of the shares of Series A Preferred Stock the closing price of the common stock exceeds $8.00 per share (subject to adjustment for stock splits, stock dividends, stock combinations, recapitalizations or other similar events) for 20 consecutive trading days and the daily dollar trading volume of the common stock exceeds $2,000,000 per day during the same period, provided that certain equity conditions described in the Series A Certificate of Designations are satisfied, then the Company shall have the right to require the holder to mandatorily convert all or any portion of the Series A Preferred Stock, including the make-whole amount, the additional amount and any accrued but unpaid late charges, as designated in a Mandatory Conversion Notice on the Mandatory Conversion Date (each as defined in the Series A Certificate of Designations) into fully paid, validly issued and nonassessable shares of common stock at the then-applicable conversion price as of the Mandatory Conversion Date (a “Mandatory Conversion”). If any of the equity conditions shall cease to be satisfied at any time on or after the Mandatory Conversion Date through and including the actual delivery of all of the Conversion Shares to the holders, the Mandatory Conversion shall be deemed withdrawn and void ab initio.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The Company may not effect the conversion of any of the shares of Series A Preferred Stock held by a holder (other than Scot Cohen and V4 Global LLC), and such holder does not have the right to convert any of the shares of Series A Preferred Stock held by such holder pursuant to the terms and conditions of the Series A Certificate of Designations. Any such conversion shall be null and void and treated as if never made, to the extent that after giving effect to such conversion, such Holder together with the other Attribution Parties collectively would beneficially own in excess of 4.99% of the shares of Common Stock outstanding immediately after giving effect to such conversion. However, any holder may increase or decrease such percentage to any other percentage not in excess of 9.99% upon notice to us, provided that any increase in this limitation will not be effective until 61 days after such notice from the holder to the Company and such increase or decrease will apply only to the holder providing such notice.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November 20, 2025, there were 4,500 shares of Series B Preferred Stock outstanding. The following are the principal terms of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The holders of the Series B Preferred Stock are entitled to dividends when and as declared by the Board of Directors, from time to time, in its sole discretion, in accordance with the terms of the Series B Preferred Stock Certificate of Designations (“Series B Certificate of Designations”).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The Series B Preferred Stock has no voting rights, except as required by law (including without limitation, the DGCL and as expressly provided in the Series B Certificate of Designations. So long as any shares of Series B Preferred Stock are outstanding, we are not able to (A) alter or change adversely the powers, preferences or rights given to the Series B Preferred Stock or alter or amend the Series B Certificate of Designations, (B) amend our Certificate of Incorporation or other charter documents in any manner that adversely affects any rights of the holders, (C) increase the number of authorized shares of Series B Preferred Stock, or (D) enter into any agreement with respect to any of the foregoing without the affirmative vote of the holders of a majority of the then outstanding shares of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Upon any liquidation, dissolution or winding-up of the Company, whether voluntary or involuntary, the each holder of Series B Preferred Stock shall be entitled to receive out of the assets, whether capital or surplus, of the Company, an amount equal to $1,000, plus any declared, accrued and unpaid dividends thereon, if any, and any other fees or liquidated damages then due and owing thereon under the Series B Certificate of Designations, for each share of Series B Preferred Stock before any distribution or payment shall be made to the holders of any Junior Securities (as defined therein), and if the assets of the Company shall be insufficient to pay in full such amounts, then the entire assets to be distributed to the holders shall be ratably distributed among the holders in accordance with the respective amounts that would be payable on such shares if all amounts payable thereon were paid in full.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The Series B Preferred Stock is convertible into shares of common stock (the “Series B Conversion Shares”) at the election of the holder at any time at an initial conversion price of $1.50 (the “Series B Conversion Price”). The Series B Conversion Price is subject to customary adjustments for stock dividends, stock splits, reclassifications and the like, and subject to price-based adjustment in the event of any issuances of common stock, or securities convertible, exercisable or exchangeable for common stock, at a price below the then-applicable Series B Conversion Price (subject to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Exchange Cap</w:t>
      </w:r>
      <w:r>
        <w:rPr>
          <w:rFonts w:ascii="Times New Roman;Times;Serif" w:hAnsi="Times New Roman;Times;Serif"/>
          <w:b w:val="false"/>
          <w:i w:val="false"/>
          <w:caps w:val="false"/>
          <w:smallCaps w:val="false"/>
          <w:sz w:val="20"/>
        </w:rPr>
        <w:t>. The Series B Certificate of Designations provide that the Series B Preferred Stock shall not be convertible into shares of common stock in excess of 19.99% of the shares of common stock outstanding as of the Closing Date (as defined in the Series B Certificate of Designations) (the “Issuable Maximum”) except in the event that the Company obtains the stockholder approval for issuances of shares of common stock in excess of the Issuable Maximum (“Stockholder Approval”). Until such approval is obtained, no holder of Series B Preferred Stock will be issued in the aggregate more shares of common stock than such holder’s pro rata share of the Issuable Maximum.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Optional Conversion</w:t>
      </w:r>
      <w:r>
        <w:rPr>
          <w:rFonts w:ascii="Times New Roman;Times;Serif" w:hAnsi="Times New Roman;Times;Serif"/>
          <w:b w:val="false"/>
          <w:i w:val="false"/>
          <w:caps w:val="false"/>
          <w:smallCaps w:val="false"/>
          <w:sz w:val="20"/>
        </w:rPr>
        <w:t>. The Series B Preferred Stock can be converted at the option of the holder at any time and from time to time after the original issuance date; provided that, shares of Series A Preferred Stock held by a holder who serves as a director, officer or is an employee of the Company shall only be convertible into shares of common stock following receipt of the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The Series B Preferred Stock cannot be converted to common stock if the holder and its affiliates would beneficially own more than 4.99% or 9.99% at the election of the holder of the outstanding common stock. However, any holder may increase or decrease such percentage to any other percentage not in excess of 9.99% upon notice to us, provided that any increase in this limitation will not be effective until 61 days after such notice from the holder to the Company and such increase or decrease will apply only to the holder providing such notice.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Certain Provisions of Delaware Law, Our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existence of authorized but unissued shares of preferred stock may enable the Board to render more difficult or to discourage an attempt to gain control of the Company by means of a merger, tender offer, proxy contest or otherwise. For example, if in the due exercise of its fiduciary obligations, the Board were to determine that a takeover proposal is not in the best interests of the Company or stockholders, the Board could cause shares of preferred stock to be issued without stockholder approval in one or more private offerings or other transactions that might dilute the voting or other rights of the proposed acquirer or insurgent stockholder or stockholder group. In this regard, the Certificate of Incorporation grants the Board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Stockholder Action; Special Meeting of Stockholders.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Bylaws provide that stockholders may take action only at a duly called annual or special meeting of stockholders and may not take action by written consent. The Certificate of Incorporation and Bylaws further provide that special meetings of the Company’s stockholders may be called by the Chairman of the Board or by the Board, and shall be called by the Chairman of the Board at the request of the holders of not less than a majority of all the outstanding shares of the Corporation entitled to vote at the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Business Combinations.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Delaware General Corporation Law, which relate to business combinations with interested stockholders, applies to the Company. Subject to certain exceptions, Section 203 prevents a publicly held Delaware corporation from engaging in a “business combination” with any “interested stockholder” for three years following the date that such person became an interested stockholder, unless either the interested stockholder attained such status with the approval of the Board, the business combination is approved by the Board and stockholders in a prescribed manner or the interested stockholder acquired at least 85% of the Company’s outstanding voting stock in the transaction in which such person became an interested stockholder. A “business combination” includes, among other things, a merger or consolidation involving the Company and the “interested stockholder” and the sale of more than 10% of the Company’s assets. In general, an “interested stockholder” is any entity or person beneficially owning 15% or more of the Company’s outstanding voting stock and any entity or person affiliated with or controlling or controlled by such entity or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Bylaws provide that stockholders seeking to bring business before an annual meeting of stockholders, or to nominate candidates for election as directors at an annual meeting of stockholders, must meet specified procedural requirements. These provisions may preclude stockholders from bringing matters before an annual meeting of stockholders or from making nominations for directors at an annual or special meeting of stockholders.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Forum Charter Provision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and Bylaws require that the Court of Chancery of the State of Delaware will, to the fullest extent permitted by applicable law, be the sole and exclusive forum for a stockholder (including a beneficial owner) to bring an action relating to the resolution of any complaint asserting a cause of action arising under the Securities Act, as amended, against any person in connection with any offering of the Company’s securities, including, without limitation and for the avoidance of doubt, any auditor, underwriter, expert, control person, or other defendant. Because the applicability of the exclusive forum provision is limited to the extent permitted by applicable law, the Company does not intend that the exclusive forum provision would apply to suits brought to enforce any duty or liability created by the Exchange Act or any other claim for which the federal courts have exclusive jurisdiction, and acknowledge that federal courts have concurrent jurisdiction over all suits brought to enforce any duty or liability created by the Securities Act. The Company notes that there is uncertainty as to whether a court would enforce the provision and that investors cannot waive compliance with the federal securities laws and the rules and regulations thereunder. Although the Company believes this provision benefits the Company by providing increased consistency in the application of Delaware law in the types of lawsuits to which it applies, the provision may have the effect of discouraging lawsuits against the Company’s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Liability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limits the personal liability of directors to the Company or its stockholders for monetary damages for breach of fiduciary duty as a director to the maximum extent permitted by the DGCL and provides that no director will have personal liability to the Company or to its stockholders for monetary damages for breach of fiduciary duty. However, these provisions do not eliminate or limit the liability of any of the Company’s directors:</w:t>
      </w:r>
    </w:p>
    <w:p>
      <w:pPr>
        <w:pStyle w:val="TextBody"/>
        <w:bidi w:val="0"/>
        <w:spacing w:before="0" w:after="0"/>
        <w:ind w:left="0" w:right="0" w:hanging="0"/>
        <w:jc w:val="both"/>
        <w:rPr>
          <w:caps w:val="false"/>
          <w:smallCaps w:val="false"/>
        </w:rPr>
      </w:pPr>
      <w:r>
        <w:rPr>
          <w:caps w:val="false"/>
          <w:smallCaps w:val="false"/>
        </w:rPr>
        <w:t> </w:t>
      </w:r>
    </w:p>
    <w:tbl>
      <w:tblPr>
        <w:tblW w:w="9205" w:type="dxa"/>
        <w:jc w:val="left"/>
        <w:tblInd w:w="0" w:type="dxa"/>
        <w:tblLayout w:type="fixed"/>
        <w:tblCellMar>
          <w:top w:w="0" w:type="dxa"/>
          <w:left w:w="0" w:type="dxa"/>
          <w:bottom w:w="0" w:type="dxa"/>
          <w:right w:w="0" w:type="dxa"/>
        </w:tblCellMar>
      </w:tblPr>
      <w:tblGrid>
        <w:gridCol w:w="75"/>
        <w:gridCol w:w="170"/>
        <w:gridCol w:w="8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breach of the director’s duty of loyalty to the Company or its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transaction from which the director derived an improper personal benefit.</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2" w:name="a_007"/>
      <w:bookmarkEnd w:id="22"/>
      <w:r>
        <w:rPr>
          <w:rFonts w:ascii="Times New Roman;Times;Serif" w:hAnsi="Times New Roman;Times;Serif"/>
          <w:b/>
          <w:i w:val="false"/>
          <w:caps/>
          <w:sz w:val="20"/>
        </w:rPr>
        <w:t>Description of Debt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as in effect on the date of the indenture. We use the term “debenture trustee” to refer to either the trustee under the senior indenture or the trustee under the subordinated indenture,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debt securities may be issued from time to time in one or more series and may be denominated and payable in foreign currencies or units based on or relating to foreign currencies. Neither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each prospectus supplement the following terms relating to a series of debt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title or designation;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and any limit on the amount that may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currency or units based on or relating to currencies in which debt securities of such series are denominated and the currency or units in which principal or interest or both will or may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issue the series of debt securities in global form, the terms of any global securities and who the depositary will be;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maturity date and the date or dates on which principal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or not the debt securities will be secured or unsecured, and the terms of any secured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subordination of any series of subordinated debt;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 or places where payments will be payable;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 if any, to defer payment of interest and the maximum length of any such deferral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after which, and the price at which, we may, at our option, redeem the series of debt securities pursuant to any optional redemption provisions;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if any, on which, and the price at which we are obligated, pursuant to any mandatory sinking fund provisions or otherwise, to redeem, or at the holder’s option to purchase, the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indenture will restrict our ability to pay dividends, or will require us to maintain any asset ratios or reserves;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we will be restricted from incurring any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discussion of any material or special U.S. federal income tax considerations applicable to a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denominations in which we will issue the series of debt securities, if other than denominations of $1,000 and any integral multiple thereof;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debt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or Sale; No Protection in Event of a Change of Control or Highly Leveraged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 Under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events of default under the indentures with respect to any series of debt securities that we may issue: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interest when due and our failure continues for 90 days and the time for payment has not been extended or deferred;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pay the principal, or premium, if any, when due and the time for payment has not been extended or delayed;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specified events of bankruptcy, insolvency or reorganization occur as to us.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an acceleration under the indenture may constitute an event of default under certain of our other indebtedness outstanding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direction so given by the holder is not in conflict with any law or the applicable indenture;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its duties under the Trust Indenture Act, the debenture trustee need not take any action that might involve it in personal liability or might be unduly prejudicial to the holders not involved in the proceeding.</w:t>
            </w:r>
          </w:p>
        </w:tc>
      </w:tr>
    </w:tbl>
    <w:p>
      <w:pPr>
        <w:pStyle w:val="TextBody"/>
        <w:bidi w:val="0"/>
        <w:spacing w:before="0" w:after="0"/>
        <w:ind w:left="774"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the debt securities of any series will only have the right to institute a proceeding under the indentures or to appoint a receiver or trustee, or to seek other remedies if: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previously has given written notice to the debenture trustee of a continuing event of default with respect to that series;</w:t>
            </w:r>
          </w:p>
        </w:tc>
      </w:tr>
    </w:tbl>
    <w:p>
      <w:pPr>
        <w:pStyle w:val="TextBody"/>
        <w:bidi w:val="0"/>
        <w:spacing w:before="0" w:after="0"/>
        <w:ind w:left="72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at least a majority in aggregate principal amount of the outstanding debt securities of that series have made written request, and such holders have offered reasonable indemnity to the debenture trustee to institute the proceeding as trustee;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limitations do not apply to a suit instituted by a holder of debt securities if we default in the payment of the principal, premium, if any, or interest on, the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periodically file statements with the applicable debenture trustee regarding our compliance with specified covenants in the applicable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of Indenture;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fix any ambiguity, defect or inconsistency in the indenture;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change anything that does not materially adversely affect the interests of any holder of debt securities of any series issued pursuant to such indenture.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tc>
      </w:tr>
    </w:tbl>
    <w:p>
      <w:pPr>
        <w:pStyle w:val="TextBody"/>
        <w:bidi w:val="0"/>
        <w:spacing w:before="0" w:after="0"/>
        <w:ind w:left="774"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extending the fixed maturity of the series of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reducing the rate of or extending the time of payment of interest, or any premium payable upon the redemption of any debt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principal amount of discount securities payable upon acceleration of maturity;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the principal of or premium or interest on any debt security payable in currency other than that stated in the debt security;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percentage of debt securities, the holders of which are required to consent to any amendment or waiver.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indenture provides that we can elect to be discharged from our obligations with respect to one or more series of debt securities, except for obligations to:</w:t>
      </w:r>
    </w:p>
    <w:p>
      <w:pPr>
        <w:pStyle w:val="TextBody"/>
        <w:bidi w:val="0"/>
        <w:spacing w:before="0" w:after="0"/>
        <w:ind w:left="0" w:right="0" w:hanging="0"/>
        <w:jc w:val="both"/>
        <w:rPr>
          <w:caps w:val="false"/>
          <w:smallCaps w:val="false"/>
        </w:rPr>
      </w:pPr>
      <w:r>
        <w:rPr>
          <w:caps w:val="false"/>
          <w:smallCaps w:val="false"/>
        </w:rPr>
        <w:t> </w:t>
      </w:r>
    </w:p>
    <w:tbl>
      <w:tblPr>
        <w:tblW w:w="5110" w:type="dxa"/>
        <w:jc w:val="left"/>
        <w:tblInd w:w="0" w:type="dxa"/>
        <w:tblLayout w:type="fixed"/>
        <w:tblCellMar>
          <w:top w:w="0" w:type="dxa"/>
          <w:left w:w="0" w:type="dxa"/>
          <w:bottom w:w="0" w:type="dxa"/>
          <w:right w:w="0" w:type="dxa"/>
        </w:tblCellMar>
      </w:tblPr>
      <w:tblGrid>
        <w:gridCol w:w="75"/>
        <w:gridCol w:w="170"/>
        <w:gridCol w:w="48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or exchange of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replace stolen, lost or mutilated debt securities of the series;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paying agencies;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monies for payment in trust;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compensate and indemnify the trustee;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any successor trustee.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Exchange and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elect to redeem the debt securities of any series, we will not be required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transfer of or exchange any debt securities so selected for redemption, in whole or in part, except the unredeemed portion of any debt securities we are redeeming in part.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Concerning the Debenture Trustee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Payment and Paying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principal of and any premium and interest on the debt securities of a particular series at the office of the paying agents designated by us, except that unless we otherwise indicate in the applicable prospectus supplement, will we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indentures and the debt securities will be governed by and construed in accordance with the laws of the State of New York, except to the extent that the Trust Indenture Act is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Subordination of Subordinated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3" w:name="a_008"/>
      <w:bookmarkEnd w:id="23"/>
      <w:r>
        <w:rPr>
          <w:rFonts w:ascii="Times New Roman;Times;Serif" w:hAnsi="Times New Roman;Times;Serif"/>
          <w:b/>
          <w:i w:val="false"/>
          <w:caps/>
          <w:sz w:val="20"/>
        </w:rPr>
        <w:t>Description of Warrants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for the purchase of common stock or preferred stock in one or more series. We may issue warrants independently or together with common stock or preferred stock, and the warrants may be attached to or separate from these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evidence each series of warrants by warrant certificates that we may issue under a separate agreement. We may enter into a warrant agreement with a warrant agent. Each warrant agent may be a bank that we select which has its principal office in the United States. We may also choose to act as our own warrant agent. We will indicate the name and address of any such warrant agent in the applicable prospectus supplement relating to a particular series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warrants,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price and aggregate number of warrants offered;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designation and terms of the securities with which the warrants are issued and the number of warrants issued with each such security or each principal amount of such security;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date on and after which the warrants and the related securities will be separately transferable;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warrants to purchase common stock or preferred stock, the number or amount of shares of common stock or preferred stock, as the case may be, purchasable upon the exercise of one warrant and the price at which and currency in which these shares may be purchased upon such exercise;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of exercise of the warrants, including any cashless exercise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under which the warrants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any merger, consolidation, sale or other disposition of our business on the warrant agreement and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anti-dilution provisions of the warrants,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any rights to redeem or call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changes to or adjustments in the exercise price or number of securities issuable upon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on which the right to exercise the warrants will commence and expire or, if the warrants are not continuously exercisable during that period, the specific date or dates on which the warrants will be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manner in which the warrant agreement and warrants may be modified;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identities of the warrant agent and any calculation or other agent for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federal income tax consequences of holding or exercising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securities issuable upon exercise of the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quotation system on which the warrants or any securities deliverable upon exercise of the warrants may be listed or quoted;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specific terms, preferences, rights or limitations of or restrictions on the warrants.</w:t>
            </w:r>
          </w:p>
        </w:tc>
      </w:tr>
    </w:tbl>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exercising their warrants, holders of warrants will not have any of the rights of holders of the securities purchasable upon such exercise, including, in the case of warrants to purchase common stock or preferred stock, the right to receive dividends, if any, or payments upon our liquidation, dissolution or winding up or to exercise voting rights, if 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5:00 P.M. Eastern Time, the close of business, on the expiration date that we set forth in the applicable prospectus supplement. After the close of business on the expiration date, unexercised warrants will become void.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Agreement Will Not Be Qualified Under Trust Indenture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warrant agreement will be qualified as an indenture, and no warrant agent will be required to qualify as a trustee, under the Trust Indenture Act of 1939. Therefore, holders of warrants issued under a warrant agreement will not have the protection of the Trust Indenture Act of 1939 with respect to their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provide otherwise in the applicable prospectus supplement, each warrant agreement and any warrants issued under the warrant agreements will be governed by New York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4" w:name="a_009"/>
      <w:bookmarkEnd w:id="24"/>
      <w:r>
        <w:rPr>
          <w:rFonts w:ascii="Times New Roman;Times;Serif" w:hAnsi="Times New Roman;Times;Serif"/>
          <w:b/>
          <w:i w:val="false"/>
          <w:caps/>
          <w:sz w:val="20"/>
        </w:rPr>
        <w:t>Description of Subscription Rights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general description of the terms of the subscription rights we may issue from time to time. Particular terms of any subscription rights we offer will be described in the prospectus supplement relating to such subscription rights, and may differ from the terms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subscription rights to purchase shares of our common stock or other securities offered hereby. These subscription rights may be issued independently or together with any other security offered hereby and may or may not be transferable by the stockholder receiving the subscription rights in such offering. Each series of subscription rights will be issued under a separate subscription rights agreement to be entered into between us and a bank or trust company, as rights agent. The rights agent will act solely as our agent in connection with the certificates relating to the subscription rights of the series of certificates and will not assume any obligation or relationship of agency or trust for or with any holders of subscription rights certificates or beneficial owners of subscription rights.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specific terms of any offering of subscription rights for which this prospectus is being delivered, including the following: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shares of our common stock or other securities will be offered under the stockholder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determining the stockholders entitled to the subscription rights distribution;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if any, for the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payable for each security upon the exercise of the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subscription rights issued to each stockholder;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terms of the securities which may be purchased per each subscription right;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are transferable and the date, if any, on and after which the rights may be separately transferred;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terms of the subscription rights, including the terms, procedures and limitations relating to the exchange and exercise of the subscription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right to exercise the subscription rights shall commence, and the date on which the subscription rights shall expire;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to the completion of the offering,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terms relating to the withdrawal, termination or cancellation of the subscription rights, if 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the subscription rights may include an over-subscription privilege with respect to unsubscribed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appropriate, a discussion of material U.S. federal income tax considerations;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applicable, the material terms of any standby underwriting or purchase arrangement entered into by us in connection with the offering of subscription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in the applicable prospectus supplement of any subscription rights we offer will not necessarily be complete and will be qualified in its entirety by reference to the applicable subscription rights certificate or subscription rights agreement, which will be filed with the SEC if we offer subscription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subscription right will entitle the holder thereof to purchase for cash the principal amount of shares of common stock or other securities at the exercise price provided in the applicable prospectus supplement. Subscription rights may be exercised at any time up to the close of business on the expiration date for the subscription rights provided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subscription rights as described in the applicable prospectus supplement. Upon receipt of payment and the subscription rights certificate properly completed and duly executed at the corporate trust office of the rights agent or any other office indicated in the prospectus supplement, we will, as soon as practicable, forward the shares of common stock or other securities, as applicable, purchasable upon exercise of the subscription rights. If less than all of the subscription rights issued in any subscription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agent for any subscription rights we offer will be set forth in the applicable prospectus supplement.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5" w:name="a_010"/>
      <w:bookmarkEnd w:id="25"/>
      <w:r>
        <w:rPr>
          <w:rFonts w:ascii="Times New Roman;Times;Serif" w:hAnsi="Times New Roman;Times;Serif"/>
          <w:b/>
          <w:i w:val="false"/>
          <w:caps/>
          <w:sz w:val="20"/>
        </w:rPr>
        <w:t>Description of Units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comprised of one or more of the other securities described in this prospectus or any prospectus supplement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times before a specified date or upon the occurrence of a specified event or occurrence.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and the terms of the units and of the securities comprising the units, including whether and under what circumstances those securities may be held or transferred separately;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unit agreement under which the units will be issued;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provisions for the issuance, payment, settlement, transfer or exchange of the units or of the securities comprising the units;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units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26" w:name="a_011"/>
      <w:bookmarkEnd w:id="26"/>
      <w:r>
        <w:rPr>
          <w:rFonts w:ascii="Times New Roman;Times;Serif" w:hAnsi="Times New Roman;Times;Serif"/>
          <w:b/>
          <w:i w:val="false"/>
          <w:caps/>
          <w:sz w:val="20"/>
        </w:rPr>
        <w:t>Plan of Distribution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offered pursuant to this prospectus from time to time in one or more transactions, including, without limitation:</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or through underwriters;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broker-dealers (acting as agent or principal);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directly by us to one or more purchasers (including our affiliates and stockholders), through a specific bidding or auction process, a rights offering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 combination of any such methods of sale;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any other methods described in a prospectus supplement or free writing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securities may be effected, from time to time, in one or more transactions,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transactions (which may involve crosses) and transactions on Nasdaq or any other organized market where the securities may be traded;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own account pursuant to a prospectus supplement or free writing prospectus;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a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“at the market” to or through a market maker or into an existing trading market, on an exchange or otherwise;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in other ways not involving market makers or established trading markets, including direct sales to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or free writing prospectus will describe the terms of the offering of the securities, including: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or names of any underwriters, if, and if required, any dealers or agents;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the securities and the proceeds we will receive from the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underwriting discounts and other items constituting underwriters’ compensation;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discounts or concessions allowed or re-allowed or paid to dealers;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securities exchange or market on which the securities may be listed or traded.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distribute the securities from time to time in one or more transactions at:</w:t>
      </w:r>
    </w:p>
    <w:p>
      <w:pPr>
        <w:pStyle w:val="TextBody"/>
        <w:bidi w:val="0"/>
        <w:spacing w:before="0" w:after="0"/>
        <w:ind w:left="0" w:right="0" w:hanging="0"/>
        <w:jc w:val="both"/>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75"/>
        <w:gridCol w:w="170"/>
        <w:gridCol w:w="4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fixed price or prices, which may be changed;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prices prevailing at the time of sale;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prices related to such prevailing market prices;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negotiated prices.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underwriters named in the prospectus supplement are underwriters of the securities offered by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underwriters are used in an offering, we will execute an underwriting agreement with such underwriters and will specify the name of each underwriter and the terms of the transaction (including any underwriting discounts and other terms constituting compensation of the underwriters and any dealers) in a prospectus supplement. The securities may be offered to the public either through underwriting syndicates represented by managing underwriters or directly by one or more investment banking firms or others, as designated. If an underwriting syndicate is used, the managing underwriter(s) will be specified on the cover of the prospectus supplement. If underwriters are used in the sale, the offered securities will be acquired by the underwriters for their own accounts and may be resold from time to time in one or more transactions, including negotiated transactions, at a fixed public offering price or at varying prices determined at the time of sale. Any public offering price and any discounts or concessions allowed or reallowed or paid to dealers may be changed from time to time. Unless otherwise set forth in the prospectus supplement, the obligations of the underwriters to purchase the offered securities will be subject to conditions precedent, and the underwriters will be obligated to purchase all of the offered securities, if any are purchased.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grant the underwriters options to purchase additional securities to cover over-allotments, if any, at the public offering price, with additional underwriting commissions or discounts, as may be set forth in a related prospectus supplement. The terms of any over-allotment option will be set forth in the prospectus supplement for those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use a dealer in the sale of the securities being offered pursuant to this prospectus or any prospectus supplement, we will sell the securities to the dealer, as principal. The dealer may then resell the securities to the public at varying prices to be determined by the dealer at the time of resale. The names of the dealers and the terms of the transaction will be specified in a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directly or through agents we designate from time to time. We will name any agent involved in the offering and sale of securities and we will describe any commissions we will pay the agent in the prospectus supplement. Unless the prospectus supplement states otherwise, any agent will act on a best-efforts basis for the period of its appointment.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for the purpose of resale or distribution, may be deemed to be underwriters, and any discounts or commissions received by them from us and any profit on the resale of the common stock by them may be deemed to be underwriting discounts and commissions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provide agents, underwriters and other purchasers with indemnification against particular civil liabilities, including liabilities under the Securities Act, or contribution with respect to payments that the agents, underwriters or other purchasers may make with respect to such liabilities. Agents and underwriters may engage in transactions with, or perform services for, us in the ordinary course of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the public offering of a series of securities, persons participating in the offering may engage in transactions that stabilize, maintain, or otherwise affect the market price of the securities. This may include over-allotments or short sales of the securities, which involves the sale by persons participating in the offering of more securities than have been sold to them by us. In addition, those persons may stabilize or maintain the price of the securities by bidding for or purchasing securities in the open market or by imposing penalty bids, whereby selling concessions allowed to underwriters or dealers participating in any such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Such transactions, if commenced, may be discontinued at any time. We make no representation or prediction as to the direction or magnitude of any effect that the transactions described above, if implemented, may have on the price of our securities.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specified in the applicable prospectus supplement, any common stock sold pursuant to a prospectus supplement will be eligible for listing on Nasdaq, subject to official notice of issuance. Any underwriters to whom securities are sold by us for public offering and sale may make a market in the securities, but such underwriters will not be obligated to do so and may discontinue any market making at any time without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securities offered pursuant to this prospectus will be sold in those states only through registered or licensed brokers or dealers. In addition, in some states securities may not be sold unless they have been registered or qualified for sale in the applicable state or an exemption from the registration or qualification requirement is available and complied with.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7" w:name="a_012"/>
      <w:bookmarkEnd w:id="27"/>
      <w:r>
        <w:rPr>
          <w:rFonts w:ascii="Times New Roman;Times;Serif" w:hAnsi="Times New Roman;Times;Serif"/>
          <w:b/>
          <w:i w:val="false"/>
          <w:caps/>
          <w:sz w:val="20"/>
        </w:rPr>
        <w:t>Legal Matters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by this prospectus will be passed upon for us by Haynes and Boone, LLP, New York, New York.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8" w:name="a_013"/>
      <w:bookmarkEnd w:id="28"/>
      <w:r>
        <w:rPr>
          <w:rFonts w:ascii="Times New Roman;Times;Serif" w:hAnsi="Times New Roman;Times;Serif"/>
          <w:b/>
          <w:i w:val="false"/>
          <w:caps/>
          <w:sz w:val="20"/>
        </w:rPr>
        <w:t>Experts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Wrap Technologies, Inc. as of and for the years ended December 31, 2024 and 2023, incorporated by reference in this registration statement and accompanying prospectus have been audited by HTL International, LLC, an independent registered public accounting firm, as stated in their report (the report on the consolidated financial statements contains an explanatory paragraph regarding the Company’s ability to continue as a going concern). Such consolidated financial statements have been incorporated herein by reference in reliance on the report of such firm given upon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9" w:name="a_014"/>
      <w:bookmarkEnd w:id="29"/>
      <w:r>
        <w:rPr>
          <w:rFonts w:ascii="Times New Roman;Times;Serif" w:hAnsi="Times New Roman;Times;Serif"/>
          <w:b/>
          <w:i w:val="false"/>
          <w:caps/>
          <w:sz w:val="20"/>
        </w:rPr>
        <w:t>Where You Can Find More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informational requirements of the Exchange Act, and in accordance therewith file annual, quarterly and current reports, proxy statements and other information with the SEC. The SEC maintains an internet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that contains periodic and current reports, proxy and information statements and other information regarding registrants that are filed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documents are also available, free of charge, through the SEC Filings portion of the Investor Relations section of our website, which is located at </w:t>
      </w:r>
      <w:r>
        <w:rPr>
          <w:rFonts w:ascii="Times New Roman;Times;Serif" w:hAnsi="Times New Roman;Times;Serif"/>
          <w:b w:val="false"/>
          <w:i/>
          <w:caps w:val="false"/>
          <w:smallCaps w:val="false"/>
          <w:sz w:val="20"/>
        </w:rPr>
        <w:t>www.wrap.com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for free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xml:space="preserve">. The registration statement and the documents referred to below under “Incorporation of Documents by Reference” are also available on our website, </w:t>
      </w:r>
      <w:r>
        <w:rPr>
          <w:rFonts w:ascii="Times New Roman;Times;Serif" w:hAnsi="Times New Roman;Times;Serif"/>
          <w:b w:val="false"/>
          <w:i/>
          <w:caps w:val="false"/>
          <w:smallCaps w:val="false"/>
          <w:sz w:val="20"/>
        </w:rPr>
        <w:t>www.wrap.com</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incorporated by reference into this prospectus the information on our website, and you should not consider it to be a part of this prospectus</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30" w:name="a_015"/>
      <w:bookmarkEnd w:id="30"/>
      <w:r>
        <w:rPr>
          <w:rFonts w:ascii="Times New Roman;Times;Serif" w:hAnsi="Times New Roman;Times;Serif"/>
          <w:b/>
          <w:i w:val="false"/>
          <w:caps/>
          <w:sz w:val="20"/>
        </w:rPr>
        <w:t>Incorporation of Documents By Reference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have filed with it, which means that we can disclose important information to you by referring you to those documents. The information we incorporate by reference is an important part of this prospectus, and later information that we file with the SEC will automatically update and supersede this information. We specifically are incorporating by reference the following documents filed with the SEC and any future documents we file with the SEC pursuant to Sections l3(a), l3(c), 14 or l5(d) of the Exchange Act (excluding those portions of any Current Report on Form 8-K that are furnished and not deemed “filed” pursuant to the General Instructions of Form 8-K), in each case, between the date of the initial registration statement and the effectiveness of the registration statement and following the effectiveness of the registration statement until the offering of the securities under the registration statement is terminated: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our Annual Report on </w:t>
            </w:r>
            <w:hyperlink r:id="rId9">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31,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 xml:space="preserve">our Amendment No. 1 to the Annual Report on </w:t>
            </w:r>
            <w:hyperlink r:id="rId10">
              <w:r>
                <w:rPr>
                  <w:rStyle w:val="InternetLink"/>
                  <w:rFonts w:ascii="Times New Roman;Times;Serif" w:hAnsi="Times New Roman;Times;Serif"/>
                  <w:b w:val="false"/>
                  <w:i w:val="false"/>
                  <w:caps w:val="false"/>
                  <w:smallCaps w:val="false"/>
                  <w:sz w:val="20"/>
                  <w:u w:val="single"/>
                </w:rPr>
                <w:t>Form 10-K</w:t>
              </w:r>
            </w:hyperlink>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for the year ended December 31, 2024, filed with the SEC on April 25,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Reports on Form 10-Q for the quarter ended </w:t>
            </w:r>
            <w:hyperlink r:id="rId11">
              <w:r>
                <w:rPr>
                  <w:rStyle w:val="InternetLink"/>
                  <w:rFonts w:ascii="Times New Roman;Times;Serif" w:hAnsi="Times New Roman;Times;Serif"/>
                  <w:b w:val="false"/>
                  <w:i w:val="false"/>
                  <w:caps w:val="false"/>
                  <w:smallCaps w:val="false"/>
                  <w:sz w:val="20"/>
                </w:rPr>
                <w:t>March 31, 2025</w:t>
              </w:r>
            </w:hyperlink>
            <w:r>
              <w:rPr>
                <w:rFonts w:ascii="Times New Roman;Times;Serif" w:hAnsi="Times New Roman;Times;Serif"/>
                <w:b w:val="false"/>
                <w:i w:val="false"/>
                <w:caps w:val="false"/>
                <w:smallCaps w:val="false"/>
                <w:sz w:val="20"/>
              </w:rPr>
              <w:t xml:space="preserve">, filed with the SEC on May 15, 2025, for the quarter ended </w:t>
            </w:r>
            <w:hyperlink r:id="rId12">
              <w:r>
                <w:rPr>
                  <w:rStyle w:val="InternetLink"/>
                  <w:rFonts w:ascii="Times New Roman;Times;Serif" w:hAnsi="Times New Roman;Times;Serif"/>
                  <w:b w:val="false"/>
                  <w:i w:val="false"/>
                  <w:caps w:val="false"/>
                  <w:smallCaps w:val="false"/>
                  <w:sz w:val="20"/>
                </w:rPr>
                <w:t>June 30, 2025</w:t>
              </w:r>
            </w:hyperlink>
            <w:r>
              <w:rPr>
                <w:rFonts w:ascii="Times New Roman;Times;Serif" w:hAnsi="Times New Roman;Times;Serif"/>
                <w:b w:val="false"/>
                <w:i w:val="false"/>
                <w:caps w:val="false"/>
                <w:smallCaps w:val="false"/>
                <w:sz w:val="20"/>
              </w:rPr>
              <w:t xml:space="preserve">, filed with the SEC on August 14, 2025, and for the quarter ended </w:t>
            </w:r>
            <w:hyperlink r:id="rId13">
              <w:r>
                <w:rPr>
                  <w:rStyle w:val="InternetLink"/>
                  <w:rFonts w:ascii="Times New Roman;Times;Serif" w:hAnsi="Times New Roman;Times;Serif"/>
                  <w:b w:val="false"/>
                  <w:i w:val="false"/>
                  <w:caps w:val="false"/>
                  <w:smallCaps w:val="false"/>
                  <w:sz w:val="20"/>
                </w:rPr>
                <w:t>September 30, 2025</w:t>
              </w:r>
            </w:hyperlink>
            <w:r>
              <w:rPr>
                <w:rFonts w:ascii="Times New Roman;Times;Serif" w:hAnsi="Times New Roman;Times;Serif"/>
                <w:b w:val="false"/>
                <w:i w:val="false"/>
                <w:caps w:val="false"/>
                <w:smallCaps w:val="false"/>
                <w:sz w:val="20"/>
              </w:rPr>
              <w:t>, filed with the SEC on November 13, 2025;</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14">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15">
              <w:r>
                <w:rPr>
                  <w:rStyle w:val="InternetLink"/>
                  <w:rFonts w:ascii="Times New Roman;Times;Serif" w:hAnsi="Times New Roman;Times;Serif"/>
                  <w:b w:val="false"/>
                  <w:i w:val="false"/>
                  <w:caps w:val="false"/>
                  <w:smallCaps w:val="false"/>
                  <w:sz w:val="20"/>
                </w:rPr>
                <w:t>February 24, 2025</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February 28, 2025</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March 14, 2025</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27, 2025</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July 7, 2025</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August 18, 2025</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August 26, 2025</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October 27, 2025</w:t>
              </w:r>
            </w:hyperlink>
            <w:r>
              <w:rPr>
                <w:rFonts w:ascii="Times New Roman;Times;Serif" w:hAnsi="Times New Roman;Times;Serif"/>
                <w:b w:val="false"/>
                <w:i w:val="false"/>
                <w:caps w:val="false"/>
                <w:smallCaps w:val="false"/>
                <w:sz w:val="20"/>
              </w:rPr>
              <w:t xml:space="preserve">; and </w:t>
            </w:r>
            <w:hyperlink r:id="rId23">
              <w:r>
                <w:rPr>
                  <w:rStyle w:val="InternetLink"/>
                  <w:rFonts w:ascii="Times New Roman;Times;Serif" w:hAnsi="Times New Roman;Times;Serif"/>
                  <w:b w:val="false"/>
                  <w:i w:val="false"/>
                  <w:caps w:val="false"/>
                  <w:smallCaps w:val="false"/>
                  <w:sz w:val="20"/>
                </w:rPr>
                <w:t>November 5, 2025</w:t>
              </w:r>
            </w:hyperlink>
            <w:r>
              <w:rPr>
                <w:rFonts w:ascii="Times New Roman;Times;Serif" w:hAnsi="Times New Roman;Times;Serif"/>
                <w:b w:val="false"/>
                <w:i w:val="false"/>
                <w:caps w:val="false"/>
                <w:smallCaps w:val="false"/>
                <w:sz w:val="20"/>
              </w:rPr>
              <w:t>.</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securities that is included in </w:t>
            </w:r>
            <w:hyperlink r:id="rId24">
              <w:r>
                <w:rPr>
                  <w:rStyle w:val="InternetLink"/>
                  <w:rFonts w:ascii="Times New Roman;Times;Serif" w:hAnsi="Times New Roman;Times;Serif"/>
                  <w:b w:val="false"/>
                  <w:i w:val="false"/>
                  <w:caps w:val="false"/>
                  <w:smallCaps w:val="false"/>
                  <w:sz w:val="20"/>
                </w:rPr>
                <w:t>Exhibit 4.8</w:t>
              </w:r>
            </w:hyperlink>
            <w:r>
              <w:rPr>
                <w:rFonts w:ascii="Times New Roman;Times;Serif" w:hAnsi="Times New Roman;Times;Serif"/>
                <w:b w:val="false"/>
                <w:i w:val="false"/>
                <w:caps w:val="false"/>
                <w:smallCaps w:val="false"/>
                <w:sz w:val="20"/>
              </w:rPr>
              <w:t xml:space="preserve"> to our Annual Report on Form 10-K for the year ended December 31, 2024, filed with the SEC on March 31, 2025.</w:t>
            </w:r>
          </w:p>
        </w:tc>
      </w:tr>
    </w:tbl>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herein or in any document incorporated or deemed to be incorporated by reference shall be deemed to be modified or superseded for purposes of the registration statement of which this prospectus forms a part to the extent that a statement contained in any other subsequently filed document which also is or is deemed to be incorporated by reference modifies or supersedes such statement. Any such statement so modified or superseded shall not be deemed to constitute a part of the registration statement of which this prospectus forms a part, except as so modified or superseded.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incorporated by reference or provided in this prospectus. We have not authorized anyone else to provide you with different information. You should not assume that the information in this prospectus is accurate as of any date other than the date of this prospectus or the date of the documents incorporated by reference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to each person to whom a copy of this prospectus is delivered, upon written or oral request, a copy of any or all of the information that has been incorporated by reference in this prospectus but not delivered with this prospectus (other than an exhibit to these filings, unless we have specifically incorporated that exhibit by reference in this prospectus). Any such request should be addressed to us at: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Wrap Technologies, Inc.3480 Main Hwy, Suite 202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Miami, Florida 33133</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 583-2652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You may also access the documents incorporated by reference in this prospectus through our website at </w:t>
      </w:r>
      <w:r>
        <w:rPr>
          <w:rFonts w:ascii="Times New Roman;Times;Serif" w:hAnsi="Times New Roman;Times;Serif"/>
          <w:b w:val="false"/>
          <w:i/>
          <w:caps w:val="false"/>
          <w:smallCaps w:val="false"/>
          <w:sz w:val="20"/>
        </w:rPr>
        <w:t>www.wrap.com</w:t>
      </w:r>
      <w:r>
        <w:rPr>
          <w:rFonts w:ascii="Times New Roman;Times;Serif" w:hAnsi="Times New Roman;Times;Serif"/>
          <w:b w:val="false"/>
          <w:i w:val="false"/>
          <w:caps w:val="false"/>
          <w:smallCaps w:val="false"/>
          <w:sz w:val="20"/>
        </w:rPr>
        <w:t>. Except for the specific incorporated documents listed above, no information available on or through our website shall be deemed to be incorporated in this prospectus or the registration statement of which it forms a part.</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5,771,519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2,800,090 Shares of Common Stock</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2,800,090</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 underlying the Pre-Funded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81250"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5"/>
                    <a:stretch>
                      <a:fillRect/>
                    </a:stretch>
                  </pic:blipFill>
                  <pic:spPr bwMode="auto">
                    <a:xfrm>
                      <a:off x="0" y="0"/>
                      <a:ext cx="2381250" cy="5238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Maxim Group LLC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August 16,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02924/000114036126011401/form10k.htm" TargetMode="External"/><Relationship Id="rId4" Type="http://schemas.openxmlformats.org/officeDocument/2006/relationships/hyperlink" Target="http://www.sec.gov/Archives/edgar/data/1702924/000114036126021091/form10q.htm" TargetMode="External"/><Relationship Id="rId5" Type="http://schemas.openxmlformats.org/officeDocument/2006/relationships/hyperlink" Target="https://www.sec.gov/Archives/edgar/data/1702924/000114036126032276/form10q.htm" TargetMode="External"/><Relationship Id="rId6" Type="http://schemas.openxmlformats.org/officeDocument/2006/relationships/hyperlink" Target="https://www.sec.gov/Archives/edgar/data/1702924/000149315226005110/form8-k.htm" TargetMode="External"/><Relationship Id="rId7" Type="http://schemas.openxmlformats.org/officeDocument/2006/relationships/hyperlink" Target="https://www.sec.gov/Archives/edgar/data/1702924/000149315226033073/form8-k.htm" TargetMode="External"/><Relationship Id="rId8" Type="http://schemas.openxmlformats.org/officeDocument/2006/relationships/hyperlink" Target="https://www.sec.gov/Archives/edgar/data/1702924/000114036126011401/ex4-7.htm" TargetMode="External"/><Relationship Id="rId9" Type="http://schemas.openxmlformats.org/officeDocument/2006/relationships/hyperlink" Target="https://www.sec.gov/Archives/edgar/data/1702924/000164117225001416/form10-k.htm" TargetMode="External"/><Relationship Id="rId10" Type="http://schemas.openxmlformats.org/officeDocument/2006/relationships/hyperlink" Target="https://www.sec.gov/Archives/edgar/data/1702924/000164117225006244/form10-ka.htm" TargetMode="External"/><Relationship Id="rId11" Type="http://schemas.openxmlformats.org/officeDocument/2006/relationships/hyperlink" Target="http://www.sec.gov/Archives/edgar/data/1702924/000164117225011065/form10-q.htm" TargetMode="External"/><Relationship Id="rId12" Type="http://schemas.openxmlformats.org/officeDocument/2006/relationships/hyperlink" Target="https://www.sec.gov/Archives/edgar/data/1702924/000164117225024162/form10-q.htm" TargetMode="External"/><Relationship Id="rId13" Type="http://schemas.openxmlformats.org/officeDocument/2006/relationships/hyperlink" Target="https://www.sec.gov/Archives/edgar/data/1702924/000114036125041816/form10q.htm" TargetMode="External"/><Relationship Id="rId14" Type="http://schemas.openxmlformats.org/officeDocument/2006/relationships/hyperlink" Target="https://www.sec.gov/Archives/edgar/data/1702924/000143774925003433/wrap20250211_8k.htm" TargetMode="External"/><Relationship Id="rId15" Type="http://schemas.openxmlformats.org/officeDocument/2006/relationships/hyperlink" Target="https://www.sec.gov/Archives/edgar/data/1702924/000143774925004882/wrap20250224_8k.htm" TargetMode="External"/><Relationship Id="rId16" Type="http://schemas.openxmlformats.org/officeDocument/2006/relationships/hyperlink" Target="https://www.sec.gov/Archives/edgar/data/1702924/000143774925005752/wrap20250228_8k.htm" TargetMode="External"/><Relationship Id="rId17" Type="http://schemas.openxmlformats.org/officeDocument/2006/relationships/hyperlink" Target="https://www.sec.gov/Archives/edgar/data/1702924/000143774925007635/wrap20250314_8k.htm" TargetMode="External"/><Relationship Id="rId18" Type="http://schemas.openxmlformats.org/officeDocument/2006/relationships/hyperlink" Target="https://www.sec.gov/Archives/edgar/data/1702924/000164117225016914/form8-k.htm" TargetMode="External"/><Relationship Id="rId19" Type="http://schemas.openxmlformats.org/officeDocument/2006/relationships/hyperlink" Target="https://www.sec.gov/Archives/edgar/data/1702924/000164117225018048/form8-k.htm" TargetMode="External"/><Relationship Id="rId20" Type="http://schemas.openxmlformats.org/officeDocument/2006/relationships/hyperlink" Target="https://www.sec.gov/Archives/edgar/data/1702924/000164117225024642/form8-k.htm" TargetMode="External"/><Relationship Id="rId21" Type="http://schemas.openxmlformats.org/officeDocument/2006/relationships/hyperlink" Target="https://www.sec.gov/Archives/edgar/data/1702924/000164117225025536/form8-k.htm" TargetMode="External"/><Relationship Id="rId22" Type="http://schemas.openxmlformats.org/officeDocument/2006/relationships/hyperlink" Target="https://www.sec.gov/Archives/edgar/data/1702924/000149315225019686/form8-k.htm" TargetMode="External"/><Relationship Id="rId23" Type="http://schemas.openxmlformats.org/officeDocument/2006/relationships/hyperlink" Target="https://www.sec.gov/Archives/edgar/data/1702924/000149315225020900/form8-k.htm" TargetMode="External"/><Relationship Id="rId24" Type="http://schemas.openxmlformats.org/officeDocument/2006/relationships/hyperlink" Target="https://www.sec.gov/Archives/edgar/data/1702924/000143774924027942/ex_718610.htm" TargetMode="External"/><Relationship Id="rId25" Type="http://schemas.openxmlformats.org/officeDocument/2006/relationships/image" Target="media/image1.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30244</Words>
  <Characters>161303</Characters>
  <CharactersWithSpaces>191735</CharactersWithSpaces>
  <Paragraphs>1988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