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REPORT PURSUANT TO SECTION 13 OR 15(d) OF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154305</wp:posOffset>
            </wp:positionV>
            <wp:extent cx="13201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Wrap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30480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98-0551945</w:t>
            </w:r>
          </w:p>
        </w:tc>
      </w:tr>
      <w:tr>
        <w:trPr>
          <w:trHeight w:val="195"/>
        </w:trPr>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1817 W 4th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Tempe, Arizona 85281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(800) 583-2652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40" w:type="dxa"/>
            <w:vAlign w:val="bottom"/>
            <w:gridSpan w:val="3"/>
            <w:vMerge w:val="restart"/>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vMerge w:val="restart"/>
          </w:tcPr>
          <w:p>
            <w:pPr>
              <w:jc w:val="center"/>
              <w:ind w:right="490"/>
              <w:spacing w:after="0"/>
              <w:rPr>
                <w:sz w:val="20"/>
                <w:szCs w:val="20"/>
                <w:color w:val="auto"/>
              </w:rPr>
            </w:pPr>
            <w:r>
              <w:rPr>
                <w:rFonts w:ascii="Arial" w:cs="Arial" w:eastAsia="Arial" w:hAnsi="Arial"/>
                <w:sz w:val="18"/>
                <w:szCs w:val="18"/>
                <w:b w:val="1"/>
                <w:bCs w:val="1"/>
                <w:color w:val="auto"/>
                <w:w w:val="91"/>
              </w:rPr>
              <w:t>Trading Symbol(s)</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26"/>
        </w:trPr>
        <w:tc>
          <w:tcPr>
            <w:tcW w:w="4540" w:type="dxa"/>
            <w:vAlign w:val="bottom"/>
            <w:gridSpan w:val="3"/>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108"/>
        </w:trPr>
        <w:tc>
          <w:tcPr>
            <w:tcW w:w="3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3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80" w:type="dxa"/>
            <w:vAlign w:val="bottom"/>
          </w:tcPr>
          <w:p>
            <w:pPr>
              <w:jc w:val="center"/>
              <w:ind w:right="490"/>
              <w:spacing w:after="0"/>
              <w:rPr>
                <w:sz w:val="20"/>
                <w:szCs w:val="20"/>
                <w:color w:val="auto"/>
              </w:rPr>
            </w:pPr>
            <w:r>
              <w:rPr>
                <w:rFonts w:ascii="Arial" w:cs="Arial" w:eastAsia="Arial" w:hAnsi="Arial"/>
                <w:sz w:val="18"/>
                <w:szCs w:val="18"/>
                <w:color w:val="auto"/>
                <w:w w:val="96"/>
              </w:rPr>
              <w:t>WRAP</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1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July 28, 2021 a total of 40,477,753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200660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252095</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3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318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4"/>
            <w:shd w:val="clear" w:color="auto" w:fill="CCEEFF"/>
          </w:tcPr>
          <w:p>
            <w:pPr>
              <w:ind w:left="220"/>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500" w:type="dxa"/>
            <w:vAlign w:val="bottom"/>
            <w:gridSpan w:val="17"/>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gridSpan w:val="20"/>
          </w:tcPr>
          <w:p>
            <w:pPr>
              <w:spacing w:after="0" w:line="176" w:lineRule="exact"/>
              <w:rPr>
                <w:rFonts w:ascii="Arial" w:cs="Arial" w:eastAsia="Arial" w:hAnsi="Arial"/>
                <w:sz w:val="18"/>
                <w:szCs w:val="18"/>
                <w:color w:val="0000EE"/>
                <w:w w:val="98"/>
              </w:rPr>
            </w:pPr>
            <w:hyperlink w:anchor="page2">
              <w:r>
                <w:rPr>
                  <w:rFonts w:ascii="Arial" w:cs="Arial" w:eastAsia="Arial" w:hAnsi="Arial"/>
                  <w:sz w:val="18"/>
                  <w:szCs w:val="18"/>
                  <w:color w:val="0000EE"/>
                  <w:w w:val="98"/>
                </w:rPr>
                <w:t>Condensed Consolidated Balance Sheets as of June 30, 2021 (unaudited) and December 31, 2020</w:t>
              </w:r>
            </w:hyperlink>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500" w:type="dxa"/>
            <w:vAlign w:val="bottom"/>
            <w:gridSpan w:val="17"/>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w:t>
              </w:r>
            </w:hyperlink>
          </w:p>
        </w:tc>
        <w:tc>
          <w:tcPr>
            <w:tcW w:w="2500" w:type="dxa"/>
            <w:vAlign w:val="bottom"/>
            <w:gridSpan w:val="7"/>
            <w:shd w:val="clear" w:color="auto" w:fill="CCEEFF"/>
          </w:tcPr>
          <w:p>
            <w:pPr>
              <w:jc w:val="right"/>
              <w:ind w:right="260"/>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and six months ended June 30,</w:t>
              </w:r>
            </w:hyperlink>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2021 and 2020 (unaudited)</w:t>
              </w:r>
            </w:hyperlink>
          </w:p>
        </w:tc>
        <w:tc>
          <w:tcPr>
            <w:tcW w:w="45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6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0" w:type="dxa"/>
            <w:vAlign w:val="bottom"/>
            <w:gridSpan w:val="24"/>
          </w:tcPr>
          <w:p>
            <w:pPr>
              <w:spacing w:after="0" w:line="17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Stockholders Equity for the three and six months ended June 30, 2021 and 2020</w:t>
              </w:r>
            </w:hyperlink>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00" w:type="dxa"/>
            <w:vAlign w:val="bottom"/>
            <w:tcBorders>
              <w:top w:val="single" w:sz="8" w:color="0000EE"/>
            </w:tcBorders>
            <w:gridSpan w:val="17"/>
            <w:vMerge w:val="restart"/>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52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500" w:type="dxa"/>
            <w:vAlign w:val="bottom"/>
            <w:gridSpan w:val="17"/>
            <w:vMerge w:val="continue"/>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0" w:type="dxa"/>
            <w:vAlign w:val="bottom"/>
            <w:gridSpan w:val="24"/>
            <w:shd w:val="clear" w:color="auto" w:fill="CCEEFF"/>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for the six months ended June 30, 2021 and 2020 (unaudited)</w:t>
              </w:r>
            </w:hyperlink>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2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Notes to Unaudited Condensed Consolidated Interim Financial Statements</w:t>
              </w:r>
            </w:hyperlink>
          </w:p>
        </w:tc>
        <w:tc>
          <w:tcPr>
            <w:tcW w:w="5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Management’s Discussion and Analysis of Financial Condition and Results of Operations</w:t>
              </w:r>
            </w:hyperlink>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gridSpan w:val="4"/>
          </w:tcPr>
          <w:p>
            <w:pPr>
              <w:ind w:left="2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6500" w:type="dxa"/>
            <w:vAlign w:val="bottom"/>
            <w:gridSpan w:val="17"/>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520" w:type="dxa"/>
            <w:vAlign w:val="bottom"/>
            <w:gridSpan w:val="21"/>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gridSpan w:val="4"/>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50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gridSpan w:val="4"/>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50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gridSpan w:val="4"/>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650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4"/>
            <w:shd w:val="clear" w:color="auto" w:fill="CCEEFF"/>
          </w:tcPr>
          <w:p>
            <w:pPr>
              <w:ind w:left="2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650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48"/>
        </w:trPr>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220" w:type="dxa"/>
            <w:vAlign w:val="bottom"/>
            <w:tcBorders>
              <w:top w:val="single" w:sz="8" w:color="CCEEFF"/>
              <w:bottom w:val="single" w:sz="8" w:color="auto"/>
            </w:tcBorders>
            <w:gridSpan w:val="14"/>
          </w:tcPr>
          <w:p>
            <w:pPr>
              <w:jc w:val="center"/>
              <w:ind w:left="3610"/>
              <w:spacing w:after="0"/>
              <w:rPr>
                <w:sz w:val="20"/>
                <w:szCs w:val="20"/>
                <w:color w:val="auto"/>
              </w:rPr>
            </w:pPr>
            <w:r>
              <w:rPr>
                <w:rFonts w:ascii="Arial" w:cs="Arial" w:eastAsia="Arial" w:hAnsi="Arial"/>
                <w:sz w:val="18"/>
                <w:szCs w:val="18"/>
                <w:color w:val="auto"/>
                <w:w w:val="79"/>
              </w:rPr>
              <w:t>2</w:t>
            </w:r>
          </w:p>
        </w:tc>
        <w:tc>
          <w:tcPr>
            <w:tcW w:w="1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gridSpan w:val="6"/>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624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9"/>
              </w:rPr>
              <w:t>Wrap Technologies, Inc.</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8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80" w:type="dxa"/>
            <w:vAlign w:val="bottom"/>
            <w:gridSpan w:val="5"/>
          </w:tcPr>
          <w:p>
            <w:pPr>
              <w:jc w:val="center"/>
              <w:ind w:left="250"/>
              <w:spacing w:after="0"/>
              <w:rPr>
                <w:sz w:val="20"/>
                <w:szCs w:val="20"/>
                <w:color w:val="auto"/>
              </w:rPr>
            </w:pPr>
            <w:r>
              <w:rPr>
                <w:rFonts w:ascii="Arial" w:cs="Arial" w:eastAsia="Arial" w:hAnsi="Arial"/>
                <w:sz w:val="18"/>
                <w:szCs w:val="18"/>
                <w:color w:val="auto"/>
                <w:w w:val="88"/>
              </w:rPr>
              <w:t>(in thousands, except par value and share amounts)</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1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13,050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Short-term investments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30,002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Inventories, net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2,837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Total current assets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49,336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w w:val="91"/>
              </w:rPr>
              <w:t>Other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6"/>
              </w:rPr>
              <w:t>Total assets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51,341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48,833</w:t>
            </w:r>
          </w:p>
        </w:tc>
        <w:tc>
          <w:tcPr>
            <w:tcW w:w="0" w:type="dxa"/>
            <w:vAlign w:val="bottom"/>
          </w:tcPr>
          <w:p>
            <w:pPr>
              <w:spacing w:after="0"/>
              <w:rPr>
                <w:sz w:val="1"/>
                <w:szCs w:val="1"/>
                <w:color w:val="auto"/>
              </w:rPr>
            </w:pPr>
          </w:p>
        </w:tc>
      </w:tr>
      <w:tr>
        <w:trPr>
          <w:trHeight w:val="394"/>
        </w:trPr>
        <w:tc>
          <w:tcPr>
            <w:tcW w:w="7520" w:type="dxa"/>
            <w:vAlign w:val="bottom"/>
            <w:tcBorders>
              <w:top w:val="single" w:sz="8" w:color="CCEEFF"/>
            </w:tcBorders>
            <w:gridSpan w:val="21"/>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Operating lease liability - short term</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Business acquisition liability - short term</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rPr>
              <w:t>Operating Lease Liability - long term</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Business acquisition liability - long term</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1"/>
          </w:tcPr>
          <w:p>
            <w:pPr>
              <w:spacing w:after="0"/>
              <w:rPr>
                <w:sz w:val="20"/>
                <w:szCs w:val="20"/>
                <w:color w:val="auto"/>
              </w:rPr>
            </w:pPr>
            <w:r>
              <w:rPr>
                <w:rFonts w:ascii="Arial" w:cs="Arial" w:eastAsia="Arial" w:hAnsi="Arial"/>
                <w:sz w:val="18"/>
                <w:szCs w:val="18"/>
                <w:b w:val="1"/>
                <w:bCs w:val="1"/>
                <w:color w:val="auto"/>
              </w:rPr>
              <w:t>Total long-term liabilities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9"/>
        </w:trPr>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1"/>
          </w:tcPr>
          <w:p>
            <w:pPr>
              <w:ind w:left="180"/>
              <w:spacing w:after="0"/>
              <w:rPr>
                <w:sz w:val="20"/>
                <w:szCs w:val="20"/>
                <w:color w:val="auto"/>
              </w:rPr>
            </w:pPr>
            <w:r>
              <w:rPr>
                <w:rFonts w:ascii="Arial" w:cs="Arial" w:eastAsia="Arial" w:hAnsi="Arial"/>
                <w:sz w:val="18"/>
                <w:szCs w:val="18"/>
                <w:color w:val="auto"/>
                <w:w w:val="93"/>
              </w:rPr>
              <w:t>Preferred stock - 5,000,000 authorized; par value $0.0001 per share; none issued and outstanding</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gridSpan w:val="24"/>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39,911,390 and 37,554,162 shares issued and</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outstanding each period, respectively</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91" w:orient="portrait"/>
          <w:cols w:equalWidth="0" w:num="1">
            <w:col w:w="11240"/>
          </w:cols>
          <w:pgMar w:left="320" w:top="108"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87,277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71,705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48,833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20" w:type="dxa"/>
            <w:vAlign w:val="bottom"/>
            <w:gridSpan w:val="8"/>
            <w:vMerge w:val="restart"/>
          </w:tcPr>
          <w:p>
            <w:pPr>
              <w:jc w:val="right"/>
              <w:ind w:right="180"/>
              <w:spacing w:after="0"/>
              <w:rPr>
                <w:sz w:val="20"/>
                <w:szCs w:val="20"/>
                <w:color w:val="auto"/>
              </w:rPr>
            </w:pPr>
            <w:r>
              <w:rPr>
                <w:rFonts w:ascii="Arial" w:cs="Arial" w:eastAsia="Arial" w:hAnsi="Arial"/>
                <w:sz w:val="18"/>
                <w:szCs w:val="18"/>
                <w:color w:val="auto"/>
              </w:rPr>
              <w:t>See accompanying notes to condensed consolidated interim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2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color w:val="auto"/>
                <w:w w:val="79"/>
              </w:rPr>
              <w:t>3</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6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374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Wrap Technologies,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42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40" w:type="dxa"/>
            <w:vAlign w:val="bottom"/>
            <w:gridSpan w:val="5"/>
          </w:tcPr>
          <w:p>
            <w:pPr>
              <w:jc w:val="center"/>
              <w:spacing w:after="0"/>
              <w:rPr>
                <w:sz w:val="20"/>
                <w:szCs w:val="20"/>
                <w:color w:val="auto"/>
              </w:rPr>
            </w:pPr>
            <w:r>
              <w:rPr>
                <w:rFonts w:ascii="Arial" w:cs="Arial" w:eastAsia="Arial" w:hAnsi="Arial"/>
                <w:sz w:val="18"/>
                <w:szCs w:val="18"/>
                <w:color w:val="auto"/>
                <w:w w:val="88"/>
              </w:rPr>
              <w:t>(in thousands, except share and per share amounts)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0" w:type="dxa"/>
            <w:vAlign w:val="bottom"/>
            <w:gridSpan w:val="2"/>
          </w:tcPr>
          <w:p>
            <w:pPr>
              <w:jc w:val="center"/>
              <w:ind w:left="1270"/>
              <w:spacing w:after="0"/>
              <w:rPr>
                <w:sz w:val="20"/>
                <w:szCs w:val="20"/>
                <w:color w:val="auto"/>
              </w:rPr>
            </w:pPr>
            <w:r>
              <w:rPr>
                <w:rFonts w:ascii="Arial" w:cs="Arial" w:eastAsia="Arial" w:hAnsi="Arial"/>
                <w:sz w:val="18"/>
                <w:szCs w:val="18"/>
                <w:color w:val="auto"/>
                <w:w w:val="92"/>
              </w:rPr>
              <w:t>(unaudited)</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June 30,</w:t>
            </w:r>
          </w:p>
        </w:tc>
        <w:tc>
          <w:tcPr>
            <w:tcW w:w="120" w:type="dxa"/>
            <w:vAlign w:val="bottom"/>
          </w:tcPr>
          <w:p>
            <w:pPr>
              <w:spacing w:after="0"/>
              <w:rPr>
                <w:sz w:val="24"/>
                <w:szCs w:val="2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4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sales</w:t>
            </w:r>
          </w:p>
        </w:tc>
        <w:tc>
          <w:tcPr>
            <w:tcW w:w="2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Other revenue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Products and services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Product line exit expense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(7,801)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(13,239)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income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(7,799)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loss per basic and diluted common share</w:t>
            </w:r>
          </w:p>
        </w:tc>
        <w:tc>
          <w:tcPr>
            <w:tcW w:w="2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4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w w:val="94"/>
              </w:rPr>
              <w:t>Weighted average common shares used to compute net loss per basic and diluted</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38,162,526</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31,241,470</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37,938,873</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30,749,532</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common share</w:t>
            </w: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(7,799)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Net unrealized loss on short-term investments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(7,803)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9"/>
              </w:rPr>
              <w:t>Wrap Technologies, Inc.</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360" w:type="dxa"/>
            <w:vAlign w:val="bottom"/>
            <w:gridSpan w:val="12"/>
          </w:tcPr>
          <w:p>
            <w:pPr>
              <w:jc w:val="center"/>
              <w:ind w:left="223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60" w:type="dxa"/>
            <w:vAlign w:val="bottom"/>
            <w:gridSpan w:val="10"/>
          </w:tcPr>
          <w:p>
            <w:pPr>
              <w:jc w:val="center"/>
              <w:ind w:right="400"/>
              <w:spacing w:after="0"/>
              <w:rPr>
                <w:sz w:val="20"/>
                <w:szCs w:val="20"/>
                <w:color w:val="auto"/>
              </w:rPr>
            </w:pPr>
            <w:r>
              <w:rPr>
                <w:rFonts w:ascii="Arial" w:cs="Arial" w:eastAsia="Arial" w:hAnsi="Arial"/>
                <w:sz w:val="18"/>
                <w:szCs w:val="18"/>
                <w:color w:val="auto"/>
                <w:w w:val="88"/>
              </w:rPr>
              <w:t>(in thousands, except share amounts)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center"/>
              <w:ind w:left="73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470"/>
              <w:spacing w:after="0"/>
              <w:rPr>
                <w:sz w:val="20"/>
                <w:szCs w:val="20"/>
                <w:color w:val="auto"/>
              </w:rPr>
            </w:pPr>
            <w:r>
              <w:rPr>
                <w:rFonts w:ascii="Arial" w:cs="Arial" w:eastAsia="Arial" w:hAnsi="Arial"/>
                <w:sz w:val="18"/>
                <w:szCs w:val="18"/>
                <w:b w:val="1"/>
                <w:bCs w:val="1"/>
                <w:color w:val="auto"/>
                <w:w w:val="92"/>
              </w:rPr>
              <w:t>Three Months Ended June 30, 2021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Additional</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37,711,698</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72,777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(30,739)</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42,059</w:t>
            </w:r>
          </w:p>
        </w:tc>
        <w:tc>
          <w:tcPr>
            <w:tcW w:w="0" w:type="dxa"/>
            <w:vAlign w:val="bottom"/>
          </w:tcPr>
          <w:p>
            <w:pPr>
              <w:spacing w:after="0"/>
              <w:rPr>
                <w:sz w:val="1"/>
                <w:szCs w:val="1"/>
                <w:color w:val="auto"/>
              </w:rPr>
            </w:pPr>
          </w:p>
        </w:tc>
      </w:tr>
      <w:tr>
        <w:trPr>
          <w:trHeight w:val="202"/>
        </w:trPr>
        <w:tc>
          <w:tcPr>
            <w:tcW w:w="42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4"/>
              </w:rPr>
              <w:t>Common shares issued upon exercise of warrants at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$6.50 per share</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1,661,320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10,799</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Common shares issued upon exercise of warrants at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$8.125 per share</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153,692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20"/>
              <w:spacing w:after="0"/>
              <w:rPr>
                <w:sz w:val="20"/>
                <w:szCs w:val="20"/>
                <w:color w:val="auto"/>
              </w:rPr>
            </w:pPr>
            <w:r>
              <w:rPr>
                <w:rFonts w:ascii="Arial" w:cs="Arial" w:eastAsia="Arial" w:hAnsi="Arial"/>
                <w:sz w:val="18"/>
                <w:szCs w:val="18"/>
                <w:color w:val="auto"/>
                <w:w w:val="90"/>
              </w:rPr>
              <w:t>Common shares issued upon exercise of stock options</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82,066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Common shares issued upon vesting of 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Common shares issued for services</w:t>
            </w:r>
          </w:p>
        </w:tc>
        <w:tc>
          <w:tcPr>
            <w:tcW w:w="92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Net unrealized loss on short-term 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(7,799)</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(7,799)</w:t>
            </w:r>
          </w:p>
        </w:tc>
      </w:tr>
      <w:tr>
        <w:trPr>
          <w:trHeight w:val="20"/>
        </w:trPr>
        <w:tc>
          <w:tcPr>
            <w:tcW w:w="4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39,911,390</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87,277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(38,538)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48,756</w:t>
            </w:r>
          </w:p>
        </w:tc>
      </w:tr>
      <w:tr>
        <w:trPr>
          <w:trHeight w:val="20"/>
        </w:trPr>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w w:val="90"/>
              </w:rPr>
              <w:t>Six Months Ended June 30, 2021</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68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68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37,554,162</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$6.50 per share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1,661,320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10,799</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$8.125 per share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3"/>
              </w:rPr>
              <w:t>Common shares issued upon exercise of stock 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157,066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shares issued upon vesting of restricted stock</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342,274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Common shares issued for services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Net unrealized loss on short-term investments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39,911,390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87,277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(38,538)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470"/>
              <w:spacing w:after="0"/>
              <w:rPr>
                <w:sz w:val="20"/>
                <w:szCs w:val="20"/>
                <w:color w:val="auto"/>
              </w:rPr>
            </w:pPr>
            <w:r>
              <w:rPr>
                <w:rFonts w:ascii="Arial" w:cs="Arial" w:eastAsia="Arial" w:hAnsi="Arial"/>
                <w:sz w:val="18"/>
                <w:szCs w:val="18"/>
                <w:b w:val="1"/>
                <w:bCs w:val="1"/>
                <w:color w:val="auto"/>
                <w:w w:val="94"/>
              </w:rPr>
              <w:t>Three Months Ended June 30, 2020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68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68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30,073,724</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(15,076)</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line="201" w:lineRule="exact"/>
              <w:rPr>
                <w:sz w:val="20"/>
                <w:szCs w:val="20"/>
                <w:color w:val="auto"/>
              </w:rPr>
            </w:pPr>
            <w:r>
              <w:rPr>
                <w:rFonts w:ascii="Arial" w:cs="Arial" w:eastAsia="Arial" w:hAnsi="Arial"/>
                <w:sz w:val="18"/>
                <w:szCs w:val="18"/>
                <w:color w:val="auto"/>
                <w:w w:val="93"/>
              </w:rPr>
              <w:t>Sale of common stock and warrants at $6.00 per share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in public offering, net of issuance costs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2,066,667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11,667</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$3.00 per share, net of issuance costs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138,721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$5.00 per share, net of issuance costs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1,731,603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8,271</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$6.50 per share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3"/>
              </w:rPr>
              <w:t>Common shares issued upon exercise of stock 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180,625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shares issued upon vesting of restricted stock</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86,558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short-term investments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(2,816)</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34,361,591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(17,892)</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w w:val="90"/>
              </w:rPr>
              <w:t>Six Months Ended June 30, 2020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68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68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29,829,916</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line="201" w:lineRule="exact"/>
              <w:rPr>
                <w:sz w:val="20"/>
                <w:szCs w:val="20"/>
                <w:color w:val="auto"/>
              </w:rPr>
            </w:pPr>
            <w:r>
              <w:rPr>
                <w:rFonts w:ascii="Arial" w:cs="Arial" w:eastAsia="Arial" w:hAnsi="Arial"/>
                <w:sz w:val="18"/>
                <w:szCs w:val="18"/>
                <w:color w:val="auto"/>
                <w:w w:val="93"/>
              </w:rPr>
              <w:t>Sale of common stock and warrants at $6.00 per share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in public offering, net of issuance costs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2,066,667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11,667</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$3.00 per share, net of issuance costs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$5.00 per share, net of issuance costs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1,851,003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8,868</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shares issued upon exercise of warrants at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$6.50 per share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3"/>
              </w:rPr>
              <w:t>Common shares issued upon exercise of stock 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293,250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shares issued upon vesting of restricted stock</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86,558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short-term investments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(5,162)</w:t>
            </w:r>
          </w:p>
        </w:tc>
        <w:tc>
          <w:tcPr>
            <w:tcW w:w="9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34,361,591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(17,892)</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ectPr>
          <w:pgSz w:w="11900" w:h="16838" w:orient="portrait"/>
          <w:cols w:equalWidth="0" w:num="1">
            <w:col w:w="11240"/>
          </w:cols>
          <w:pgMar w:left="320" w:top="134"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 w:right="339" w:bottom="0" w:gutter="0" w:footer="0" w:header="0"/>
          <w:type w:val="continuous"/>
        </w:sectPr>
      </w:pPr>
    </w:p>
    <w:bookmarkStart w:id="4" w:name="page5"/>
    <w:bookmarkEnd w:id="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Wrap Technologies,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Product line exit expense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Inventory obsolescence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Common shares issued for services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24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520" w:type="dxa"/>
            <w:vAlign w:val="bottom"/>
            <w:gridSpan w:val="2"/>
          </w:tcPr>
          <w:p>
            <w:pPr>
              <w:ind w:left="240"/>
              <w:spacing w:after="0"/>
              <w:rPr>
                <w:sz w:val="20"/>
                <w:szCs w:val="20"/>
                <w:color w:val="auto"/>
              </w:rPr>
            </w:pPr>
            <w:r>
              <w:rPr>
                <w:rFonts w:ascii="Arial" w:cs="Arial" w:eastAsia="Arial" w:hAnsi="Arial"/>
                <w:sz w:val="18"/>
                <w:szCs w:val="18"/>
                <w:color w:val="auto"/>
              </w:rPr>
              <w:t>Warranty settlement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(10,254)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9"/>
        </w:trPr>
        <w:tc>
          <w:tcPr>
            <w:tcW w:w="1280" w:type="dxa"/>
            <w:vAlign w:val="bottom"/>
            <w:gridSpan w:val="2"/>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Proceeds from maturities of short-term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Investment in patents and trademarks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long-term deposits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280" w:type="dxa"/>
            <w:vAlign w:val="bottom"/>
            <w:gridSpan w:val="2"/>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 of common stock and warrants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Offering costs paid on sale of common stock and warrants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Offering costs paid on exercise of warrants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Proceeds from bank note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22,449</w:t>
            </w:r>
          </w:p>
        </w:tc>
        <w:tc>
          <w:tcPr>
            <w:tcW w:w="0" w:type="dxa"/>
            <w:vAlign w:val="bottom"/>
          </w:tcPr>
          <w:p>
            <w:pPr>
              <w:spacing w:after="0"/>
              <w:rPr>
                <w:sz w:val="1"/>
                <w:szCs w:val="1"/>
                <w:color w:val="auto"/>
              </w:rPr>
            </w:pPr>
          </w:p>
        </w:tc>
      </w:tr>
      <w:tr>
        <w:trPr>
          <w:trHeight w:val="210"/>
        </w:trPr>
        <w:tc>
          <w:tcPr>
            <w:tcW w:w="1280" w:type="dxa"/>
            <w:vAlign w:val="bottom"/>
            <w:gridSpan w:val="2"/>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18,401</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unrealized gain on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color w:val="auto"/>
                <w:w w:val="89"/>
              </w:rPr>
              <w:t>See accompanying notes to condensed consolidated interim 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2"/>
          </w:tcPr>
          <w:p>
            <w:pPr>
              <w:jc w:val="center"/>
              <w:ind w:left="2270"/>
              <w:spacing w:after="0"/>
              <w:rPr>
                <w:sz w:val="20"/>
                <w:szCs w:val="20"/>
                <w:color w:val="auto"/>
              </w:rPr>
            </w:pPr>
            <w:r>
              <w:rPr>
                <w:rFonts w:ascii="Arial" w:cs="Arial" w:eastAsia="Arial" w:hAnsi="Arial"/>
                <w:sz w:val="18"/>
                <w:szCs w:val="18"/>
                <w:color w:val="auto"/>
                <w:w w:val="79"/>
              </w:rPr>
              <w:t>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70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color w:val="auto"/>
                <w:w w:val="90"/>
              </w:rPr>
              <w:t>Wrap Technologies,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color w:val="auto"/>
                <w:w w:val="90"/>
              </w:rPr>
              <w:t>Notes to Unaudited Condensed Consolidated Interim Financial Statements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color w:val="auto"/>
                <w:w w:val="87"/>
              </w:rPr>
              <w:t>(in thousands, except per share and 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520" w:type="dxa"/>
            <w:vAlign w:val="bottom"/>
            <w:gridSpan w:val="2"/>
          </w:tcPr>
          <w:p>
            <w:pPr>
              <w:ind w:left="280"/>
              <w:spacing w:after="0"/>
              <w:rPr>
                <w:sz w:val="20"/>
                <w:szCs w:val="20"/>
                <w:color w:val="auto"/>
              </w:rPr>
            </w:pPr>
            <w:r>
              <w:rPr>
                <w:rFonts w:ascii="Arial" w:cs="Arial" w:eastAsia="Arial" w:hAnsi="Arial"/>
                <w:sz w:val="18"/>
                <w:szCs w:val="18"/>
                <w:b w:val="1"/>
                <w:bCs w:val="1"/>
                <w:color w:val="auto"/>
              </w:rPr>
              <w:t>ORGANIZATION AND SUMMARY OF SIGNIFICANT ACCOUNTING POLICIES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ind w:left="420"/>
        <w:spacing w:after="0" w:line="342" w:lineRule="auto"/>
        <w:rPr>
          <w:sz w:val="20"/>
          <w:szCs w:val="20"/>
          <w:color w:val="auto"/>
        </w:rPr>
      </w:pPr>
      <w:r>
        <w:rPr>
          <w:rFonts w:ascii="Arial" w:cs="Arial" w:eastAsia="Arial" w:hAnsi="Arial"/>
          <w:sz w:val="16"/>
          <w:szCs w:val="16"/>
          <w:color w:val="auto"/>
        </w:rPr>
        <w:t>Wrap Technologies,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is a publicly traded company with our Common Stock, par value $0.0001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listed on the Nasdaq Capital Market (“</w:t>
      </w:r>
      <w:r>
        <w:rPr>
          <w:rFonts w:ascii="Arial" w:cs="Arial" w:eastAsia="Arial" w:hAnsi="Arial"/>
          <w:sz w:val="16"/>
          <w:szCs w:val="16"/>
          <w:i w:val="1"/>
          <w:iCs w:val="1"/>
          <w:color w:val="auto"/>
        </w:rPr>
        <w:t>Nasdaq</w:t>
      </w:r>
      <w:r>
        <w:rPr>
          <w:rFonts w:ascii="Arial" w:cs="Arial" w:eastAsia="Arial" w:hAnsi="Arial"/>
          <w:sz w:val="16"/>
          <w:szCs w:val="16"/>
          <w:color w:val="auto"/>
        </w:rPr>
        <w:t>”) under the trading symbol “WRAP”. The Company is a</w:t>
      </w:r>
    </w:p>
    <w:p>
      <w:pPr>
        <w:sectPr>
          <w:pgSz w:w="11900" w:h="16956" w:orient="portrait"/>
          <w:cols w:equalWidth="0" w:num="1">
            <w:col w:w="11240"/>
          </w:cols>
          <w:pgMar w:left="320" w:top="284" w:right="339" w:bottom="0" w:gutter="0" w:footer="0" w:header="0"/>
        </w:sectPr>
      </w:pPr>
    </w:p>
    <w:bookmarkStart w:id="5" w:name="page6"/>
    <w:bookmarkEnd w:id="5"/>
    <w:p>
      <w:pPr>
        <w:jc w:val="both"/>
        <w:ind w:left="420"/>
        <w:spacing w:after="0" w:line="263" w:lineRule="auto"/>
        <w:rPr>
          <w:sz w:val="20"/>
          <w:szCs w:val="20"/>
          <w:color w:val="auto"/>
        </w:rPr>
      </w:pPr>
      <w:r>
        <w:rPr>
          <w:rFonts w:ascii="Arial" w:cs="Arial" w:eastAsia="Arial" w:hAnsi="Arial"/>
          <w:sz w:val="18"/>
          <w:szCs w:val="18"/>
          <w:color w:val="auto"/>
        </w:rPr>
        <w:t>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left="420"/>
        <w:spacing w:after="0" w:line="269" w:lineRule="auto"/>
        <w:rPr>
          <w:sz w:val="20"/>
          <w:szCs w:val="20"/>
          <w:color w:val="auto"/>
        </w:rPr>
      </w:pPr>
      <w:r>
        <w:rPr>
          <w:rFonts w:ascii="Arial" w:cs="Arial" w:eastAsia="Arial" w:hAnsi="Arial"/>
          <w:sz w:val="17"/>
          <w:szCs w:val="17"/>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Certain information and footnote disclosures normally included in financial statements prepared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2020 included in the Company’s Annual Report on Form 10-K, as filed with the SEC on March 4, 2021. The accompanying condensed consolidated balance sheet at December 31, 2020 has been derived from the audited consolidated balance sheet at December 31, 2020 contained in the above referenced Form 10-K. Results of operations for interim periods are not necessarily indicative of the results of operations for a full year.</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The Company has one wholly-owned subsidiary, Wrap Reality, Inc., formed in December 2020, and has commenced selling its virtual reality training system primarily targeting law enforcement and security agencies. The condensed consolidated financial statements include the accounts of this subsidiary after elimination of intercompany transactions and accounts.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6,146,636 shares of Common Stock were outstanding at June 30, 2021. These securities are not included in the computation of diluted net loss per common share for the periods presented as their inclusion would be antidilutive due to losses incurred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Exit Activity Expenses</w:t>
      </w:r>
    </w:p>
    <w:p>
      <w:pPr>
        <w:spacing w:after="0" w:line="225"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During the second quarter ended June 30, 2021 the Company recorded $747 of product line exit costs related to the planned wind down and closure of the BolaWrap 100 product line related to a shift in production efforts to a new generation product requiring continued development, new tooling, new production equipment and processes and additional licensing. These non-cash inventory costs included end of life raw material write offs of $531 and tooling retirement costs of $106. An additional $110 has been recorded in accrued liabilities as a reserve for estimated non-cancelable raw material purchase commitments. These cost were recorded as a component of cost of revenues. There was no such expense recorded during the three and six months ended June 30, 2020. Development and start-up expense of new products are expensed as incurred except for capitalized equipment and tooling.</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Adopted the First Quarter of 2021:</w:t>
      </w:r>
    </w:p>
    <w:p>
      <w:pPr>
        <w:spacing w:after="0" w:line="225" w:lineRule="exact"/>
        <w:rPr>
          <w:sz w:val="20"/>
          <w:szCs w:val="20"/>
          <w:color w:val="auto"/>
        </w:rPr>
      </w:pPr>
    </w:p>
    <w:p>
      <w:pPr>
        <w:jc w:val="both"/>
        <w:ind w:left="420"/>
        <w:spacing w:after="0" w:line="279" w:lineRule="auto"/>
        <w:rPr>
          <w:sz w:val="20"/>
          <w:szCs w:val="20"/>
          <w:color w:val="auto"/>
        </w:rPr>
      </w:pPr>
      <w:r>
        <w:rPr>
          <w:rFonts w:ascii="Arial" w:cs="Arial" w:eastAsia="Arial" w:hAnsi="Arial"/>
          <w:sz w:val="17"/>
          <w:szCs w:val="17"/>
          <w:color w:val="auto"/>
        </w:rPr>
        <w:t xml:space="preserve">In December 2019, the FASB issued Accounting Standards Update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740</w:t>
      </w:r>
      <w:r>
        <w:rPr>
          <w:rFonts w:ascii="Arial" w:cs="Arial" w:eastAsia="Arial" w:hAnsi="Arial"/>
          <w:sz w:val="17"/>
          <w:szCs w:val="17"/>
          <w:i w:val="1"/>
          <w:iCs w:val="1"/>
          <w:color w:val="auto"/>
        </w:rPr>
        <w:t>): 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w:t>
      </w:r>
      <w:r>
        <w:rPr>
          <w:rFonts w:ascii="Arial" w:cs="Arial" w:eastAsia="Arial" w:hAnsi="Arial"/>
          <w:sz w:val="17"/>
          <w:szCs w:val="17"/>
          <w:i w:val="1"/>
          <w:iCs w:val="1"/>
          <w:color w:val="auto"/>
        </w:rPr>
        <w:t>ASU 2019-12</w:t>
      </w:r>
      <w:r>
        <w:rPr>
          <w:rFonts w:ascii="Arial" w:cs="Arial" w:eastAsia="Arial" w:hAnsi="Arial"/>
          <w:sz w:val="17"/>
          <w:szCs w:val="17"/>
          <w:color w:val="auto"/>
        </w:rPr>
        <w:t>”), which is intended to simplify various aspects related to accounting for income taxes. ASU 2019-12 removes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to the general principles in Topic 740 and also clarifies and amends existing guidance to improve consistent application. We adopted ASU 2019-12 in the first quarter ended March 31, 2021 and it did not have a significant impact on our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Pronouncements:</w:t>
      </w:r>
    </w:p>
    <w:p>
      <w:pPr>
        <w:spacing w:after="0" w:line="225"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color w:val="auto"/>
        </w:rPr>
        <w:t xml:space="preserve">In August 2020, the FASB issued Accounting Standards Update (“ASU”) 2020-06, </w:t>
      </w:r>
      <w:r>
        <w:rPr>
          <w:rFonts w:ascii="Arial" w:cs="Arial" w:eastAsia="Arial" w:hAnsi="Arial"/>
          <w:sz w:val="16"/>
          <w:szCs w:val="16"/>
          <w:i w:val="1"/>
          <w:iCs w:val="1"/>
          <w:color w:val="auto"/>
        </w:rPr>
        <w:t>Debt—Debt with Conversion and Other Options (“Subtopic 470-20”) and Derivatives and Hedging—Contracts in Entity’s Own Equity “(Subtopic 815-40”): Accounting for Convertible Instruments and Contracts in an Entity’s Own Equity</w:t>
      </w:r>
      <w:r>
        <w:rPr>
          <w:rFonts w:ascii="Arial" w:cs="Arial" w:eastAsia="Arial" w:hAnsi="Arial"/>
          <w:sz w:val="16"/>
          <w:szCs w:val="16"/>
          <w:color w:val="auto"/>
        </w:rPr>
        <w:t>, which simplifies accounting for convertible instruments by removing major separation models required under current U.S.</w:t>
      </w:r>
    </w:p>
    <w:p>
      <w:pPr>
        <w:sectPr>
          <w:pgSz w:w="11900" w:h="16838" w:orient="portrait"/>
          <w:cols w:equalWidth="0" w:num="1">
            <w:col w:w="11240"/>
          </w:cols>
          <w:pgMar w:left="320" w:top="125" w:right="339" w:bottom="0" w:gutter="0" w:footer="0" w:header="0"/>
        </w:sectPr>
      </w:pPr>
    </w:p>
    <w:bookmarkStart w:id="6" w:name="page7"/>
    <w:bookmarkEnd w:id="6"/>
    <w:p>
      <w:pPr>
        <w:jc w:val="both"/>
        <w:ind w:left="420"/>
        <w:spacing w:after="0" w:line="259" w:lineRule="auto"/>
        <w:rPr>
          <w:sz w:val="20"/>
          <w:szCs w:val="20"/>
          <w:color w:val="auto"/>
        </w:rPr>
      </w:pPr>
      <w:r>
        <w:rPr>
          <w:rFonts w:ascii="Arial" w:cs="Arial" w:eastAsia="Arial" w:hAnsi="Arial"/>
          <w:sz w:val="18"/>
          <w:szCs w:val="18"/>
          <w:color w:val="auto"/>
        </w:rPr>
        <w:t>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2021, with early adoption permitted. The Company is currently evaluating the impact of this standard on its financial statements and related disclosures.</w:t>
      </w:r>
    </w:p>
    <w:p>
      <w:pPr>
        <w:spacing w:after="0" w:line="187" w:lineRule="exact"/>
        <w:rPr>
          <w:sz w:val="20"/>
          <w:szCs w:val="20"/>
          <w:color w:val="auto"/>
        </w:rPr>
      </w:pPr>
    </w:p>
    <w:p>
      <w:pPr>
        <w:jc w:val="both"/>
        <w:ind w:left="420" w:right="20"/>
        <w:spacing w:after="0" w:line="308" w:lineRule="auto"/>
        <w:rPr>
          <w:sz w:val="20"/>
          <w:szCs w:val="20"/>
          <w:color w:val="auto"/>
        </w:rPr>
      </w:pPr>
      <w:r>
        <w:rPr>
          <w:rFonts w:ascii="Arial" w:cs="Arial" w:eastAsia="Arial" w:hAnsi="Arial"/>
          <w:sz w:val="17"/>
          <w:szCs w:val="17"/>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4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EXPENSE</w:t>
      </w:r>
    </w:p>
    <w:p>
      <w:pPr>
        <w:spacing w:after="0" w:line="229"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 xml:space="preserve">On January 1, 2018, the Company adopted FASB ASC Topic 606,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and, as it had no prior revenue or contracts with customers, there was no transition required nor any impact on prior results. Topic 606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8"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Company enters into contracts that include various combinations of products, accessories, software and services, each of which are generally distinct and are accounted for as separate performance obligations.</w:t>
      </w:r>
    </w:p>
    <w:p>
      <w:pPr>
        <w:spacing w:after="0" w:line="170" w:lineRule="exact"/>
        <w:rPr>
          <w:sz w:val="20"/>
          <w:szCs w:val="20"/>
          <w:color w:val="auto"/>
        </w:rPr>
      </w:pPr>
    </w:p>
    <w:p>
      <w:pPr>
        <w:jc w:val="both"/>
        <w:ind w:left="420"/>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7"/>
          <w:szCs w:val="17"/>
          <w:i w:val="1"/>
          <w:iCs w:val="1"/>
          <w:color w:val="auto"/>
        </w:rPr>
        <w:t>SSP</w:t>
      </w:r>
      <w:r>
        <w:rPr>
          <w:rFonts w:ascii="Arial" w:cs="Arial" w:eastAsia="Arial" w:hAnsi="Arial"/>
          <w:sz w:val="17"/>
          <w:szCs w:val="17"/>
          <w:color w:val="auto"/>
        </w:rPr>
        <w:t xml:space="preserve">” or </w:t>
      </w:r>
      <w:r>
        <w:rPr>
          <w:rFonts w:ascii="Arial" w:cs="Arial" w:eastAsia="Arial" w:hAnsi="Arial"/>
          <w:sz w:val="17"/>
          <w:szCs w:val="17"/>
          <w:i w:val="1"/>
          <w:iCs w:val="1"/>
          <w:color w:val="auto"/>
        </w:rPr>
        <w:t>“SSPs”</w:t>
      </w:r>
      <w:r>
        <w:rPr>
          <w:rFonts w:ascii="Arial" w:cs="Arial" w:eastAsia="Arial" w:hAnsi="Arial"/>
          <w:sz w:val="17"/>
          <w:szCs w:val="17"/>
          <w:color w:val="auto"/>
        </w:rPr>
        <w:t>) of each distinct good or service in a contract. The Company determines SSPs based on the relative SSP. If the SSP is not observable through past transactions, the Company estimates the SSP considering available information such as market conditions and internally approved pricing guidelines related to the performance obligations.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11" w:lineRule="exact"/>
        <w:rPr>
          <w:sz w:val="20"/>
          <w:szCs w:val="20"/>
          <w:color w:val="auto"/>
        </w:rPr>
      </w:pPr>
    </w:p>
    <w:p>
      <w:pPr>
        <w:jc w:val="both"/>
        <w:ind w:left="420"/>
        <w:spacing w:after="0" w:line="290" w:lineRule="auto"/>
        <w:rPr>
          <w:sz w:val="20"/>
          <w:szCs w:val="20"/>
          <w:color w:val="auto"/>
        </w:rPr>
      </w:pPr>
      <w:r>
        <w:rPr>
          <w:rFonts w:ascii="Arial" w:cs="Arial" w:eastAsia="Arial" w:hAnsi="Arial"/>
          <w:sz w:val="16"/>
          <w:szCs w:val="16"/>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8"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June 30, 2021 the Company’s deferred revenue totaled $186, of which $105 related to virtual reality training and $81 related to BolaWrap extended product warranties and training services. At December 31, 2020 the Company’s deferred revenue totaled $16, of which $14 related to virtual reality training and $2 related to extended product warranties.</w:t>
      </w:r>
    </w:p>
    <w:p>
      <w:pPr>
        <w:spacing w:after="0" w:line="192"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Company may also receive consideration, per terms of a contract, from customers prior to transferring goods to the customer. The Company records customer deposits as a contract liability.</w:t>
      </w:r>
    </w:p>
    <w:p>
      <w:pPr>
        <w:spacing w:after="0" w:line="170"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June 30, 2021 and December 31, 2020. The Company applies the practical expedient to expense any sales commissions related to performance obligations with an amortization of one year or less when incurred within selling, general and administrative expense.</w:t>
      </w:r>
    </w:p>
    <w:p>
      <w:pPr>
        <w:spacing w:after="0" w:line="188"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Estimated expense for the Company’s standard one-year warranty are charged to cost of products sold when revenue is recorded for the related product. Royalties are also charged to cost of products sold.</w:t>
      </w:r>
    </w:p>
    <w:p>
      <w:pPr>
        <w:spacing w:after="0" w:line="16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420" w:right="20"/>
        <w:spacing w:after="0" w:line="311" w:lineRule="auto"/>
        <w:rPr>
          <w:sz w:val="20"/>
          <w:szCs w:val="20"/>
          <w:color w:val="auto"/>
        </w:rPr>
      </w:pPr>
      <w:r>
        <w:rPr>
          <w:rFonts w:ascii="Arial" w:cs="Arial" w:eastAsia="Arial" w:hAnsi="Arial"/>
          <w:sz w:val="16"/>
          <w:szCs w:val="16"/>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w:t>
      </w:r>
    </w:p>
    <w:p>
      <w:pPr>
        <w:sectPr>
          <w:pgSz w:w="11900" w:h="16838" w:orient="portrait"/>
          <w:cols w:equalWidth="0" w:num="1">
            <w:col w:w="11240"/>
          </w:cols>
          <w:pgMar w:left="320" w:top="125" w:right="339" w:bottom="0" w:gutter="0" w:footer="0" w:header="0"/>
        </w:sectPr>
      </w:pPr>
    </w:p>
    <w:bookmarkStart w:id="7" w:name="page8"/>
    <w:bookmarkEnd w:id="7"/>
    <w:p>
      <w:pPr>
        <w:spacing w:after="0" w:line="62" w:lineRule="exact"/>
        <w:rPr>
          <w:sz w:val="20"/>
          <w:szCs w:val="20"/>
          <w:color w:val="auto"/>
        </w:rPr>
      </w:pPr>
    </w:p>
    <w:p>
      <w:pPr>
        <w:jc w:val="both"/>
        <w:ind w:left="420"/>
        <w:spacing w:after="0" w:line="275" w:lineRule="auto"/>
        <w:rPr>
          <w:sz w:val="20"/>
          <w:szCs w:val="20"/>
          <w:color w:val="auto"/>
        </w:rPr>
      </w:pPr>
      <w:r>
        <w:rPr>
          <w:rFonts w:ascii="Arial" w:cs="Arial" w:eastAsia="Arial" w:hAnsi="Arial"/>
          <w:sz w:val="17"/>
          <w:szCs w:val="17"/>
          <w:color w:val="auto"/>
        </w:rPr>
        <w:t>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ind w:left="42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Instruments Measured at Fair Value on a Recurring Basis</w:t>
      </w:r>
    </w:p>
    <w:p>
      <w:pPr>
        <w:spacing w:after="0" w:line="225" w:lineRule="exact"/>
        <w:rPr>
          <w:sz w:val="20"/>
          <w:szCs w:val="20"/>
          <w:color w:val="auto"/>
        </w:rPr>
      </w:pPr>
    </w:p>
    <w:p>
      <w:pPr>
        <w:jc w:val="both"/>
        <w:ind w:left="420" w:right="20"/>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1 because they are valued using quoted market prices.</w:t>
      </w:r>
    </w:p>
    <w:p>
      <w:pPr>
        <w:spacing w:after="0" w:line="170"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June 30, 2021 and December 31, 2020.</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8"/>
              </w:rPr>
              <w:t>As of June 30, 2021</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Adjusted</w:t>
            </w:r>
          </w:p>
        </w:tc>
        <w:tc>
          <w:tcPr>
            <w:tcW w:w="180" w:type="dxa"/>
            <w:vAlign w:val="bottom"/>
          </w:tcPr>
          <w:p>
            <w:pPr>
              <w:spacing w:after="0"/>
              <w:rPr>
                <w:sz w:val="16"/>
                <w:szCs w:val="16"/>
                <w:color w:val="auto"/>
              </w:rPr>
            </w:pPr>
          </w:p>
        </w:tc>
        <w:tc>
          <w:tcPr>
            <w:tcW w:w="110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U.S. Treasury securities considered cash equivalents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in short-term investments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30,002</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30,024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40"/>
        </w:trPr>
        <w:tc>
          <w:tcPr>
            <w:tcW w:w="54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As of December 31, 2020</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Adjusted</w:t>
            </w:r>
          </w:p>
        </w:tc>
        <w:tc>
          <w:tcPr>
            <w:tcW w:w="180" w:type="dxa"/>
            <w:vAlign w:val="bottom"/>
          </w:tcPr>
          <w:p>
            <w:pPr>
              <w:spacing w:after="0"/>
              <w:rPr>
                <w:sz w:val="16"/>
                <w:szCs w:val="16"/>
                <w:color w:val="auto"/>
              </w:rPr>
            </w:pPr>
          </w:p>
        </w:tc>
        <w:tc>
          <w:tcPr>
            <w:tcW w:w="110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U.S. Treasury securities considered cash equivalents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in short-term investments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41,012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41,027</w:t>
            </w:r>
          </w:p>
        </w:tc>
        <w:tc>
          <w:tcPr>
            <w:tcW w:w="0" w:type="dxa"/>
            <w:vAlign w:val="bottom"/>
          </w:tcPr>
          <w:p>
            <w:pPr>
              <w:spacing w:after="0"/>
              <w:rPr>
                <w:sz w:val="1"/>
                <w:szCs w:val="1"/>
                <w:color w:val="auto"/>
              </w:rPr>
            </w:pPr>
          </w:p>
        </w:tc>
      </w:tr>
      <w:tr>
        <w:trPr>
          <w:trHeight w:val="40"/>
        </w:trPr>
        <w:tc>
          <w:tcPr>
            <w:tcW w:w="54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As of June 30, 2021, $13 was recorded to accumulated other comprehensive gain.</w:t>
      </w:r>
    </w:p>
    <w:p>
      <w:pPr>
        <w:spacing w:after="0" w:line="17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4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Work in process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185"/>
        </w:trPr>
        <w:tc>
          <w:tcPr>
            <w:tcW w:w="44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240"/>
          </w:cols>
          <w:pgMar w:left="320" w:top="125" w:right="339" w:bottom="0" w:gutter="0" w:footer="0" w:header="0"/>
        </w:sectPr>
      </w:pPr>
    </w:p>
    <w:bookmarkStart w:id="8" w:name="page9"/>
    <w:bookmarkEnd w:id="8"/>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Inventories, net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r>
      <w:tr>
        <w:trPr>
          <w:trHeight w:val="20"/>
        </w:trPr>
        <w:tc>
          <w:tcPr>
            <w:tcW w:w="7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part of product line exit costs (see Note 1) end of life raw material costs aggregating $531 were written off during the quarter ended 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98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59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consisted of the following:</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December</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Tooling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Furniture, fixtures and improvements</w:t>
            </w:r>
          </w:p>
        </w:tc>
        <w:tc>
          <w:tcPr>
            <w:tcW w:w="2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40"/>
        </w:trPr>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8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Depreciation expense was $66 and $122 for the three and six months ended June 30, 2021 and was $25 and $47 for the three and six months ended June 30, 2020,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part of product line exit costs (see Note 1) unamortized production tooling costs of $106 were recorded during the quarter ended June 30,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57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consisted of the following:</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December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Amortizable intangible assets:</w:t>
            </w:r>
          </w:p>
        </w:tc>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Patents</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software</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amortizable</w:t>
            </w:r>
          </w:p>
        </w:tc>
        <w:tc>
          <w:tcPr>
            <w:tcW w:w="2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Indefinite life assets (non-amortizable)</w:t>
            </w:r>
          </w:p>
        </w:tc>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intangible assets, net</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Amortization expense was $49 and $97 for the three and six months ended June 30, 2021 and was $3 and $5 for the three and six months ended June 30, 2020, respectively.</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At June 30, 2021, future amortization expense is as follows:</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2021 (6 months)</w:t>
            </w:r>
          </w:p>
        </w:tc>
        <w:tc>
          <w:tcPr>
            <w:tcW w:w="2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1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2022</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1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1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1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1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2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r>
      <w:tr>
        <w:trPr>
          <w:trHeight w:val="20"/>
        </w:trPr>
        <w:tc>
          <w:tcPr>
            <w:tcW w:w="160" w:type="dxa"/>
            <w:vAlign w:val="bottom"/>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Accounts payable includes $119 and $53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June 30, 2021 and December 31, 2020, respectively. Accounts payable at December 31, 2020 also included $10 due to related party V3 Capital Partners, LLC. See Notes 12 and 13 for additional related party information.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consist of the following:</w:t>
      </w:r>
    </w:p>
    <w:p>
      <w:pPr>
        <w:sectPr>
          <w:pgSz w:w="11900" w:h="16838"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w:t>
      </w:r>
    </w:p>
    <w:p>
      <w:pPr>
        <w:sectPr>
          <w:pgSz w:w="11900" w:h="16838" w:orient="portrait"/>
          <w:cols w:equalWidth="0" w:num="2">
            <w:col w:w="9240" w:space="720"/>
            <w:col w:w="1280"/>
          </w:cols>
          <w:pgMar w:left="320" w:top="140" w:right="339" w:bottom="0" w:gutter="0" w:footer="0" w:header="0"/>
          <w:type w:val="continuous"/>
        </w:sectPr>
      </w:pPr>
    </w:p>
    <w:bookmarkStart w:id="9" w:name="page10"/>
    <w:bookmarkEnd w:id="9"/>
    <w:tbl>
      <w:tblPr>
        <w:tblLayout w:type="fixed"/>
        <w:tblInd w:w="58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3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compensation</w:t>
            </w:r>
          </w:p>
        </w:tc>
        <w:tc>
          <w:tcPr>
            <w:tcW w:w="2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 purchase reserve</w:t>
            </w:r>
          </w:p>
        </w:tc>
        <w:tc>
          <w:tcPr>
            <w:tcW w:w="2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Warranty costs</w:t>
            </w:r>
          </w:p>
        </w:tc>
        <w:tc>
          <w:tcPr>
            <w:tcW w:w="2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Consulting costs</w:t>
            </w:r>
          </w:p>
        </w:tc>
        <w:tc>
          <w:tcPr>
            <w:tcW w:w="2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Taxes and other</w:t>
            </w:r>
          </w:p>
        </w:tc>
        <w:tc>
          <w:tcPr>
            <w:tcW w:w="28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2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Product line exit expense (see Note 1) includes a reserve of $110 for non-cancelable raw material purchase commitments.</w:t>
      </w:r>
    </w:p>
    <w:p>
      <w:pPr>
        <w:spacing w:after="0" w:line="2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The Company adopted ASU 2016-02, Leases (Topic 842) on January 1, 2019 using the modified retrospective approach. The Company has elected not to apply ASC Topic 842 to arrangements with lease terms of 12 months or less.</w:t>
      </w:r>
    </w:p>
    <w:p>
      <w:pPr>
        <w:spacing w:after="0" w:line="17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Amortization of Right of Use operating lease assets was $20 and $46 for the three and six months ended June 30, 2020 and was $30 and $60 for the three and six months ended June 30, 2020, respectively.</w:t>
      </w:r>
    </w:p>
    <w:p>
      <w:pPr>
        <w:spacing w:after="0" w:line="17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Operating lease expense for capitalized operating leases included in operating activities was $23 and $50 for the three and six months ended June 30, 2021 and was $34 and $69 for the three and six months ended June 30, 2020, respectively.</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lease obligations recorded on the balance sheet at June 30, 2021 are:</w:t>
            </w: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1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Lease Liability</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0"/>
        </w:trPr>
        <w:tc>
          <w:tcPr>
            <w:tcW w:w="16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Future lease payments included in the measurement of lease liabilities on the balance sheet at June 30, 2021 for future periods are as follows: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2021 (6 months)</w:t>
            </w:r>
          </w:p>
        </w:tc>
        <w:tc>
          <w:tcPr>
            <w:tcW w:w="3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minimum lease payments</w:t>
            </w:r>
          </w:p>
        </w:tc>
        <w:tc>
          <w:tcPr>
            <w:tcW w:w="3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59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remaining lease term is 1.08 years and the weighted average discount rate is 7.0%.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finance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The Company’s other liabilities at June 30, 2021 included operating lease liabilities (see Note 8) and short-term business acquisition liabilities totaling $97 including $23 related to contingent consideration. Other liabilities at December 31, 2020 included operating lease liabilities (see Note 8) and business acquisition liabilities totaling $298 of which $275 related to short term business liabilities and $23 related to contingent consideration recorded as a long-term business acquisition liability on our balance sheet.</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5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980" w:type="dxa"/>
            <w:vAlign w:val="bottom"/>
            <w:gridSpan w:val="3"/>
          </w:tcPr>
          <w:p>
            <w:pPr>
              <w:spacing w:after="0"/>
              <w:rPr>
                <w:sz w:val="20"/>
                <w:szCs w:val="20"/>
                <w:color w:val="auto"/>
              </w:rPr>
            </w:pPr>
            <w:r>
              <w:rPr>
                <w:rFonts w:ascii="Arial" w:cs="Arial" w:eastAsia="Arial" w:hAnsi="Arial"/>
                <w:sz w:val="18"/>
                <w:szCs w:val="18"/>
                <w:color w:val="auto"/>
              </w:rPr>
              <w:t>Summary of Stock Purchase Warrants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72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980" w:type="dxa"/>
            <w:vAlign w:val="bottom"/>
            <w:gridSpan w:val="3"/>
          </w:tcPr>
          <w:p>
            <w:pPr>
              <w:spacing w:after="0"/>
              <w:rPr>
                <w:sz w:val="20"/>
                <w:szCs w:val="20"/>
                <w:color w:val="auto"/>
              </w:rPr>
            </w:pPr>
            <w:r>
              <w:rPr>
                <w:rFonts w:ascii="Arial" w:cs="Arial" w:eastAsia="Arial" w:hAnsi="Arial"/>
                <w:sz w:val="18"/>
                <w:szCs w:val="18"/>
                <w:color w:val="auto"/>
              </w:rPr>
              <w:t>The following table summarizes warrant activity during the six months ended June 30, 2021: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34"/>
        </w:trPr>
        <w:tc>
          <w:tcPr>
            <w:tcW w:w="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December 31, 2020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3,206,910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1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Stock purchase warrants issued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purchase warrants exercised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(1,815,012)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1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Stock purchase warrants expired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30"/>
        </w:trPr>
        <w:tc>
          <w:tcPr>
            <w:tcW w:w="160" w:type="dxa"/>
            <w:vAlign w:val="bottom"/>
          </w:tcPr>
          <w:p>
            <w:pPr>
              <w:spacing w:after="0"/>
              <w:rPr>
                <w:sz w:val="20"/>
                <w:szCs w:val="20"/>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June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line="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outstanding Common Stock purchase warrants as of June 30, 2021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r>
      <w:tr>
        <w:trPr>
          <w:trHeight w:val="234"/>
        </w:trPr>
        <w:tc>
          <w:tcPr>
            <w:tcW w:w="580" w:type="dxa"/>
            <w:vAlign w:val="bottom"/>
          </w:tcPr>
          <w:p>
            <w:pPr>
              <w:spacing w:after="0"/>
              <w:rPr>
                <w:sz w:val="20"/>
                <w:szCs w:val="20"/>
                <w:color w:val="auto"/>
              </w:rPr>
            </w:pPr>
          </w:p>
        </w:tc>
        <w:tc>
          <w:tcPr>
            <w:tcW w:w="66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6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Purchase Warrants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84"/>
              </w:rPr>
              <w:t>June 1,</w:t>
            </w:r>
          </w:p>
        </w:tc>
      </w:tr>
      <w:tr>
        <w:trPr>
          <w:trHeight w:val="230"/>
        </w:trPr>
        <w:tc>
          <w:tcPr>
            <w:tcW w:w="58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1,391,667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20"/>
                <w:szCs w:val="20"/>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11.   SHARE-BASED COMPENSATION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left="420"/>
        <w:spacing w:after="0" w:line="273" w:lineRule="auto"/>
        <w:rPr>
          <w:sz w:val="20"/>
          <w:szCs w:val="20"/>
          <w:color w:val="auto"/>
        </w:rPr>
      </w:pPr>
      <w:r>
        <w:rPr>
          <w:rFonts w:ascii="Arial" w:cs="Arial" w:eastAsia="Arial" w:hAnsi="Arial"/>
          <w:sz w:val="17"/>
          <w:szCs w:val="17"/>
          <w:color w:val="auto"/>
        </w:rPr>
        <w:t>On March 31, 2017, the Company adopted, and the stockholders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 In June 2021, the stockholders ratified an increase in the 2017 Stock Incentive Plan authorizing an additional 1,500,000 shares of Common Stock to a total of 7,500,000 shares. At June 30, 2021 there were 1,755,338 shares of Common Stock available for grant under the Plan.</w:t>
      </w:r>
    </w:p>
    <w:p>
      <w:pPr>
        <w:spacing w:after="0" w:line="178"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Company generally recognizes share-based compensation expense on the grant date and over the period of vesting or period that services will be provided.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 option activity for the six months ended June 30, 2021:</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Options 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ind w:left="260"/>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3,931,586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847,500</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Forfeited, cancelled, expired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(209,799)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4,412,221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Exercisable June 30,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2,316,429</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Options outstanding at December 31, 2020 and June 30, 2021 include 100,000 of performance-based options exercisable at $5.46 per share with vesting based on achieving certain virtual reality revenue targets by December 1, 2024. The Company has not recorded share-based compensation expense related to these options. All other options are service-based.</w:t>
      </w:r>
    </w:p>
    <w:p>
      <w:pPr>
        <w:spacing w:after="0" w:line="184"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1"/>
              </w:rPr>
              <w:t>For the Six Months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b w:val="1"/>
                <w:bCs w:val="1"/>
                <w:color w:val="auto"/>
                <w:w w:val="89"/>
              </w:rPr>
              <w:t>Ended June 30,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0.92%</w:t>
            </w:r>
          </w:p>
        </w:tc>
        <w:tc>
          <w:tcPr>
            <w:tcW w:w="6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0.42%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 years</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5.70</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6.03</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2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2.46</w:t>
            </w:r>
          </w:p>
        </w:tc>
        <w:tc>
          <w:tcPr>
            <w:tcW w:w="680" w:type="dxa"/>
            <w:vAlign w:val="bottom"/>
          </w:tcPr>
          <w:p>
            <w:pPr>
              <w:jc w:val="right"/>
              <w:ind w:right="518"/>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1.86</w:t>
            </w:r>
          </w:p>
        </w:tc>
      </w:tr>
    </w:tbl>
    <w:p>
      <w:pPr>
        <w:spacing w:after="0" w:line="187" w:lineRule="exact"/>
        <w:rPr>
          <w:sz w:val="20"/>
          <w:szCs w:val="20"/>
          <w:color w:val="auto"/>
        </w:rPr>
      </w:pPr>
    </w:p>
    <w:p>
      <w:pPr>
        <w:jc w:val="both"/>
        <w:ind w:left="420"/>
        <w:spacing w:after="0" w:line="301" w:lineRule="auto"/>
        <w:rPr>
          <w:sz w:val="20"/>
          <w:szCs w:val="20"/>
          <w:color w:val="auto"/>
        </w:rPr>
      </w:pPr>
      <w:r>
        <w:rPr>
          <w:rFonts w:ascii="Arial" w:cs="Arial" w:eastAsia="Arial" w:hAnsi="Arial"/>
          <w:sz w:val="16"/>
          <w:szCs w:val="16"/>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57" w:lineRule="exact"/>
        <w:rPr>
          <w:sz w:val="20"/>
          <w:szCs w:val="20"/>
          <w:color w:val="auto"/>
        </w:rPr>
      </w:pPr>
    </w:p>
    <w:p>
      <w:pPr>
        <w:jc w:val="both"/>
        <w:ind w:left="420"/>
        <w:spacing w:after="0" w:line="279" w:lineRule="auto"/>
        <w:rPr>
          <w:sz w:val="20"/>
          <w:szCs w:val="20"/>
          <w:color w:val="auto"/>
        </w:rPr>
      </w:pPr>
      <w:r>
        <w:rPr>
          <w:rFonts w:ascii="Arial" w:cs="Arial" w:eastAsia="Arial" w:hAnsi="Arial"/>
          <w:sz w:val="17"/>
          <w:szCs w:val="17"/>
          <w:color w:val="auto"/>
        </w:rPr>
        <w:t>The risk-free interest rate assumption is based upon observed interest rates on zero coupon U.S. Treasury bonds whose maturity period is appropriate for the term of the options. The Company accounts for actual forfeitures as they occur.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72"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72" w:orient="portrait"/>
          <w:cols w:equalWidth="0" w:num="1">
            <w:col w:w="11240"/>
          </w:cols>
          <w:pgMar w:left="320" w:top="125" w:right="339" w:bottom="0" w:gutter="0" w:footer="0" w:header="0"/>
          <w:type w:val="continuous"/>
        </w:sectPr>
      </w:pPr>
    </w:p>
    <w:bookmarkStart w:id="11" w:name="page12"/>
    <w:bookmarkEnd w:id="11"/>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The following table summarizes RSU activity under the Plan for the six months ended June 30, 2021:</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Service-</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8"/>
        </w:trPr>
        <w:tc>
          <w:tcPr>
            <w:tcW w:w="67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Based</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Vesting</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RSU's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Granted - service based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289,890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Forfeited and cancelled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(32,874)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June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342,748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1.9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Subsequent Stock Exercises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July 2021 through the date of this report a total of 526,303 outstanding stock options were exercised for cash proceeds of $908.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recorded share-based compensation for options and RSUs in its statements of operations for the relevant periods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8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3"/>
              </w:rPr>
              <w:t>Three Months Ended June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10"/>
        </w:trPr>
        <w:tc>
          <w:tcPr>
            <w:tcW w:w="3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1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420"/>
        <w:spacing w:after="0" w:line="286" w:lineRule="auto"/>
        <w:rPr>
          <w:sz w:val="20"/>
          <w:szCs w:val="20"/>
          <w:color w:val="auto"/>
        </w:rPr>
      </w:pPr>
      <w:r>
        <w:rPr>
          <w:rFonts w:ascii="Arial" w:cs="Arial" w:eastAsia="Arial" w:hAnsi="Arial"/>
          <w:sz w:val="17"/>
          <w:szCs w:val="17"/>
          <w:color w:val="auto"/>
        </w:rPr>
        <w:t>As of June 30, 2021, total estimated compensation expense of stock options granted and outstanding but not yet vested was $4,983 which is expected to be recognized over the weighted average period of 2.4 years. As of June 30, 2021, total estimated compensation cost of RSUs granted and outstanding but not yet vested was $1,759 which is expected to be recognized over the weighted average period of 1.9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Facility Leases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Related Party Technology License Agreement</w:t>
      </w:r>
    </w:p>
    <w:p>
      <w:pPr>
        <w:spacing w:after="0" w:line="23" w:lineRule="exact"/>
        <w:rPr>
          <w:sz w:val="20"/>
          <w:szCs w:val="20"/>
          <w:color w:val="auto"/>
        </w:rPr>
      </w:pPr>
    </w:p>
    <w:p>
      <w:pPr>
        <w:jc w:val="both"/>
        <w:ind w:left="420"/>
        <w:spacing w:after="0" w:line="252" w:lineRule="auto"/>
        <w:rPr>
          <w:sz w:val="20"/>
          <w:szCs w:val="20"/>
          <w:color w:val="auto"/>
        </w:rPr>
      </w:pPr>
      <w:r>
        <w:rPr>
          <w:rFonts w:ascii="Arial" w:cs="Arial" w:eastAsia="Arial" w:hAnsi="Arial"/>
          <w:sz w:val="18"/>
          <w:szCs w:val="18"/>
          <w:color w:val="auto"/>
        </w:rPr>
        <w:t>The Company is obligated to pay royalties and pay development and patent costs pursuant to that certain exclusive Amended and Restated Intellectual Property License Agreement dated as of September 30, 2016, by and between the Company and Syzygy (the “</w:t>
      </w:r>
      <w:r>
        <w:rPr>
          <w:rFonts w:ascii="Arial" w:cs="Arial" w:eastAsia="Arial" w:hAnsi="Arial"/>
          <w:sz w:val="18"/>
          <w:szCs w:val="18"/>
          <w:i w:val="1"/>
          <w:iCs w:val="1"/>
          <w:color w:val="auto"/>
        </w:rPr>
        <w:t>Syzygy Agreement</w:t>
      </w:r>
      <w:r>
        <w:rPr>
          <w:rFonts w:ascii="Arial" w:cs="Arial" w:eastAsia="Arial" w:hAnsi="Arial"/>
          <w:sz w:val="18"/>
          <w:szCs w:val="18"/>
          <w:color w:val="auto"/>
        </w:rPr>
        <w:t>”), a company owned and controlled by stockholders/officers Messrs. Elwood Norris and James Barnes, both of whom are stockholders and officers of the Company. The Syzygy Agreement provides for royalty payments of 4% of revenue from products employing the licensed ensnarement device technology up to an aggregate of $1,000,000 in royalties or until September 30, 2026, whichever occurs earlier. The Company recorded $68 and $119 for royalties incurred under the Syzygy Agreement during the three and six months ended June 30, 2021 and $28 and $53 incurred for the three and six months ended June 30, 2020, respectively.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 Commitments</w:t>
      </w:r>
    </w:p>
    <w:p>
      <w:pPr>
        <w:spacing w:after="0" w:line="23" w:lineRule="exact"/>
        <w:rPr>
          <w:sz w:val="20"/>
          <w:szCs w:val="20"/>
          <w:color w:val="auto"/>
        </w:rPr>
      </w:pPr>
    </w:p>
    <w:p>
      <w:pPr>
        <w:jc w:val="both"/>
        <w:ind w:left="420" w:right="20"/>
        <w:spacing w:after="0" w:line="260" w:lineRule="auto"/>
        <w:rPr>
          <w:sz w:val="20"/>
          <w:szCs w:val="20"/>
          <w:color w:val="auto"/>
        </w:rPr>
      </w:pPr>
      <w:r>
        <w:rPr>
          <w:rFonts w:ascii="Arial" w:cs="Arial" w:eastAsia="Arial" w:hAnsi="Arial"/>
          <w:sz w:val="18"/>
          <w:szCs w:val="18"/>
          <w:color w:val="auto"/>
        </w:rPr>
        <w:t>At June 30, 2021 the Company was committed for approximately $1,005 for future component deliveries and contract services that are generally subject to modification or rescheduling in the normal course of business.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Securities Litigation</w:t>
      </w:r>
    </w:p>
    <w:p>
      <w:pPr>
        <w:spacing w:after="0" w:line="23" w:lineRule="exact"/>
        <w:rPr>
          <w:sz w:val="20"/>
          <w:szCs w:val="20"/>
          <w:color w:val="auto"/>
        </w:rPr>
      </w:pPr>
    </w:p>
    <w:p>
      <w:pPr>
        <w:jc w:val="both"/>
        <w:ind w:left="420"/>
        <w:spacing w:after="0" w:line="251" w:lineRule="auto"/>
        <w:rPr>
          <w:sz w:val="20"/>
          <w:szCs w:val="20"/>
          <w:color w:val="auto"/>
        </w:rPr>
      </w:pPr>
      <w:r>
        <w:rPr>
          <w:rFonts w:ascii="Arial" w:cs="Arial" w:eastAsia="Arial" w:hAnsi="Arial"/>
          <w:sz w:val="18"/>
          <w:szCs w:val="18"/>
          <w:color w:val="auto"/>
        </w:rPr>
        <w:t>On September 23, 2020, Carone Cobden filed a putative class action complaint against the Company, former Chief Executive Officer David Norris (“</w:t>
      </w:r>
      <w:r>
        <w:rPr>
          <w:rFonts w:ascii="Arial" w:cs="Arial" w:eastAsia="Arial" w:hAnsi="Arial"/>
          <w:sz w:val="18"/>
          <w:szCs w:val="18"/>
          <w:i w:val="1"/>
          <w:iCs w:val="1"/>
          <w:color w:val="auto"/>
        </w:rPr>
        <w:t>Norris</w:t>
      </w:r>
      <w:r>
        <w:rPr>
          <w:rFonts w:ascii="Arial" w:cs="Arial" w:eastAsia="Arial" w:hAnsi="Arial"/>
          <w:sz w:val="18"/>
          <w:szCs w:val="18"/>
          <w:color w:val="auto"/>
        </w:rPr>
        <w:t>”), Chief Financial Officer, James A. Barnes (“</w:t>
      </w:r>
      <w:r>
        <w:rPr>
          <w:rFonts w:ascii="Arial" w:cs="Arial" w:eastAsia="Arial" w:hAnsi="Arial"/>
          <w:sz w:val="18"/>
          <w:szCs w:val="18"/>
          <w:i w:val="1"/>
          <w:iCs w:val="1"/>
          <w:color w:val="auto"/>
        </w:rPr>
        <w:t>Barnes</w:t>
      </w:r>
      <w:r>
        <w:rPr>
          <w:rFonts w:ascii="Arial" w:cs="Arial" w:eastAsia="Arial" w:hAnsi="Arial"/>
          <w:sz w:val="18"/>
          <w:szCs w:val="18"/>
          <w:color w:val="auto"/>
        </w:rPr>
        <w:t>”), and President, Thomas Smith (“</w:t>
      </w:r>
      <w:r>
        <w:rPr>
          <w:rFonts w:ascii="Arial" w:cs="Arial" w:eastAsia="Arial" w:hAnsi="Arial"/>
          <w:sz w:val="18"/>
          <w:szCs w:val="18"/>
          <w:i w:val="1"/>
          <w:iCs w:val="1"/>
          <w:color w:val="auto"/>
        </w:rPr>
        <w:t>Smith</w:t>
      </w:r>
      <w:r>
        <w:rPr>
          <w:rFonts w:ascii="Arial" w:cs="Arial" w:eastAsia="Arial" w:hAnsi="Arial"/>
          <w:sz w:val="18"/>
          <w:szCs w:val="18"/>
          <w:color w:val="auto"/>
        </w:rPr>
        <w:t>”) in the United States District Court for the Central District of California, docketed as Case No. 2-20-cv-08760-DMG-PVCx (the “</w:t>
      </w:r>
      <w:r>
        <w:rPr>
          <w:rFonts w:ascii="Arial" w:cs="Arial" w:eastAsia="Arial" w:hAnsi="Arial"/>
          <w:sz w:val="18"/>
          <w:szCs w:val="18"/>
          <w:i w:val="1"/>
          <w:iCs w:val="1"/>
          <w:color w:val="auto"/>
        </w:rPr>
        <w:t>Cobden Complaint</w:t>
      </w:r>
      <w:r>
        <w:rPr>
          <w:rFonts w:ascii="Arial" w:cs="Arial" w:eastAsia="Arial" w:hAnsi="Arial"/>
          <w:sz w:val="18"/>
          <w:szCs w:val="18"/>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8"/>
          <w:szCs w:val="18"/>
          <w:i w:val="1"/>
          <w:iCs w:val="1"/>
          <w:color w:val="auto"/>
        </w:rPr>
        <w:t>BolaWrap Pilot Program</w:t>
      </w:r>
      <w:r>
        <w:rPr>
          <w:rFonts w:ascii="Arial" w:cs="Arial" w:eastAsia="Arial" w:hAnsi="Arial"/>
          <w:sz w:val="18"/>
          <w:szCs w:val="18"/>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ectPr>
          <w:pgSz w:w="11900" w:h="16895" w:orient="portrait"/>
          <w:cols w:equalWidth="0" w:num="1">
            <w:col w:w="11240"/>
          </w:cols>
          <w:pgMar w:left="320" w:top="341" w:right="33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25" w:lineRule="exact"/>
        <w:rPr>
          <w:sz w:val="20"/>
          <w:szCs w:val="20"/>
          <w:color w:val="auto"/>
        </w:rPr>
      </w:pPr>
    </w:p>
    <w:p>
      <w:pPr>
        <w:jc w:val="both"/>
        <w:ind w:left="420"/>
        <w:spacing w:after="0" w:line="291" w:lineRule="auto"/>
        <w:rPr>
          <w:sz w:val="20"/>
          <w:szCs w:val="20"/>
          <w:color w:val="auto"/>
        </w:rPr>
      </w:pPr>
      <w:r>
        <w:rPr>
          <w:rFonts w:ascii="Arial" w:cs="Arial" w:eastAsia="Arial" w:hAnsi="Arial"/>
          <w:sz w:val="16"/>
          <w:szCs w:val="16"/>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6"/>
          <w:szCs w:val="16"/>
          <w:i w:val="1"/>
          <w:iCs w:val="1"/>
          <w:color w:val="auto"/>
        </w:rPr>
        <w:t>Mercurio Complaint</w:t>
      </w:r>
      <w:r>
        <w:rPr>
          <w:rFonts w:ascii="Arial" w:cs="Arial" w:eastAsia="Arial" w:hAnsi="Arial"/>
          <w:sz w:val="16"/>
          <w:szCs w:val="16"/>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6"/>
          <w:szCs w:val="16"/>
          <w:i w:val="1"/>
          <w:iCs w:val="1"/>
          <w:color w:val="auto"/>
        </w:rPr>
        <w:t>Thomas</w:t>
      </w:r>
      <w:r>
        <w:rPr>
          <w:rFonts w:ascii="Arial" w:cs="Arial" w:eastAsia="Arial" w:hAnsi="Arial"/>
          <w:sz w:val="16"/>
          <w:szCs w:val="16"/>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6"/>
          <w:szCs w:val="16"/>
          <w:i w:val="1"/>
          <w:iCs w:val="1"/>
          <w:color w:val="auto"/>
        </w:rPr>
        <w:t>Earley Complaint</w:t>
      </w:r>
      <w:r>
        <w:rPr>
          <w:rFonts w:ascii="Arial" w:cs="Arial" w:eastAsia="Arial" w:hAnsi="Arial"/>
          <w:sz w:val="16"/>
          <w:szCs w:val="16"/>
          <w:color w:val="auto"/>
        </w:rPr>
        <w:t>”). The Earley Complaint is docketed as Case No. 2-20-cv-09444-DMG-PVCx.</w:t>
      </w:r>
    </w:p>
    <w:p>
      <w:pPr>
        <w:spacing w:after="0" w:line="166" w:lineRule="exact"/>
        <w:rPr>
          <w:sz w:val="20"/>
          <w:szCs w:val="20"/>
          <w:color w:val="auto"/>
        </w:rPr>
      </w:pPr>
    </w:p>
    <w:p>
      <w:pPr>
        <w:jc w:val="both"/>
        <w:ind w:left="420"/>
        <w:spacing w:after="0" w:line="271"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Exchange Act Litigation</w:t>
      </w:r>
      <w:r>
        <w:rPr>
          <w:rFonts w:ascii="Arial" w:cs="Arial" w:eastAsia="Arial" w:hAnsi="Arial"/>
          <w:sz w:val="17"/>
          <w:szCs w:val="17"/>
          <w:color w:val="auto"/>
        </w:rPr>
        <w:t>, Case No. 20-8760-DMG (PVCx)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 in the Securities 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Briefing on the motion to dismiss is now complete, and the motion is currently under submission before Judge Gee. The Company believes that the Securities Action is without merit and will continue to vigorously defend against the claims raised therein.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ind w:left="420"/>
        <w:spacing w:after="0" w:line="286" w:lineRule="auto"/>
        <w:rPr>
          <w:sz w:val="20"/>
          <w:szCs w:val="20"/>
          <w:color w:val="auto"/>
        </w:rPr>
      </w:pPr>
      <w:r>
        <w:rPr>
          <w:rFonts w:ascii="Arial" w:cs="Arial" w:eastAsia="Arial" w:hAnsi="Arial"/>
          <w:sz w:val="16"/>
          <w:szCs w:val="16"/>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6"/>
          <w:szCs w:val="16"/>
          <w:i w:val="1"/>
          <w:iCs w:val="1"/>
          <w:color w:val="auto"/>
        </w:rPr>
        <w:t>Rammohan Complaint</w:t>
      </w:r>
      <w:r>
        <w:rPr>
          <w:rFonts w:ascii="Arial" w:cs="Arial" w:eastAsia="Arial" w:hAnsi="Arial"/>
          <w:sz w:val="16"/>
          <w:szCs w:val="16"/>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6"/>
          <w:szCs w:val="16"/>
          <w:i w:val="1"/>
          <w:iCs w:val="1"/>
          <w:color w:val="auto"/>
        </w:rPr>
        <w:t>Westerman Complaint</w:t>
      </w:r>
      <w:r>
        <w:rPr>
          <w:rFonts w:ascii="Arial" w:cs="Arial" w:eastAsia="Arial" w:hAnsi="Arial"/>
          <w:sz w:val="16"/>
          <w:szCs w:val="16"/>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6"/>
          <w:szCs w:val="16"/>
          <w:i w:val="1"/>
          <w:iCs w:val="1"/>
          <w:color w:val="auto"/>
        </w:rPr>
        <w:t>Lowe Complaint</w:t>
      </w:r>
      <w:r>
        <w:rPr>
          <w:rFonts w:ascii="Arial" w:cs="Arial" w:eastAsia="Arial" w:hAnsi="Arial"/>
          <w:sz w:val="16"/>
          <w:szCs w:val="16"/>
          <w:color w:val="auto"/>
        </w:rPr>
        <w:t>”).</w:t>
      </w:r>
    </w:p>
    <w:p>
      <w:pPr>
        <w:spacing w:after="0" w:line="172" w:lineRule="exact"/>
        <w:rPr>
          <w:sz w:val="20"/>
          <w:szCs w:val="20"/>
          <w:color w:val="auto"/>
        </w:rPr>
      </w:pPr>
    </w:p>
    <w:p>
      <w:pPr>
        <w:jc w:val="both"/>
        <w:ind w:left="420"/>
        <w:spacing w:after="0" w:line="275" w:lineRule="auto"/>
        <w:rPr>
          <w:sz w:val="20"/>
          <w:szCs w:val="20"/>
          <w:color w:val="auto"/>
        </w:rPr>
      </w:pPr>
      <w:r>
        <w:rPr>
          <w:rFonts w:ascii="Arial" w:cs="Arial" w:eastAsia="Arial" w:hAnsi="Arial"/>
          <w:sz w:val="17"/>
          <w:szCs w:val="17"/>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 Action</w:t>
      </w:r>
      <w:r>
        <w:rPr>
          <w:rFonts w:ascii="Arial" w:cs="Arial" w:eastAsia="Arial" w:hAnsi="Arial"/>
          <w:sz w:val="17"/>
          <w:szCs w:val="17"/>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will vigorously defend against the claims raised therein.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Legal Information</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The Company may at times be involved in other litigation in the ordinary course of business. The Company will, from time to time, when appropriate in management’s estimation, record adequate reserves in the Company’s consolidated financial statements for pending litigation. Currently, other than described above there are no other pending material legal proceedings to which the Company is a party or to which any of its property is subject. At June 30, 2021 the Company had no provision for liability under existing litigation.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Commencing in October 2017 the Company began reimbursing Mr. Elwood Norris, a former officer and current stockholder of the Company, $1.5 per month on a month-to-month basis for laboratory facility expense, for an aggregate of $9 during the six months ended June 30, 2021 and 2020, respectively. Effective July 1, 2021 Mr. Norris commenced serving as a consultant to the Company and the facility rent costs are expected to continue during such consultancy.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7, 11 and 12 for additional information on related party transactions and obligations.</w:t>
      </w:r>
    </w:p>
    <w:p>
      <w:pPr>
        <w:spacing w:after="0" w:line="2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RELATED INFORMATION</w:t>
      </w:r>
    </w:p>
    <w:p>
      <w:pPr>
        <w:spacing w:after="0" w:line="229"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color w:val="auto"/>
        </w:rPr>
        <w:t>For the three months ended June 30, 2021, revenues from two distributors accounted for approximately 37% and 22% of revenues with no other single customer accounting for more than 10% of total revenues. For the three months ended June 30, 2020, revenues from two distributors and one agency accounted for approximately 32%, 19% and 11% of revenues with no other single customer accounting for more than 10% of total revenues.</w:t>
      </w:r>
    </w:p>
    <w:p>
      <w:pPr>
        <w:spacing w:after="0" w:line="149"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color w:val="auto"/>
        </w:rPr>
        <w:t>For the six months ended June 30, 2021, revenues from four distributors accounted for approximately 20%, 17%, 13% and 12% of revenues with no other single customer accounting for more than 10% of total revenues. For the six months ended June 30, 2020, revenues from four distributors accounted for approximately 22%, 19%, 18% and 10% of revenues with no other single customer accounting for more than 10% of total revenues.</w:t>
      </w:r>
    </w:p>
    <w:p>
      <w:pPr>
        <w:spacing w:after="0" w:line="149" w:lineRule="exact"/>
        <w:rPr>
          <w:sz w:val="20"/>
          <w:szCs w:val="20"/>
          <w:color w:val="auto"/>
        </w:rPr>
      </w:pPr>
    </w:p>
    <w:p>
      <w:pPr>
        <w:jc w:val="both"/>
        <w:ind w:left="420"/>
        <w:spacing w:after="0" w:line="286" w:lineRule="auto"/>
        <w:rPr>
          <w:sz w:val="20"/>
          <w:szCs w:val="20"/>
          <w:color w:val="auto"/>
        </w:rPr>
      </w:pPr>
      <w:r>
        <w:rPr>
          <w:rFonts w:ascii="Arial" w:cs="Arial" w:eastAsia="Arial" w:hAnsi="Arial"/>
          <w:sz w:val="17"/>
          <w:szCs w:val="17"/>
          <w:color w:val="auto"/>
        </w:rPr>
        <w:t>At June 30, 2021, accounts receivable from three distributors accounted for 30%, 28% and 14% of accounts receivable with no other single customer accounting for more than 10% of the accounts receivable balance. Two distributors accounted for 28% and 26% of accounts receivable at December 31, 2020 with no other single customer accounting for more than 10% of the accounts receivable balance.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revenues by geographic region. Revenues are attributed to countries based on customer’s delivery location.</w:t>
      </w:r>
    </w:p>
    <w:p>
      <w:pPr>
        <w:sectPr>
          <w:pgSz w:w="11900" w:h="16838" w:orient="portrait"/>
          <w:cols w:equalWidth="0" w:num="1">
            <w:col w:w="11240"/>
          </w:cols>
          <w:pgMar w:left="320" w:top="125" w:right="339" w:bottom="0" w:gutter="0" w:footer="0" w:header="0"/>
        </w:sectPr>
      </w:pPr>
    </w:p>
    <w:bookmarkStart w:id="13" w:name="page14"/>
    <w:bookmarkEnd w:id="13"/>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5"/>
              </w:rPr>
              <w:t>For the Three Months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Ended June 30,</w:t>
            </w:r>
          </w:p>
        </w:tc>
      </w:tr>
      <w:tr>
        <w:trPr>
          <w:trHeight w:val="209"/>
        </w:trPr>
        <w:tc>
          <w:tcPr>
            <w:tcW w:w="5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0"/>
        </w:trPr>
        <w:tc>
          <w:tcPr>
            <w:tcW w:w="5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3,476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SUBSEQUENT EVENTS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11 regarding stock options exercised between July 1, 2021 to the date of the filing of this Report.</w:t>
      </w:r>
    </w:p>
    <w:p>
      <w:pPr>
        <w:spacing w:after="0" w:line="225"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The Company evaluated other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You should read the following discussion in conjunction with the financial statements and other financial information included elsewhere in this Quarterly Report on Form 10-Q (this “Report”) and with our audited financial statements and other information presented in our Annual Report on Form 10-K for the year ended December 31, 2020. The following discussion may contain forward-looking statements that reflect our plans, estimates and beliefs. Words such as “expect,” “anticipate,” “intend,” “plan,” “believe,” “seek,” “estimate,” “continue,” “may,” “will,” “could,” “would,”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SEC filings, including particularly matters set forth under Part I, Item 1A (Risk Factors) of our Annual Report on Form 10-K. Furthermore, such forward-looking statements speak only as of the date of this Quarterly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a global public safety technology and services company organized in March 2016 delivering modern policing solutions to law enforcement and security personnel. We began product sales of our first public safety product, the BolaWrap 100 remote restraint device, in late 2018.</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immediate addressable domestic market for our solutions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a market research consulting firm, we participate in a segment of the non-lethal products global market expected to grow to $11.85 billion by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services and solutions:</w:t>
      </w:r>
    </w:p>
    <w:p>
      <w:pPr>
        <w:spacing w:after="0" w:line="225"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employing immersive computer graphics virtual reality with proprietary software-enabled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to the United States domestic law enforcement market, we have shipped our restraint products to 46 countries. We have established an active distributor network with 14 domestic distributors representing all 50 states and Puerto Rico. We have distribution agreements with 44 international distributors. We focus significant sales, training and business development efforts to support our distribution network.</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the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ectPr>
          <w:pgSz w:w="11900" w:h="16876" w:orient="portrait"/>
          <w:cols w:equalWidth="0" w:num="1">
            <w:col w:w="11240"/>
          </w:cols>
          <w:pgMar w:left="320" w:top="121" w:right="339" w:bottom="0" w:gutter="0" w:footer="0" w:header="0"/>
        </w:sectPr>
      </w:pPr>
    </w:p>
    <w:bookmarkStart w:id="14" w:name="page15"/>
    <w:bookmarkEnd w:id="14"/>
    <w:p>
      <w:pPr>
        <w:jc w:val="both"/>
        <w:spacing w:after="0" w:line="301" w:lineRule="auto"/>
        <w:rPr>
          <w:sz w:val="20"/>
          <w:szCs w:val="20"/>
          <w:color w:val="auto"/>
        </w:rPr>
      </w:pPr>
      <w:r>
        <w:rPr>
          <w:rFonts w:ascii="Arial" w:cs="Arial" w:eastAsia="Arial" w:hAnsi="Arial"/>
          <w:sz w:val="16"/>
          <w:szCs w:val="16"/>
          <w:color w:val="auto"/>
        </w:rPr>
        <w:t>During the first six months of 2021 the Company received an increased number of field reports of successful BolaWrap usage from law enforcement agencies. Many agencies consider BolaWrap as a very low level, or non-reportable, use of force option and, accordingly, many uses are not reported to us. Others are considered evidence and are also not shared. But some law enforcement agencies have shared bodycam footage of their field uses, some of which we are allowed to use in our marketing activities. We believe increased reports of avoiding escalation will help grow revenues in the future.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grew our business in the first six months of 2021 with revenues increasing 128% from the first six months of 2020. Second quarter revenues increased 132% over the prior year and we continue to expand our business, both domestically and internationally, through direct and distributor sales. We have a robust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As of June 30, 2021 over 800 agencies have received BolaWrap training with over 2,800 training officers at those agencies certified as BolaWrap instructors and qualified to train the rest of their departments. This represents an 85% increase in agencies and a 106% increase in training officers compared to December 31,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acquisition of NSENA, Inc. ("</w:t>
      </w:r>
      <w:r>
        <w:rPr>
          <w:rFonts w:ascii="Arial" w:cs="Arial" w:eastAsia="Arial" w:hAnsi="Arial"/>
          <w:sz w:val="18"/>
          <w:szCs w:val="18"/>
          <w:i w:val="1"/>
          <w:iCs w:val="1"/>
          <w:color w:val="auto"/>
        </w:rPr>
        <w:t>NSENA</w:t>
      </w:r>
      <w:r>
        <w:rPr>
          <w:rFonts w:ascii="Arial" w:cs="Arial" w:eastAsia="Arial" w:hAnsi="Arial"/>
          <w:sz w:val="18"/>
          <w:szCs w:val="18"/>
          <w:color w:val="auto"/>
        </w:rPr>
        <w:t>") in December 2020 and rebranding of NSENA as Wrap Reality, we have continued to market our virtual reality system while working to integrate previous scenarios into a robust platform employing BolaWrap and additional de-escalation techniques into new Wrap Reality scenarios. We also seek to enhance the Wrap Reality experience through software and platform innovation. We plan to increase marketing activities for our virtual reality solution as our platform enhancements are introduced to market.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we had backlog of approximately $736 expected to be delivered in the next twelve months. We had deferred revenue of $186 expected to be recognized generally over the next five years. Distributor and customer orders for future deliveries are generally subject to modification, rescheduling or in some instances, cancellation, in the normal course of business.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ended June 30, 2021 we began to wind down our production line for the BolaWrap 100 product line and began a shift to a new production process for the next generation product continued development, new tooling, new production equipment and processes and additional licensing. We recorded $747 of product line exit costs related to this planned change in production activities. If we are unable to timely transition to our next generation product as planned our business and results of operations, including our revenues, earnings and cash flows from operations, may be adversely impacted.</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Social Unrest on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face significant challenges in operating and growing our business related to the outbreak of the novel coronavirus (“</w:t>
      </w:r>
      <w:r>
        <w:rPr>
          <w:rFonts w:ascii="Arial" w:cs="Arial" w:eastAsia="Arial" w:hAnsi="Arial"/>
          <w:sz w:val="17"/>
          <w:szCs w:val="17"/>
          <w:i w:val="1"/>
          <w:iCs w:val="1"/>
          <w:color w:val="auto"/>
        </w:rPr>
        <w:t>COVID-19</w:t>
      </w:r>
      <w:r>
        <w:rPr>
          <w:rFonts w:ascii="Arial" w:cs="Arial" w:eastAsia="Arial" w:hAnsi="Arial"/>
          <w:sz w:val="17"/>
          <w:szCs w:val="17"/>
          <w:color w:val="auto"/>
        </w:rPr>
        <w:t>”) which continues to impact the United States and the world. The impact of COVID-19 includes continued travel restrictions, quarantines, “stay-at-home” and “shelter-in-place” orders and shutdowns of certain businesses around the world. The COVID-19 pandemic has resulted in a substantial curtailment of business activities worldwide and is causing weakened economic conditions, both in the United States and many countries abroad. As part of intensifying efforts to contain the spread of COVID-19, many companies and state, local and foreign governments continue to impose restrictions, including shelter-in-place orders and travel bans. While some of these companies and jurisdictions have started to relax such restrictions, in some cases, the restrictions have been put back in place after having been lifted. These factors negatively impacted our operations and results of operations for 2020 and the first six months of 2021. We expect that the evolving COVID-19 pandemic, associated travel restrictions and social distancing requirements, especially international, may continue to have an adverse impact on our results of operations. While the ultimate economic impact of the COVID-19 pandemic is highly uncertain, we expect that our business and results of operations, including our revenues, earnings and cash flows from operations, will be adversely impacted for at least the balance of 2021, including as a result of:</w:t>
      </w:r>
    </w:p>
    <w:p>
      <w:pPr>
        <w:spacing w:after="0" w:line="182" w:lineRule="exact"/>
        <w:rPr>
          <w:sz w:val="20"/>
          <w:szCs w:val="20"/>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our ability to travel and train, especially internationally;</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funding challenges for our customer base, which may adversely affect timing of anticipated contracts and new customer sales;</w:t>
      </w:r>
    </w:p>
    <w:p>
      <w:pPr>
        <w:spacing w:after="0" w:line="20" w:lineRule="exact"/>
        <w:rPr>
          <w:rFonts w:ascii="Arial" w:cs="Arial" w:eastAsia="Arial" w:hAnsi="Arial"/>
          <w:sz w:val="17"/>
          <w:szCs w:val="17"/>
          <w:color w:val="auto"/>
        </w:rPr>
      </w:pPr>
    </w:p>
    <w:p>
      <w:pPr>
        <w:ind w:left="900" w:right="20" w:hanging="447"/>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to our supply chain caused by distribution and other logistical issues, which may further delay our ability to deliver product to customers; and</w:t>
      </w:r>
    </w:p>
    <w:p>
      <w:pPr>
        <w:ind w:left="900" w:hanging="447"/>
        <w:spacing w:after="0" w:line="26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decrease in productivity of our employees or those of our customers or suppliers due to travel bans or restrictions, work-from-home or shelter-in-place policies and orders.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be adversely affected by continued social unrest, protests against racial inequality, protests against police brutality and movements such as “Defund the Police”. These events may directly or indirectly affect police agency budgets and funding available to current and potential customers. Participants in these events may also attempt to create the perception that our solutions are contributing to the perceived problems or ineffective as a solution, which may adversely affect us, our business and results of operations, including our revenues, earnings and cash flows from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currently not possible to predict the magnitude or duration of the COVID-19 pandemic’s impact on our business or the future impact of the recent, ongoing and possible future unrest. The extent to which these events impact our business will depend on numerous evolving factors that we may not be able to control or accurately predict, including without limitation:</w:t>
      </w:r>
    </w:p>
    <w:p>
      <w:pPr>
        <w:sectPr>
          <w:pgSz w:w="11900" w:h="16838" w:orient="portrait"/>
          <w:cols w:equalWidth="0" w:num="1">
            <w:col w:w="11240"/>
          </w:cols>
          <w:pgMar w:left="320" w:top="341" w:right="339" w:bottom="0" w:gutter="0" w:footer="0" w:header="0"/>
        </w:sectPr>
      </w:pPr>
    </w:p>
    <w:bookmarkStart w:id="15" w:name="page16"/>
    <w:bookmarkEnd w:id="15"/>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and scope of the challenges created by the COVID-19 pandemic or by ongoing social unrest;</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these events;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and social unrest on economic activity and actions taken in response;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on our customers and demand for our products and services;</w:t>
      </w:r>
    </w:p>
    <w:p>
      <w:pPr>
        <w:spacing w:after="0" w:line="9"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sell our products and services, including as a result of travel restrictions and people working from home, or restrictions on access to our potential customers;</w:t>
      </w: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 and services;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closures of our facilities and the facilities of our customers and suppliers; and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degree to which our employees or those of our customers or suppliers become ill with COVID-19.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Exit Expense</w:t>
      </w:r>
      <w:r>
        <w:rPr>
          <w:rFonts w:ascii="Arial" w:cs="Arial" w:eastAsia="Arial" w:hAnsi="Arial"/>
          <w:sz w:val="18"/>
          <w:szCs w:val="18"/>
          <w:color w:val="auto"/>
        </w:rPr>
        <w:t>. Our product line exit expenses included estimates of end of product life raw material write offs, estimates of accrual for noncancelable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purchase orders and retirement of unamortized production tooling costs. We make these estimates based on current production plans and these judgments and estimates have an impact on our financial statements.</w:t>
      </w:r>
    </w:p>
    <w:p>
      <w:pPr>
        <w:sectPr>
          <w:pgSz w:w="11900" w:h="16838" w:orient="portrait"/>
          <w:cols w:equalWidth="0" w:num="1">
            <w:col w:w="11240"/>
          </w:cols>
          <w:pgMar w:left="320" w:top="341" w:right="339" w:bottom="132"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Expenses.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June 30,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14,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 includes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52"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 We do not expect any significant further material restructuring and other costs.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operating costs, excluding restructuring and other costs, will increase as we expand product distribution activities and expand our research and development, production, distribution, training, service and administrative functions in the near term. We may also incur substantial non-cash share-based compensation costs depending on future option and restricted stock unit grants that are impacted by stock prices and other valuation factors. Historical expenditures are not indicative of future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Three Months Ended June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30,</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Products and services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Product line exit expense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(7,801)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(4,954)</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revenue of $1,934 for the three months ended June 30, 2021 as compared to $833 for the quarter ended June 30, 2020, a 132% increase over the prior year. We believe our sales during the second quarter of 2021 were negatively impacted by the COVID-19 pandemic as we were limited in our ability to make product demonstrations and conduct training primarily internationally.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product promotional costs of $379 during the three months ended June 30, 2021 related primarily to the cost of demonstration and training products and accessories delivered to law enforcement agencies that were expensed as marketing costs. A total of $125 of such product marketing costs were incurred during the three months ended June 30, 2020.</w:t>
      </w:r>
    </w:p>
    <w:p>
      <w:pPr>
        <w:sectPr>
          <w:pgSz w:w="11900" w:h="16838" w:orient="portrait"/>
          <w:cols w:equalWidth="0" w:num="1">
            <w:col w:w="11240"/>
          </w:cols>
          <w:pgMar w:left="320" w:top="125" w:right="33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$186 of deferred revenue at June 30, 2021, of which $105 related to virtual reality training and $81 related to BolaWrap extended warranties and training services.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we can substantially grow sales in future periods; however, the impact of the COVID-19 pandemic has created much uncertainty in the global marketplace by restricting our ability to travel internationally and, to a more limited extent, domestically. We are therefore unable to predict at this time whether our sales will continue to increase materially during the remainder of the fiscal year ending December 31, 2021 due to these uncertainties.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 assurances can be given, we do believe, however, that the challenges to substantially increasing sales caused by COVID-19 will abate as the rate of vaccinations increase globally, especially given the number of BolaWrap trials currently ongoing and the current environment where non-lethal options are being widely considered by law enforcement domestically and internationally.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we had backlog of $736 expected to be delivered in the next twelve months. Distributor and customer orders for future deliveries are generally subject to modification, rescheduling or in some instance’s cancellation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revenue for the three months ended June 30, 2021 was $1,994 and included $747 of restructuring inventory charges related to the planned wind down and closure of the BolaWrap 100 product line related to a significant shift in production efforts to a new generation product requiring continued development, new tooling, new production equipment and processes and additional licensing. These costs included end of life inventory charges of $531 and tooling write-downs of $106. An additional $110 has been recorded in accrued liabilities as a restructuring reserve for estimated non-cancelable purchase commitments. Excluding this $747 charge, the gross margin for the three months ended June 30, 2021 was 36%. The gross margin for the three months ended June 30, 2020 was 32%.</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our limited history of revenue and startup costs incurred to establish volume manufacturing, historical margins may not be indicative of future margins. In the third quarter we expect to start production of a new generation product with different material inputs and manufacturing processes such that historical margins may not be indicative of future margins. In addition, our margins vary based on the sales channels through which our products are sold and product mix. Currently, our cartridges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(“SG&amp;A”) expense for the three months ended June 30, 2021 increased by $4,041when compared to the three months ended June 30,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largest driver of this increase was related to an increase of $1,531 in share-based compensation, of which $1,166 was for legacy directors and new directors appointed in April 2021. The remaining $365 was incentive for management and employees.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invest in our marketing and promotion, which augments the media attention we receive from external sources, such as news broadcasts. During the second quarter, we incurred $298 increase related to public relations initiatives and $218 increase related to advertising and promotional products.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SG&amp;A expense increases included a $1,045 increase in cash compensation, recruiting and consultancy costs resulting from our planned growth in personnel over the prior year and a $430 increase in public company related expense. In addition, our travel costs related to sales, demonstrations and training increased by $268 as a result of increased travel by sales and training personnel. In the second quarter of 2020, we had virtually no travel expense due to the COVID-19 pandemic and the various travel restrictions that were in place. Despite the growth in the second quarter of 2021, we are still well below historical norms for our travel expense but expect travel expense to increase as international travel restrictions 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by $585 for the three months ended June 30, 2021, when compared to the comparable three-month period in fiscal 2020. We incurred a $68 period over period increase in non-cash share-based compensation expense allocated to research and development expense as a result of new award grants to new personnel and vesting timing. The increase in costs during the three months ended June 30, 2021 when compared to the prior year included a $176 increase in cash compensation costs resulting from an increase in headcount primarily associated with product development. Outside consulting costs increased by $288 for the three months ended June 30, 2021, primarily due to costs related to a new generation BolaWrap product, initiatives to develop new products and increased development of virtual reality scenarios. Prototype related costs for three months ended June 30, 2021 were $115 comparable to $105 for the prior comparable three-month period. We expect our research and development costs to increase in the future as we add staff and expand our research initiatives in response to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Loss from operations during the three months ended June 30, 2021 increased by $4,954 when compared to the three months ended June 30, 2020, resulting, primarily, from increased share-based compensation and increased operating costs due to increased personnel, marketing and selling, public company costs and supporting activities. We also incurred a one-time non-cash product line exit expense of $747 during the period that we do not expect to recur.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ectPr>
          <w:pgSz w:w="11900" w:h="16838" w:orient="portrait"/>
          <w:cols w:equalWidth="0" w:num="1">
            <w:col w:w="11240"/>
          </w:cols>
          <w:pgMar w:left="320" w:top="341" w:right="339" w:bottom="0" w:gutter="0" w:footer="0" w:header="0"/>
        </w:sectPr>
      </w:pPr>
    </w:p>
    <w:bookmarkStart w:id="18" w:name="page19"/>
    <w:bookmarkEnd w:id="18"/>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Pr>
          <w:p>
            <w:pPr>
              <w:spacing w:after="0"/>
              <w:rPr>
                <w:sz w:val="20"/>
                <w:szCs w:val="20"/>
                <w:color w:val="auto"/>
              </w:rPr>
            </w:pPr>
          </w:p>
        </w:tc>
        <w:tc>
          <w:tcPr>
            <w:tcW w:w="1540" w:type="dxa"/>
            <w:vAlign w:val="bottom"/>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 and services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Product line exit expense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(8,001)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revenue of $3,476 for the six months ended June 30, 2021 as compared to $1,522 for the six months ended June 30, 2020, a 128% increase over the prior year. We believe our sales during the first six months of 2021 were negatively impacted by the COVID-19 pandemic as we were limited in our ability to make product demonstrations and conduct training primarily internationally.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product promotional costs of $678 during the six months ended June 30, 2021 related primarily to the cost of demonstration and training products and accessories delivered to law enforcement agencies that were expensed as marketing costs. A total of $313 of such product marketing costs were incurred during the six months ended June 30,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$186 of deferred revenue at June 30, 2021, of which $105 related to virtual reality training and $81 related to BolaWrap extended warranties and training services.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we can substantially grow sales in future periods; however, the impact of the COVID-19 pandemic has created much uncertainty in the global marketplace by restricting our ability to travel internationally and, to a more limited extent, domestically. We are therefore unable to predict at this time whether our sales will continue to increase materially during the remainder of the fiscal year ending December 31, 2021 due to these uncertainties.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 assurances can be given, we do believe , however, that the challenges to substantially increasing sales caused by COVID-19 will abate as the rate of vaccinations increase globally, especially given the number of BolaWrap trials currently ongoing and the current environment where non-lethal options are being widely considered by law enforcement domestically and internationally.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cost of revenue for the six months ended June 30, 2021 was $2,931 and included $747 of restructuring inventory charge. Excluding this $747 charge, the gross margin for the six months ended June 30, 2021 was 37%. The gross margin for the six months ended June 30, 2020 was 36%. In the third quarter we expect to start production of a new generation product with different material inputs and manufacturing processes such that historical margins may not be indicative of future margins. We have limited warranty cost experience and estimated future warranty costs can impact our gross margins.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 for the six months ended June 30, 2021 increased by $6,879 when compared to the six months ended June 30,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largest driver of this increase was related to an increase of $1,704 in share-based compensation, of which $1,174 was for legacy directors and new directors appointed in April 2021. The remaining $530 was incentive for management and employees.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invest in our marketing and promotion, which augments the media attention we receive from external sources, such as news broadcasts. During the first six months of 2021, we incurred increases of $405 related to public relations initiatives and $358 related to advertising and promotional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first six months of 2021, our public reporting expenses increased by $1,334. This includes shareholder activism costs of $818 in connection with actions by a former executive officer/shareholder seeking changes in the composition of our Board of Directors and candidates to stand for election at the 2021 Annual Shareholders’ Meeting, changes to the Executive Chairman position as well as other related matters. There were no comparable costs in 2020. This matter was settled in March 2021 and we do not expect significant additional costs during the rest of 2021.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SG&amp;A expense increases included a $2,235 increase in cash compensation, recruiting and consultancy costs resulting from our planned growth in personnel over the prior year. In addition, our travel costs related to sales, demonstrations and training increased by $306 as a result of increased travel by sales and training personnel. In the second quarter of 2020, we had virtually no travel due to the COVID-19 pandemic and the various travel restrictions that were in place. Despite the growth in the first half of 2021, we are still well below historical norms for our travel expense but expect travel expense to increase as international travel restrictions 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ectPr>
          <w:pgSz w:w="11900" w:h="16881" w:orient="portrait"/>
          <w:cols w:equalWidth="0" w:num="1">
            <w:col w:w="11240"/>
          </w:cols>
          <w:pgMar w:left="320" w:top="125" w:right="339" w:bottom="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Research and development expense increased by $1,116 for the six months ended June 30, 2021, when compared to the comparable six-month period in fiscal 2020. We incurred a $287 period over period increase in non-cash share-based compensation expense allocated to research and development expense as a result of new award grants to new personnel and vesting timing. The increase in costs during the six months ended June 30, 2021 when compared to the prior year included a $334 increase in cash compensation costs resulting from an increase in headcount primarily associated with product development. Outside consulting costs increased by $419 for the six months ended June 30, 2021, primarily due to costs related to a new generation BolaWrap product, initiatives to develop new products and increased development of virtual reality scenarios. The increase in research and development expense is partially offset by the decrease of $43 relating to prototype related costs for six months ended June 30, 2021, compared to the comparable period in 2020. We expect our research and development costs to increase in the future as we add staff and expand our research initiatives in response to market opportunities.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$13,239 loss from operations during the six months ended June 30, 2021 increased by $8,001 when compared to the six months ended June 30, 2020, resulting, primarily, from increased share-based compensation and increased operating costs due to increased personnel, marketing and selling, public company costs and supporting activities. We also incurred a one-time non-cash product line exit expense of $747 during the period that we do not expect to recur.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net losses and negative cash flows from operations since our inception. As of June 30, 2021, we had cash and cash equivalents of $13,050, short-term investments of $30,002, positive working capital of $46,759 and had sustained cumulative losses attributable to stockholders of $38,538. We believe that our cash on hand and short-term investments will sustain our operations for at least the next twelve months from the date of this Report.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we received $12,326 of proceeds from the exercise of previously issued stock purchase warrants and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900" w:hanging="501"/>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w:t>
      </w:r>
    </w:p>
    <w:p>
      <w:pPr>
        <w:spacing w:after="0" w:line="170"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900" w:hanging="50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225" w:lineRule="exact"/>
        <w:rPr>
          <w:rFonts w:ascii="Arial" w:cs="Arial" w:eastAsia="Arial" w:hAnsi="Arial"/>
          <w:sz w:val="18"/>
          <w:szCs w:val="18"/>
          <w:color w:val="auto"/>
        </w:rPr>
      </w:pPr>
    </w:p>
    <w:p>
      <w:pPr>
        <w:ind w:left="900" w:hanging="50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ectPr>
          <w:pgSz w:w="11900" w:h="16838" w:orient="portrait"/>
          <w:cols w:equalWidth="0" w:num="1">
            <w:col w:w="11240"/>
          </w:cols>
          <w:pgMar w:left="320" w:top="341"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six months ended June 30, 2021, net cash used in operating activities was $10,254. The net loss of $13,228 was decreased by non-cash expense of $4,303 consisting primarily of share-based compensation expense of $3,007, restructuring inventory charges of $747 and shares issued for services of $239. Other major component changes using operating cash included an increase of $798 in accounts receivable and an increase in inventories of $713. An increase of $101 in accounts payable and accrued expenses and an increase of $170 in deferred revenue reduced the cash used in operating activities.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net cash used in operating activities was $3,895. The net loss of $5,162 was decreased by non-cash expense of $1,110 consisting primarily of stock-based compensation expense of $1,016. Other major component changes using operating cash included an increase of $306 in accounts receivable and an $193 decrease in customer deposits. A decrease in inventories of $206 and an increase of $541 in accounts payable and accrued liabilities reduced the cash used in operating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used $25,009 of cash to purchase short-term investments and we had proceeds from maturities of short-term investments of $20,000. We had no short-term investment activity during the six months ended June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$367 and $69 of cash for the purchase of property and equipment during the six months ended June 30, 2021 and 2020, respectively. We invested $96 and $82 in patents during the six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received $12,048 from previously issued stock purchase warrants and $278 in proceeds from the exercise of previously issued stock options, and repaid $200 in debt relating to the acquisition of NSENA in December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we received $11,667 of net proceeds resulting from the consummation of a registered offering of our Common Stock in June 2020, and obtained $10,368 of net proceeds from the exercise of previously issued warrants and stock options. We also obtained $414 in proceeds from a U.S. Small Business Administration Promissory Note pursuant to the Paycheck Protection Program of the Coronavirus Aid, Relief, and Economic Security Act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aggregate lease payments on our facility lease of $48 in 2021 and $58 in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the Company was committed for approximately $1,005 for future component deliveries and contract services that are generally subject to modification or rescheduling in the normal course of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that certain Asset Purchase Agreement between Wrap Reality, Inc., and NSENA, dated December 14, 2020 we are obligated to pay to NSENA cash consideration of $75 on September 15, 2021. As additional earn-out consideration, Wrap Reality has agreed to pay NSENA 10% of net revenues (or a lesser amount equal to 50% of direct profit) from specific identified prospects that become revenue customers before September 30, 2021, but only on amounts collected to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June 30, 2021, or subsequently thereto, that we believe are of potential significance to our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240"/>
          </w:cols>
          <w:pgMar w:left="320" w:top="125" w:right="339" w:bottom="177"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as of June 30, 2021 we conducted an evaluation of our disclosure controls and procedures as such term is defined under Rules 13a-15(e) and 15d-15(e) promulgated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Based on this evaluation, our principal executive officer and our principal financial officer concluded that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June 30, 2021,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23, 2020, Carone Cobden filed a putative class action complaint against the Company, former Chief Executive Officer David Norris (“</w:t>
      </w:r>
      <w:r>
        <w:rPr>
          <w:rFonts w:ascii="Arial" w:cs="Arial" w:eastAsia="Arial" w:hAnsi="Arial"/>
          <w:sz w:val="16"/>
          <w:szCs w:val="16"/>
          <w:i w:val="1"/>
          <w:iCs w:val="1"/>
          <w:color w:val="auto"/>
        </w:rPr>
        <w:t>Norris</w:t>
      </w:r>
      <w:r>
        <w:rPr>
          <w:rFonts w:ascii="Arial" w:cs="Arial" w:eastAsia="Arial" w:hAnsi="Arial"/>
          <w:sz w:val="16"/>
          <w:szCs w:val="16"/>
          <w:color w:val="auto"/>
        </w:rPr>
        <w:t>”),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7"/>
          <w:szCs w:val="17"/>
          <w:i w:val="1"/>
          <w:iCs w:val="1"/>
          <w:color w:val="auto"/>
        </w:rPr>
        <w:t>Mercurio Complaint</w:t>
      </w:r>
      <w:r>
        <w:rPr>
          <w:rFonts w:ascii="Arial" w:cs="Arial" w:eastAsia="Arial" w:hAnsi="Arial"/>
          <w:sz w:val="17"/>
          <w:szCs w:val="17"/>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7"/>
          <w:szCs w:val="17"/>
          <w:i w:val="1"/>
          <w:iCs w:val="1"/>
          <w:color w:val="auto"/>
        </w:rPr>
        <w:t>Thomas</w:t>
      </w:r>
      <w:r>
        <w:rPr>
          <w:rFonts w:ascii="Arial" w:cs="Arial" w:eastAsia="Arial" w:hAnsi="Arial"/>
          <w:sz w:val="17"/>
          <w:szCs w:val="17"/>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7"/>
          <w:szCs w:val="17"/>
          <w:i w:val="1"/>
          <w:iCs w:val="1"/>
          <w:color w:val="auto"/>
        </w:rPr>
        <w:t>Earley Complaint</w:t>
      </w:r>
      <w:r>
        <w:rPr>
          <w:rFonts w:ascii="Arial" w:cs="Arial" w:eastAsia="Arial" w:hAnsi="Arial"/>
          <w:sz w:val="17"/>
          <w:szCs w:val="17"/>
          <w:color w:val="auto"/>
        </w:rPr>
        <w:t>”). The Earley Complaint is docketed as Case No. 2-20-cv-09444-DMG-PVCx.</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Act Litigation</w:t>
      </w:r>
      <w:r>
        <w:rPr>
          <w:rFonts w:ascii="Arial" w:cs="Arial" w:eastAsia="Arial" w:hAnsi="Arial"/>
          <w:sz w:val="17"/>
          <w:szCs w:val="17"/>
          <w:color w:val="auto"/>
        </w:rPr>
        <w:t>, Case No. 20-8760-DMG (PVCx)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 plaintiff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Briefing on the motion to dismiss is now complete, and the motion is currently under submission before Judge Gee. The Company believes that the Securities Action is without merit and will continue to vigorously defend against the claims raised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7"/>
          <w:szCs w:val="17"/>
          <w:i w:val="1"/>
          <w:iCs w:val="1"/>
          <w:color w:val="auto"/>
        </w:rPr>
        <w:t>Rammohan Complaint</w:t>
      </w:r>
      <w:r>
        <w:rPr>
          <w:rFonts w:ascii="Arial" w:cs="Arial" w:eastAsia="Arial" w:hAnsi="Arial"/>
          <w:sz w:val="17"/>
          <w:szCs w:val="17"/>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7"/>
          <w:szCs w:val="17"/>
          <w:i w:val="1"/>
          <w:iCs w:val="1"/>
          <w:color w:val="auto"/>
        </w:rPr>
        <w:t>Westerman Complaint</w:t>
      </w:r>
      <w:r>
        <w:rPr>
          <w:rFonts w:ascii="Arial" w:cs="Arial" w:eastAsia="Arial" w:hAnsi="Arial"/>
          <w:sz w:val="17"/>
          <w:szCs w:val="17"/>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7"/>
          <w:szCs w:val="17"/>
          <w:i w:val="1"/>
          <w:iCs w:val="1"/>
          <w:color w:val="auto"/>
        </w:rPr>
        <w:t>Lowe Complaint</w:t>
      </w:r>
      <w:r>
        <w:rPr>
          <w:rFonts w:ascii="Arial" w:cs="Arial" w:eastAsia="Arial" w:hAnsi="Arial"/>
          <w:sz w:val="17"/>
          <w:szCs w:val="17"/>
          <w:color w:val="auto"/>
        </w:rPr>
        <w: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 Action</w:t>
      </w:r>
      <w:r>
        <w:rPr>
          <w:rFonts w:ascii="Arial" w:cs="Arial" w:eastAsia="Arial" w:hAnsi="Arial"/>
          <w:sz w:val="17"/>
          <w:szCs w:val="17"/>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will vigorously defend against the claims raised therein.</w:t>
      </w:r>
    </w:p>
    <w:p>
      <w:pPr>
        <w:sectPr>
          <w:pgSz w:w="11900" w:h="16838" w:orient="portrait"/>
          <w:cols w:equalWidth="0" w:num="1">
            <w:col w:w="11240"/>
          </w:cols>
          <w:pgMar w:left="320" w:top="125" w:right="339" w:bottom="124"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 Information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June 30, 2021 we had no provision for liability under existing litigation.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Smaller Reporting Company as defined by Rule 12b-2 of the Exchange Act and in Item 10(f)(1) of Regulation S-K, we are electing scaled disclosure reporting obligations and therefore are not required to provide the information requested by this item.</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Investors should carefully consider the risk factors included in the “Risk Factors” section of our Annual Report on Form 10-K for our year ended December 31, 2020, as filed with SEC on March 4, 2021. The Company’s business, operating results and financial condition could be adversely affected due to any of those risks including, but not limited to, the risk factor related to business interruptions, including interruptions resulting from the COVID-19 pandemic. The extent to which the COVID-19 impacts our operations or those of our third-party partners will depend on future developments, which are highly uncertain and cannot be predicted with confidence, including the duration of the outbreak, new information that may emerge concerning the severity of COVID-19 and the actions to contain COVID-19 or treat its impact, among others. Any losses or damages we incur could have a material adverse effect on our financial results and our ability to conduct business as expected</w:t>
      </w:r>
      <w:r>
        <w:rPr>
          <w:rFonts w:ascii="Arial" w:cs="Arial" w:eastAsia="Arial" w:hAnsi="Arial"/>
          <w:sz w:val="17"/>
          <w:szCs w:val="17"/>
          <w:b w:val="1"/>
          <w:bCs w:val="1"/>
          <w:i w:val="1"/>
          <w:iCs w:val="1"/>
          <w:color w:val="auto"/>
        </w:rPr>
        <w: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continued spread of COVID-19 and uncertain market conditions may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15, 2021 we issued 25,000 shares of Common Stock at $5.56 per share valued at $139,000 in consideration of services. These shares were issued pursuant to Section 4(2) under the Securities Act of 1933, as amended, which provides an exemption from registration for transactions that are not involving a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other unregistered securities were issued during the three months ended June 30, 2021 that were not previously reported.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1120" w:hanging="1119"/>
        <w:spacing w:after="0" w:line="258" w:lineRule="auto"/>
        <w:tabs>
          <w:tab w:leader="none" w:pos="1100" w:val="left"/>
        </w:tabs>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Exhibit 31.1</w:t>
        </w:r>
      </w:hyperlink>
      <w:r>
        <w:rPr>
          <w:rFonts w:ascii="Arial" w:cs="Arial" w:eastAsia="Arial" w:hAnsi="Arial"/>
          <w:sz w:val="18"/>
          <w:szCs w:val="18"/>
          <w:u w:val="single" w:color="auto"/>
          <w:color w:val="0000EE"/>
        </w:rPr>
        <w:tab/>
      </w:r>
      <w:hyperlink w:anchor="page25">
        <w:r>
          <w:rPr>
            <w:rFonts w:ascii="Arial" w:cs="Arial" w:eastAsia="Arial" w:hAnsi="Arial"/>
            <w:sz w:val="18"/>
            <w:szCs w:val="18"/>
            <w:u w:val="single" w:color="auto"/>
            <w:color w:val="0000EE"/>
          </w:rPr>
          <w:t>Certification of Thomas P. Smith, Principal Executive Officer, pursuant to Rule 13a-14(a) or 15d-14(a) of the Securities and Exchange Act</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of 1934, as amended, as adopted pursuant to Section 302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1119"/>
        <w:spacing w:after="0" w:line="250" w:lineRule="auto"/>
        <w:tabs>
          <w:tab w:leader="none" w:pos="1100" w:val="left"/>
        </w:tabs>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 31.2</w:t>
        </w:r>
      </w:hyperlink>
      <w:r>
        <w:rPr>
          <w:rFonts w:ascii="Arial" w:cs="Arial" w:eastAsia="Arial" w:hAnsi="Arial"/>
          <w:sz w:val="18"/>
          <w:szCs w:val="18"/>
          <w:u w:val="single" w:color="auto"/>
          <w:color w:val="0000EE"/>
        </w:rPr>
        <w:tab/>
      </w:r>
      <w:hyperlink w:anchor="page26">
        <w:r>
          <w:rPr>
            <w:rFonts w:ascii="Arial" w:cs="Arial" w:eastAsia="Arial" w:hAnsi="Arial"/>
            <w:sz w:val="18"/>
            <w:szCs w:val="18"/>
            <w:u w:val="single" w:color="auto"/>
            <w:color w:val="0000EE"/>
          </w:rPr>
          <w:t>Certification of James A. Barnes, Principal Financial Officer, pursuant to Rule 13a-14(a) or 15d-14(a) of the Securities and Exchange Act of</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1934, as amended, as adopted pursuant to Section 302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1100" w:val="left"/>
        </w:tabs>
        <w:rPr>
          <w:rFonts w:ascii="Arial" w:cs="Arial" w:eastAsia="Arial" w:hAnsi="Arial"/>
          <w:sz w:val="17"/>
          <w:szCs w:val="17"/>
          <w:u w:val="single" w:color="auto"/>
          <w:color w:val="0000EE"/>
        </w:rPr>
      </w:pPr>
      <w:hyperlink w:anchor="page27">
        <w:r>
          <w:rPr>
            <w:rFonts w:ascii="Arial" w:cs="Arial" w:eastAsia="Arial" w:hAnsi="Arial"/>
            <w:sz w:val="18"/>
            <w:szCs w:val="18"/>
            <w:u w:val="single" w:color="auto"/>
            <w:color w:val="0000EE"/>
          </w:rPr>
          <w:t>Exhibit 32.1</w:t>
        </w:r>
      </w:hyperlink>
      <w:r>
        <w:rPr>
          <w:rFonts w:ascii="Arial" w:cs="Arial" w:eastAsia="Arial" w:hAnsi="Arial"/>
          <w:sz w:val="18"/>
          <w:szCs w:val="18"/>
          <w:u w:val="single" w:color="auto"/>
          <w:color w:val="0000EE"/>
        </w:rPr>
        <w:tab/>
      </w:r>
      <w:hyperlink w:anchor="page27">
        <w:r>
          <w:rPr>
            <w:rFonts w:ascii="Arial" w:cs="Arial" w:eastAsia="Arial" w:hAnsi="Arial"/>
            <w:sz w:val="17"/>
            <w:szCs w:val="17"/>
            <w:u w:val="single" w:color="auto"/>
            <w:color w:val="0000EE"/>
          </w:rPr>
          <w:t>Certification pursuant to 18 U.S.C. Section 1350, as adopted pursuant to Section 906 of the Sarbanes-Oxley Act of 2002, executed by</w:t>
        </w:r>
      </w:hyperlink>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40" w:type="dxa"/>
            <w:vAlign w:val="bottom"/>
            <w:tcBorders>
              <w:bottom w:val="single" w:sz="8" w:color="0000EE"/>
            </w:tcBorders>
            <w:gridSpan w:val="3"/>
          </w:tcPr>
          <w:p>
            <w:pPr>
              <w:spacing w:after="0" w:line="184"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Thomas P. Smith, Principal Executive Officer, and James A. Barnes, Principal Financial Officer.*</w:t>
              </w:r>
            </w:hyperlink>
          </w:p>
        </w:tc>
        <w:tc>
          <w:tcPr>
            <w:tcW w:w="3080" w:type="dxa"/>
            <w:vAlign w:val="bottom"/>
          </w:tcPr>
          <w:p>
            <w:pPr>
              <w:spacing w:after="0"/>
              <w:rPr>
                <w:sz w:val="16"/>
                <w:szCs w:val="16"/>
                <w:color w:val="auto"/>
              </w:rPr>
            </w:pPr>
          </w:p>
        </w:tc>
      </w:tr>
      <w:tr>
        <w:trPr>
          <w:trHeight w:val="412"/>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Extensible Business Reporting Language (XBRL) Exhibits*</w:t>
            </w:r>
          </w:p>
        </w:tc>
      </w:tr>
      <w:tr>
        <w:trPr>
          <w:trHeight w:val="21"/>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3"/>
          </w:tcPr>
          <w:p>
            <w:pPr>
              <w:spacing w:after="0" w:line="201" w:lineRule="exact"/>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89"/>
              </w:rPr>
              <w:t>____________</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ectPr>
          <w:pgSz w:w="11900" w:h="16838" w:orient="portrait"/>
          <w:cols w:equalWidth="0" w:num="1">
            <w:col w:w="11240"/>
          </w:cols>
          <w:pgMar w:left="320" w:top="125"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Filed concurrently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6640" w:type="dxa"/>
            <w:vAlign w:val="bottom"/>
            <w:gridSpan w:val="2"/>
          </w:tcPr>
          <w:p>
            <w:pPr>
              <w:ind w:left="2380"/>
              <w:spacing w:after="0"/>
              <w:rPr>
                <w:sz w:val="20"/>
                <w:szCs w:val="20"/>
                <w:color w:val="auto"/>
              </w:rPr>
            </w:pPr>
            <w:r>
              <w:rPr>
                <w:rFonts w:ascii="Arial" w:cs="Arial" w:eastAsia="Arial" w:hAnsi="Arial"/>
                <w:sz w:val="18"/>
                <w:szCs w:val="18"/>
                <w:color w:val="auto"/>
              </w:rPr>
              <w:t>WRAP TECHNOLOGIES, INC.</w:t>
            </w:r>
          </w:p>
        </w:tc>
        <w:tc>
          <w:tcPr>
            <w:tcW w:w="134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July 29, 2021</w:t>
            </w:r>
          </w:p>
        </w:tc>
        <w:tc>
          <w:tcPr>
            <w:tcW w:w="6640" w:type="dxa"/>
            <w:vAlign w:val="bottom"/>
            <w:gridSpan w:val="2"/>
          </w:tcPr>
          <w:p>
            <w:pPr>
              <w:ind w:left="2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A. BARNES</w:t>
            </w:r>
          </w:p>
        </w:tc>
        <w:tc>
          <w:tcPr>
            <w:tcW w:w="134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Barnes</w:t>
            </w:r>
          </w:p>
        </w:tc>
        <w:tc>
          <w:tcPr>
            <w:tcW w:w="134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134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340" w:type="dxa"/>
            <w:vAlign w:val="bottom"/>
          </w:tcPr>
          <w:p>
            <w:pPr>
              <w:spacing w:after="0"/>
              <w:rPr>
                <w:sz w:val="20"/>
                <w:szCs w:val="20"/>
                <w:color w:val="auto"/>
              </w:rPr>
            </w:pPr>
          </w:p>
        </w:tc>
      </w:tr>
      <w:tr>
        <w:trPr>
          <w:trHeight w:val="648"/>
        </w:trPr>
        <w:tc>
          <w:tcPr>
            <w:tcW w:w="3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P. Smith, certify that:</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right="20" w:hanging="452"/>
        <w:spacing w:after="0" w:line="223" w:lineRule="exact"/>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02"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96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96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A. Barnes, certify that:</w:t>
      </w:r>
    </w:p>
    <w:p>
      <w:pPr>
        <w:spacing w:after="0" w:line="22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right="20" w:hanging="452"/>
        <w:spacing w:after="0" w:line="223" w:lineRule="exact"/>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02"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452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5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that, to his or her knowledge, the Quarterly Report of the Company on Form 10-Q for the period ended June 30, 2021,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74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73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37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2"/>
    </w:lvl>
  </w:abstractNum>
  <w:abstractNum w:abstractNumId="1">
    <w:nsid w:val="5BD062C2"/>
    <w:multiLevelType w:val="hybridMultilevel"/>
    <w:lvl w:ilvl="0">
      <w:lvlJc w:val="left"/>
      <w:lvlText w:val="%1."/>
      <w:numFmt w:val="decimal"/>
      <w:start w:val="3"/>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1."/>
      <w:numFmt w:val="decimal"/>
      <w:start w:val="7"/>
    </w:lvl>
  </w:abstractNum>
  <w:abstractNum w:abstractNumId="4">
    <w:nsid w:val="216231B"/>
    <w:multiLevelType w:val="hybridMultilevel"/>
    <w:lvl w:ilvl="0">
      <w:lvlJc w:val="left"/>
      <w:lvlText w:val="%1."/>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1."/>
      <w:numFmt w:val="decimal"/>
      <w:start w:val="1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3"/>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2021-07-29T16:05:41Z</dcterms:created>
  <dcterms:modified xsi:type="dcterms:W3CDTF">2021-07-29T16:05:41Z</dcterms:modified>
</cp:coreProperties>
</file>