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4060" w:right="2760" w:hanging="1285"/>
        <w:spacing w:after="0" w:line="282" w:lineRule="auto"/>
        <w:tabs>
          <w:tab w:leader="none" w:pos="29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29" w:lineRule="exact"/>
        <w:rPr>
          <w:sz w:val="24"/>
          <w:szCs w:val="24"/>
          <w:color w:val="auto"/>
        </w:rPr>
      </w:pPr>
    </w:p>
    <w:p>
      <w:pPr>
        <w:ind w:left="4060" w:right="2760" w:hanging="1294"/>
        <w:spacing w:after="0" w:line="282" w:lineRule="auto"/>
        <w:tabs>
          <w:tab w:leader="none" w:pos="297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154305</wp:posOffset>
            </wp:positionV>
            <wp:extent cx="118300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393"/>
        </w:trPr>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60" w:type="dxa"/>
            <w:vAlign w:val="bottom"/>
            <w:gridSpan w:val="7"/>
          </w:tcPr>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Wrap Technologies, Inc.</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6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98-0551945</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vMerge w:val="restart"/>
          </w:tcPr>
          <w:p>
            <w:pPr>
              <w:jc w:val="center"/>
              <w:ind w:right="1240"/>
              <w:spacing w:after="0"/>
              <w:rPr>
                <w:sz w:val="20"/>
                <w:szCs w:val="20"/>
                <w:color w:val="auto"/>
              </w:rPr>
            </w:pPr>
            <w:r>
              <w:rPr>
                <w:rFonts w:ascii="Times New Roman" w:cs="Times New Roman" w:eastAsia="Times New Roman" w:hAnsi="Times New Roman"/>
                <w:sz w:val="18"/>
                <w:szCs w:val="18"/>
                <w:color w:val="auto"/>
              </w:rPr>
              <w:t>1817 W 4th Street</w:t>
            </w:r>
          </w:p>
        </w:tc>
        <w:tc>
          <w:tcPr>
            <w:tcW w:w="31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Identification Number)</w:t>
            </w: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20" w:type="dxa"/>
            <w:vAlign w:val="bottom"/>
            <w:gridSpan w:val="6"/>
          </w:tcPr>
          <w:p>
            <w:pPr>
              <w:jc w:val="center"/>
              <w:ind w:right="1080"/>
              <w:spacing w:after="0" w:line="194" w:lineRule="exact"/>
              <w:rPr>
                <w:sz w:val="20"/>
                <w:szCs w:val="20"/>
                <w:color w:val="auto"/>
              </w:rPr>
            </w:pPr>
            <w:r>
              <w:rPr>
                <w:rFonts w:ascii="Times New Roman" w:cs="Times New Roman" w:eastAsia="Times New Roman" w:hAnsi="Times New Roman"/>
                <w:sz w:val="18"/>
                <w:szCs w:val="18"/>
                <w:color w:val="auto"/>
                <w:w w:val="98"/>
              </w:rPr>
              <w:t>Tempe, Arizona 85281</w:t>
            </w: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6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(800) 583-2652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00" w:type="dxa"/>
            <w:vAlign w:val="bottom"/>
            <w:gridSpan w:val="11"/>
          </w:tcPr>
          <w:p>
            <w:pPr>
              <w:jc w:val="center"/>
              <w:ind w:right="2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414"/>
        </w:trPr>
        <w:tc>
          <w:tcPr>
            <w:tcW w:w="75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500" w:type="dxa"/>
            <w:vAlign w:val="bottom"/>
          </w:tcPr>
          <w:p>
            <w:pPr>
              <w:spacing w:after="0"/>
              <w:rPr>
                <w:sz w:val="16"/>
                <w:szCs w:val="16"/>
                <w:color w:val="auto"/>
              </w:rPr>
            </w:pPr>
          </w:p>
        </w:tc>
        <w:tc>
          <w:tcPr>
            <w:tcW w:w="13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960" w:type="dxa"/>
            <w:vAlign w:val="bottom"/>
            <w:gridSpan w:val="2"/>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jc w:val="center"/>
              <w:ind w:right="1220"/>
              <w:spacing w:after="0" w:line="194" w:lineRule="exact"/>
              <w:rPr>
                <w:sz w:val="20"/>
                <w:szCs w:val="20"/>
                <w:color w:val="auto"/>
              </w:rPr>
            </w:pPr>
            <w:r>
              <w:rPr>
                <w:rFonts w:ascii="Times New Roman" w:cs="Times New Roman" w:eastAsia="Times New Roman" w:hAnsi="Times New Roman"/>
                <w:sz w:val="18"/>
                <w:szCs w:val="18"/>
                <w:color w:val="auto"/>
                <w:w w:val="98"/>
              </w:rPr>
              <w:t>Trading Symbol(s)</w:t>
            </w:r>
          </w:p>
        </w:tc>
        <w:tc>
          <w:tcPr>
            <w:tcW w:w="31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gridSpan w:val="5"/>
          </w:tcPr>
          <w:p>
            <w:pPr>
              <w:jc w:val="center"/>
              <w:ind w:left="45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color w:val="auto"/>
                <w:w w:val="99"/>
              </w:rPr>
              <w:t>WRAP</w:t>
            </w:r>
          </w:p>
        </w:tc>
        <w:tc>
          <w:tcPr>
            <w:tcW w:w="640" w:type="dxa"/>
            <w:vAlign w:val="bottom"/>
          </w:tcPr>
          <w:p>
            <w:pPr>
              <w:spacing w:after="0"/>
              <w:rPr>
                <w:sz w:val="20"/>
                <w:szCs w:val="20"/>
                <w:color w:val="auto"/>
              </w:rPr>
            </w:pPr>
          </w:p>
        </w:tc>
        <w:tc>
          <w:tcPr>
            <w:tcW w:w="2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As of November 9, 2022 a total of 41,124,312 shares of the Registrant’s common stock, par value $0.0001,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912"/>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40" w:type="dxa"/>
            <w:vAlign w:val="bottom"/>
            <w:gridSpan w:val="9"/>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9"/>
              </w:rPr>
              <w:t>WRAP TECHNOLOGIES, INC.</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40" w:type="dxa"/>
            <w:vAlign w:val="bottom"/>
            <w:gridSpan w:val="9"/>
          </w:tcPr>
          <w:p>
            <w:pPr>
              <w:jc w:val="center"/>
              <w:ind w:right="3280"/>
              <w:spacing w:after="0"/>
              <w:rPr>
                <w:sz w:val="20"/>
                <w:szCs w:val="20"/>
                <w:color w:val="auto"/>
              </w:rPr>
            </w:pPr>
            <w:r>
              <w:rPr>
                <w:rFonts w:ascii="Times New Roman" w:cs="Times New Roman" w:eastAsia="Times New Roman" w:hAnsi="Times New Roman"/>
                <w:sz w:val="18"/>
                <w:szCs w:val="18"/>
                <w:color w:val="auto"/>
                <w:w w:val="99"/>
              </w:rPr>
              <w:t>INDEX</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07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860" w:type="dxa"/>
            <w:vAlign w:val="bottom"/>
            <w:gridSpan w:val="12"/>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as of September 30, 2022 (unaudited) and December 31, 2021</w:t>
            </w:r>
          </w:p>
        </w:tc>
        <w:tc>
          <w:tcPr>
            <w:tcW w:w="1800" w:type="dxa"/>
            <w:vAlign w:val="bottom"/>
            <w:gridSpan w:val="4"/>
          </w:tcPr>
          <w:p>
            <w:pPr>
              <w:spacing w:after="0"/>
              <w:rPr>
                <w:sz w:val="17"/>
                <w:szCs w:val="17"/>
                <w:color w:val="auto"/>
              </w:rPr>
            </w:pPr>
          </w:p>
        </w:tc>
        <w:tc>
          <w:tcPr>
            <w:tcW w:w="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and nine months ended September</w:t>
            </w:r>
          </w:p>
        </w:tc>
        <w:tc>
          <w:tcPr>
            <w:tcW w:w="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30, 2022 and 2021 (unaudited)</w:t>
            </w:r>
          </w:p>
        </w:tc>
        <w:tc>
          <w:tcPr>
            <w:tcW w:w="6740" w:type="dxa"/>
            <w:vAlign w:val="bottom"/>
            <w:tcBorders>
              <w:top w:val="single" w:sz="8" w:color="0000EE"/>
            </w:tcBorders>
            <w:gridSpan w:val="8"/>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and nine months ended September 30, 2022 and</w:t>
            </w:r>
          </w:p>
        </w:tc>
        <w:tc>
          <w:tcPr>
            <w:tcW w:w="500" w:type="dxa"/>
            <w:vAlign w:val="bottom"/>
            <w:gridSpan w:val="2"/>
          </w:tcPr>
          <w:p>
            <w:pPr>
              <w:spacing w:after="0"/>
              <w:rPr>
                <w:sz w:val="17"/>
                <w:szCs w:val="17"/>
                <w:color w:val="auto"/>
              </w:rPr>
            </w:pPr>
          </w:p>
        </w:tc>
        <w:tc>
          <w:tcPr>
            <w:tcW w:w="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2021 (unaudited)</w:t>
            </w:r>
          </w:p>
        </w:tc>
        <w:tc>
          <w:tcPr>
            <w:tcW w:w="7520" w:type="dxa"/>
            <w:vAlign w:val="bottom"/>
            <w:tcBorders>
              <w:top w:val="single" w:sz="8" w:color="0000EE"/>
            </w:tcBorders>
            <w:gridSpan w:val="12"/>
          </w:tcPr>
          <w:p>
            <w:pPr>
              <w:spacing w:after="0"/>
              <w:rPr>
                <w:sz w:val="17"/>
                <w:szCs w:val="17"/>
                <w:color w:val="auto"/>
              </w:rPr>
            </w:pPr>
          </w:p>
        </w:tc>
        <w:tc>
          <w:tcPr>
            <w:tcW w:w="5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nine months ended September 30, 2022 and 2021 (unaudited)</w:t>
            </w:r>
          </w:p>
        </w:tc>
        <w:tc>
          <w:tcPr>
            <w:tcW w:w="540" w:type="dxa"/>
            <w:vAlign w:val="bottom"/>
            <w:gridSpan w:val="3"/>
          </w:tcPr>
          <w:p>
            <w:pPr>
              <w:spacing w:after="0"/>
              <w:rPr>
                <w:sz w:val="17"/>
                <w:szCs w:val="17"/>
                <w:color w:val="auto"/>
              </w:rPr>
            </w:pPr>
          </w:p>
        </w:tc>
        <w:tc>
          <w:tcPr>
            <w:tcW w:w="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Consolidated Interim Financial Statements</w:t>
            </w:r>
          </w:p>
        </w:tc>
        <w:tc>
          <w:tcPr>
            <w:tcW w:w="540" w:type="dxa"/>
            <w:vAlign w:val="bottom"/>
            <w:gridSpan w:val="3"/>
          </w:tcPr>
          <w:p>
            <w:pPr>
              <w:spacing w:after="0"/>
              <w:rPr>
                <w:sz w:val="17"/>
                <w:szCs w:val="17"/>
                <w:color w:val="auto"/>
              </w:rPr>
            </w:pPr>
          </w:p>
        </w:tc>
        <w:tc>
          <w:tcPr>
            <w:tcW w:w="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3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960" w:type="dxa"/>
            <w:vAlign w:val="bottom"/>
            <w:gridSpan w:val="5"/>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16</w:t>
            </w:r>
          </w:p>
        </w:tc>
      </w:tr>
      <w:tr>
        <w:trPr>
          <w:trHeight w:val="196"/>
        </w:trPr>
        <w:tc>
          <w:tcPr>
            <w:tcW w:w="13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060" w:type="dxa"/>
            <w:vAlign w:val="bottom"/>
            <w:gridSpan w:val="7"/>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27</w:t>
            </w:r>
          </w:p>
        </w:tc>
      </w:tr>
      <w:tr>
        <w:trPr>
          <w:trHeight w:val="196"/>
        </w:trPr>
        <w:tc>
          <w:tcPr>
            <w:tcW w:w="13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28</w:t>
            </w:r>
          </w:p>
        </w:tc>
      </w:tr>
      <w:tr>
        <w:trPr>
          <w:trHeight w:val="20"/>
        </w:trPr>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2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PART II. OTHER INFORMATION</w:t>
            </w:r>
          </w:p>
        </w:tc>
        <w:tc>
          <w:tcPr>
            <w:tcW w:w="8200" w:type="dxa"/>
            <w:vAlign w:val="bottom"/>
            <w:gridSpan w:val="17"/>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080" w:type="dxa"/>
            <w:vAlign w:val="bottom"/>
            <w:gridSpan w:val="15"/>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28</w:t>
            </w:r>
          </w:p>
        </w:tc>
      </w:tr>
      <w:tr>
        <w:trPr>
          <w:trHeight w:val="196"/>
        </w:trPr>
        <w:tc>
          <w:tcPr>
            <w:tcW w:w="13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r>
      <w:tr>
        <w:trPr>
          <w:trHeight w:val="20"/>
        </w:trPr>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3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r>
      <w:tr>
        <w:trPr>
          <w:trHeight w:val="196"/>
        </w:trPr>
        <w:tc>
          <w:tcPr>
            <w:tcW w:w="13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080" w:type="dxa"/>
            <w:vAlign w:val="bottom"/>
            <w:gridSpan w:val="8"/>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r>
      <w:tr>
        <w:trPr>
          <w:trHeight w:val="196"/>
        </w:trPr>
        <w:tc>
          <w:tcPr>
            <w:tcW w:w="13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100" w:type="dxa"/>
            <w:vAlign w:val="bottom"/>
            <w:gridSpan w:val="10"/>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r>
      <w:tr>
        <w:trPr>
          <w:trHeight w:val="196"/>
        </w:trPr>
        <w:tc>
          <w:tcPr>
            <w:tcW w:w="13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5"/>
          </w:tcPr>
          <w:p>
            <w:pPr>
              <w:spacing w:after="0"/>
              <w:rPr>
                <w:sz w:val="17"/>
                <w:szCs w:val="17"/>
                <w:color w:val="auto"/>
              </w:rPr>
            </w:pPr>
          </w:p>
        </w:tc>
        <w:tc>
          <w:tcPr>
            <w:tcW w:w="7660" w:type="dxa"/>
            <w:vAlign w:val="bottom"/>
            <w:gridSpan w:val="11"/>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r>
      <w:tr>
        <w:trPr>
          <w:trHeight w:val="196"/>
        </w:trPr>
        <w:tc>
          <w:tcPr>
            <w:tcW w:w="136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8820" w:type="dxa"/>
            <w:vAlign w:val="bottom"/>
            <w:gridSpan w:val="19"/>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29</w:t>
            </w:r>
          </w:p>
        </w:tc>
      </w:tr>
      <w:tr>
        <w:trPr>
          <w:trHeight w:val="41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595"/>
        </w:trPr>
        <w:tc>
          <w:tcPr>
            <w:tcW w:w="110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(in thousands, except par value and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29,983</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and contract assets,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41,213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44,231</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 short term</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 short term</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2,857</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long term</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liability - long term</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2,967</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- 5,000,000 authorized; par value $0.0001 per share; none issued and outstanding</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- 150,000,000 authorized; par value $0.0001 per share; 41,125,578 and 40,851,945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and outstanding each period, respectively</w:t>
            </w: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91,025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(63,841)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(49,759)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41,264</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23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1,701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line exit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4,822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20,513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(19,256)</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(19,220)</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basic and diluted common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shares used to compute net loss per basic and diluted</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41,086,285</w:t>
            </w:r>
          </w:p>
        </w:tc>
        <w:tc>
          <w:tcPr>
            <w:tcW w:w="200" w:type="dxa"/>
            <w:vAlign w:val="bottom"/>
          </w:tcPr>
          <w:p>
            <w:pPr>
              <w:spacing w:after="0"/>
              <w:rPr>
                <w:sz w:val="15"/>
                <w:szCs w:val="15"/>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40,413,332</w:t>
            </w:r>
          </w:p>
        </w:tc>
        <w:tc>
          <w:tcPr>
            <w:tcW w:w="200" w:type="dxa"/>
            <w:vAlign w:val="bottom"/>
          </w:tcPr>
          <w:p>
            <w:pPr>
              <w:spacing w:after="0"/>
              <w:rPr>
                <w:sz w:val="15"/>
                <w:szCs w:val="15"/>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40,955,234</w:t>
            </w:r>
          </w:p>
        </w:tc>
        <w:tc>
          <w:tcPr>
            <w:tcW w:w="20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38,767,009</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common share</w:t>
            </w: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(14,082)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(19,220)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 (loss) on short-term investments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(3,792)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(19,224)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340" w:type="dxa"/>
            <w:vAlign w:val="bottom"/>
            <w:gridSpan w:val="11"/>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20" w:type="dxa"/>
            <w:vAlign w:val="bottom"/>
            <w:gridSpan w:val="8"/>
          </w:tcPr>
          <w:p>
            <w:pPr>
              <w:jc w:val="center"/>
              <w:ind w:left="590"/>
              <w:spacing w:after="0"/>
              <w:rPr>
                <w:sz w:val="20"/>
                <w:szCs w:val="20"/>
                <w:color w:val="auto"/>
              </w:rPr>
            </w:pPr>
            <w:r>
              <w:rPr>
                <w:rFonts w:ascii="Times New Roman" w:cs="Times New Roman" w:eastAsia="Times New Roman" w:hAnsi="Times New Roman"/>
                <w:sz w:val="18"/>
                <w:szCs w:val="18"/>
                <w:color w:val="auto"/>
                <w:w w:val="99"/>
              </w:rPr>
              <w:t>(in thousands, except share amounts)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40,992,161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92,856</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32,867</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vesting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127,917</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unrealized gain on short-term</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(3,865)</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41,125,578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93,736</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29,955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40,851,945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91,025</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41,264</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55,500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vesting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218,133</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unrealized gain on short-term</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(14,082)</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41,125,578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93,736</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29,955</w:t>
            </w:r>
          </w:p>
        </w:tc>
        <w:tc>
          <w:tcPr>
            <w:tcW w:w="0" w:type="dxa"/>
            <w:vAlign w:val="bottom"/>
          </w:tcPr>
          <w:p>
            <w:pPr>
              <w:spacing w:after="0"/>
              <w:rPr>
                <w:sz w:val="1"/>
                <w:szCs w:val="1"/>
                <w:color w:val="auto"/>
              </w:rPr>
            </w:pPr>
          </w:p>
        </w:tc>
      </w:tr>
      <w:tr>
        <w:trPr>
          <w:trHeight w:val="413"/>
        </w:trPr>
        <w:tc>
          <w:tcPr>
            <w:tcW w:w="128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5"/>
              </w:rPr>
              <w:t>-3-</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39,911,390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87,277</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48,755</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758,338</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vesting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79,133</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unrealized loss on short-term</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(5,991)</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40,748,861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89,979</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45,464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80" w:type="dxa"/>
            <w:vAlign w:val="bottom"/>
            <w:gridSpan w:val="3"/>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37,554,162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71,705</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46,414</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 at $6.50 per share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1,661,320</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10,799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10,799</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at $8.125 per share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153,692</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exercise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915,404</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shares issued upon vesting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421,407</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 issued for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42,876</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unrealized loss on short-term</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(19,220)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(19,220)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40,748,861</w:t>
            </w:r>
          </w:p>
        </w:tc>
        <w:tc>
          <w:tcPr>
            <w:tcW w:w="260" w:type="dxa"/>
            <w:vAlign w:val="bottom"/>
          </w:tcPr>
          <w:p>
            <w:pPr>
              <w:spacing w:after="0"/>
              <w:rPr>
                <w:sz w:val="18"/>
                <w:szCs w:val="18"/>
                <w:color w:val="auto"/>
              </w:rPr>
            </w:pP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89,979</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45,464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Wrap Technologies, Inc.</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(unaudited)</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(14,082)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(19,220)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line exit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provision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Software impairment charge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contingent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shares issued for services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Warranty settlement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(11,036)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(13,729)</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(23,119)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(30,014)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for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patents and trademarks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long-term deposits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(6,511)</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debt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(6,789)</w:t>
            </w:r>
          </w:p>
        </w:tc>
      </w:tr>
      <w:tr>
        <w:trPr>
          <w:trHeight w:val="234"/>
        </w:trPr>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16,647</w:t>
            </w:r>
          </w:p>
        </w:tc>
      </w:tr>
      <w:tr>
        <w:trPr>
          <w:trHeight w:val="210"/>
        </w:trPr>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60" w:type="dxa"/>
            <w:vAlign w:val="bottom"/>
          </w:tcPr>
          <w:p>
            <w:pPr>
              <w:spacing w:after="0"/>
              <w:rPr>
                <w:sz w:val="18"/>
                <w:szCs w:val="18"/>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08"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gain on short-term investments</w:t>
            </w:r>
          </w:p>
        </w:tc>
        <w:tc>
          <w:tcPr>
            <w:tcW w:w="18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and liability recorded during period</w:t>
            </w:r>
          </w:p>
        </w:tc>
        <w:tc>
          <w:tcPr>
            <w:tcW w:w="18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0" w:lineRule="exact"/>
        <w:rPr>
          <w:sz w:val="20"/>
          <w:szCs w:val="20"/>
          <w:color w:val="auto"/>
        </w:rPr>
      </w:pPr>
    </w:p>
    <w:p>
      <w:pPr>
        <w:spacing w:after="0" w:line="246" w:lineRule="exact"/>
        <w:rPr>
          <w:sz w:val="20"/>
          <w:szCs w:val="20"/>
          <w:color w:val="auto"/>
        </w:rPr>
      </w:pPr>
    </w:p>
    <w:p>
      <w:pPr>
        <w:ind w:left="880" w:hanging="854"/>
        <w:spacing w:after="0"/>
        <w:tabs>
          <w:tab w:leader="none" w:pos="8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Organization and Business Description</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Wrap Technologies,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is a publicly traded company with our Common Stock, par value $0.0001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listed on the Nasdaq Capital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Certain information and footnote disclosures normally included in financial statements prepared in accordance with U.S. generally accepted accounting principles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2021, included in the Company’s Annual Report on Form 10-K for the year ended December 31, 2021 (the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as filed with the SEC on March 10, 2022. The accompanying condensed consolidated balance sheet at December 31, 2021, has been derived from the audited consolidated balance sheet at December 31, 2021, contained in the Annual Report. Results of operations for interim periods are not necessarily indicative of the results of operations for a full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necessary, the prior year’s information has been reclassified to conform to the current year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has one wholly-owned subsidiary, Wrap Reality, Inc. formed in December 2020 that sells a virtual reality (“</w:t>
      </w:r>
      <w:r>
        <w:rPr>
          <w:rFonts w:ascii="Times New Roman" w:cs="Times New Roman" w:eastAsia="Times New Roman" w:hAnsi="Times New Roman"/>
          <w:sz w:val="18"/>
          <w:szCs w:val="18"/>
          <w:i w:val="1"/>
          <w:iCs w:val="1"/>
          <w:color w:val="auto"/>
        </w:rPr>
        <w:t>VR</w:t>
      </w:r>
      <w:r>
        <w:rPr>
          <w:rFonts w:ascii="Times New Roman" w:cs="Times New Roman" w:eastAsia="Times New Roman" w:hAnsi="Times New Roman"/>
          <w:sz w:val="18"/>
          <w:szCs w:val="18"/>
          <w:color w:val="auto"/>
        </w:rPr>
        <w:t>”) training system primarily targeting law enforcement agencies. The consolidated financial statements include the accounts of this subsidiary after elimination of intercompany transactions and accounts.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(e.g., stock-based compensation valuation, allowance for doubtful accounts, valuation of inventory and intangible assets, warranty reserve, accrued expense and recognition and measurement of contingencies) that affect the reported amounts of assets and liabilities, and disclosure of contingent assets and liabilities at the date of the financial statements and affect the reported amounts of revenue and expense during the reporting period. Actual results could materially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per Share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and restricted stock units exercisable or issuable for a total of 6,396,277 shares of Common Stock were outstanding at September 30, 2022. These securities are not included in the computation of diluted net loss per common share for the periods presented as their inclusion would be antidilutive due to losses incurred by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Issued Accounting Guidance</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2021-08, Business Combinations (Topic 805): </w:t>
      </w:r>
      <w:r>
        <w:rPr>
          <w:rFonts w:ascii="Times New Roman" w:cs="Times New Roman" w:eastAsia="Times New Roman" w:hAnsi="Times New Roman"/>
          <w:sz w:val="18"/>
          <w:szCs w:val="18"/>
          <w:i w:val="1"/>
          <w:iCs w:val="1"/>
          <w:color w:val="auto"/>
        </w:rPr>
        <w:t>Accounting for Contract Assets and Contract Liabilities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2021-08</w:t>
      </w:r>
      <w:r>
        <w:rPr>
          <w:rFonts w:ascii="Times New Roman" w:cs="Times New Roman" w:eastAsia="Times New Roman" w:hAnsi="Times New Roman"/>
          <w:sz w:val="18"/>
          <w:szCs w:val="18"/>
          <w:color w:val="auto"/>
        </w:rPr>
        <w:t>”), to require that an acquirer recognize, and measure contract assets and contract liabilities acquired in a business combination in accordance with FASB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At the acquisition date, an acquirer should account for the related revenue contracts in accordance with Topic 606 as if it had originated the contracts. The amendments in ASU 2021-08 should be applied prospectively and are effective for fiscal years beginning after December 15,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including interim periods within those fiscal years. We do not expect the adoption of ASU 2021-08 to have a material impact on our consolidated financial statements and related disclosures.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200" w:lineRule="exact"/>
        <w:rPr>
          <w:sz w:val="20"/>
          <w:szCs w:val="20"/>
          <w:color w:val="auto"/>
        </w:rPr>
      </w:pPr>
    </w:p>
    <w:p>
      <w:pPr>
        <w:spacing w:after="0" w:line="201" w:lineRule="exact"/>
        <w:rPr>
          <w:sz w:val="20"/>
          <w:szCs w:val="20"/>
          <w:color w:val="auto"/>
        </w:rPr>
      </w:pPr>
    </w:p>
    <w:p>
      <w:pPr>
        <w:ind w:left="620" w:hanging="594"/>
        <w:spacing w:after="0"/>
        <w:tabs>
          <w:tab w:leader="none" w:pos="6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PRODUCT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2018, the Company adopted Topic 606 and, as it had no prior revenue or contracts with customers, there was no transition required nor any impact on prior results. Topic 606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that include various combinations of products, accessories, software and services, each of which are generally distinct and are accounted for as separate performance obligations. Product sales includes BolaWrap products and accessories. Other revenue includes VR revenues, service, training and shipping revenues.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a customer and is the unit of account in Topic 606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Times New Roman" w:cs="Times New Roman" w:eastAsia="Times New Roman" w:hAnsi="Times New Roman"/>
          <w:sz w:val="18"/>
          <w:szCs w:val="18"/>
          <w:i w:val="1"/>
          <w:iCs w:val="1"/>
          <w:color w:val="auto"/>
        </w:rPr>
        <w:t>SSP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SSPs</w:t>
      </w:r>
      <w:r>
        <w:rPr>
          <w:rFonts w:ascii="Times New Roman" w:cs="Times New Roman" w:eastAsia="Times New Roman" w:hAnsi="Times New Roman"/>
          <w:sz w:val="18"/>
          <w:szCs w:val="18"/>
          <w:color w:val="auto"/>
        </w:rPr>
        <w:t>”) of each distinct good or service in a contract. The Company determines SSPs based on the relative SSP. If the SSP is not observable through past transactions, the Company estimates the SSP considering available information such as market conditions and internally approved pricing guidelines related to the performance obligations.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of the Company’s products and accessories are sold through domestic and international distributors. 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recognize shipping costs as an expense in cost of revenue when control has transferred to the customer.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Time-based VR system contracts generally include setup, training and the use of software and hardware for a fixed term, generally one to five years and support and upgrade services during the same period. The Company does not sell time-based arrangements without setup, training and support services and therefore revenues for the entire arrangement are recognized on a straight-line basis over the term. When hardware is bundled and not sold separately the Company allocates the contract transaction price to each performance obligation using the SSP of each distinct good and service in the contract.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 The table below details the activity in our contract liabilities during the nine months ended September 30, 2022.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Deferred</w:t>
            </w:r>
          </w:p>
        </w:tc>
      </w:tr>
      <w:tr>
        <w:trPr>
          <w:trHeight w:val="238"/>
        </w:trPr>
        <w:tc>
          <w:tcPr>
            <w:tcW w:w="8000" w:type="dxa"/>
            <w:vAlign w:val="bottom"/>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net</w:t>
            </w:r>
          </w:p>
        </w:tc>
        <w:tc>
          <w:tcPr>
            <w:tcW w:w="1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to revenue</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Current portion</w:t>
            </w:r>
          </w:p>
        </w:tc>
        <w:tc>
          <w:tcPr>
            <w:tcW w:w="1180" w:type="dxa"/>
            <w:vAlign w:val="bottom"/>
            <w:tcBorders>
              <w:bottom w:val="single" w:sz="8" w:color="auto"/>
            </w:tcBorders>
            <w:shd w:val="clear" w:color="auto" w:fill="CCEEFF"/>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Long-term portion</w:t>
            </w:r>
          </w:p>
        </w:tc>
        <w:tc>
          <w:tcPr>
            <w:tcW w:w="1180" w:type="dxa"/>
            <w:vAlign w:val="bottom"/>
          </w:tcPr>
          <w:p>
            <w:pPr>
              <w:jc w:val="right"/>
              <w:ind w:right="9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32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156</w:t>
            </w:r>
          </w:p>
        </w:tc>
      </w:tr>
      <w:tr>
        <w:trPr>
          <w:trHeight w:val="20"/>
        </w:trPr>
        <w:tc>
          <w:tcPr>
            <w:tcW w:w="80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the Company’s deferred revenue of $300 consisted of $177 related to VR training and $123 related to BolaWrap extended warranties and services. At December 31, 2021, the Company’s deferred revenue of $265 consisted of $172 related to VR training and $67 related to extended warranties and services.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September 30, 2022, and December 31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apply the practical expedient to expense any sales commissions related to performance obligations with an amortization of one year or less when incurred within selling, general and administrative expense.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Estimated costs for the Company’s standard warranty, generally one-year, are charged to cost of products sold when revenue is recorded for the related product. Royalties are also charged to cost of products sold.</w:t>
      </w:r>
    </w:p>
    <w:p>
      <w:pPr>
        <w:spacing w:after="0" w:line="200" w:lineRule="exact"/>
        <w:rPr>
          <w:sz w:val="20"/>
          <w:szCs w:val="20"/>
          <w:color w:val="auto"/>
        </w:rPr>
      </w:pPr>
    </w:p>
    <w:p>
      <w:pPr>
        <w:spacing w:after="0" w:line="201" w:lineRule="exact"/>
        <w:rPr>
          <w:sz w:val="20"/>
          <w:szCs w:val="20"/>
          <w:color w:val="auto"/>
        </w:rPr>
      </w:pPr>
    </w:p>
    <w:p>
      <w:pPr>
        <w:ind w:left="620" w:hanging="594"/>
        <w:spacing w:after="0"/>
        <w:tabs>
          <w:tab w:leader="none" w:pos="6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 by little or no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w:t>
      </w:r>
    </w:p>
    <w:p>
      <w:pPr>
        <w:spacing w:after="0" w:line="16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cash equivalent Money Market Funds and short-term investments consisting of U.S. Treasury bill securities are classified as Level I because they are valued using quoted market prices.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cash and cash equivalents, Money Market Funds and short-term investments by significant investment category as of September 30,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 in short-term investments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19,865</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23,247</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6"/>
                <w:szCs w:val="16"/>
                <w:color w:val="auto"/>
              </w:rPr>
            </w:pPr>
          </w:p>
        </w:tc>
        <w:tc>
          <w:tcPr>
            <w:tcW w:w="9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 in short-term investments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29,983</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31,653</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gains or losses resulting from our short-term investments are recorded in accumulated other comprehensive gain or loss. During the three and nine months ended September 30, 2022, a $73 gain and $62 gain was recorded to accumulated other comprehensive gain (loss), respectively. During the three and nine months ended September 30, 2021, a $2 loss and a $4 loss was recorded to accumulated other comprehensive loss,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200" w:lineRule="exact"/>
        <w:rPr>
          <w:sz w:val="20"/>
          <w:szCs w:val="20"/>
          <w:color w:val="auto"/>
        </w:rPr>
      </w:pPr>
    </w:p>
    <w:p>
      <w:pPr>
        <w:spacing w:after="0" w:line="201" w:lineRule="exact"/>
        <w:rPr>
          <w:sz w:val="20"/>
          <w:szCs w:val="20"/>
          <w:color w:val="auto"/>
        </w:rPr>
      </w:pPr>
    </w:p>
    <w:p>
      <w:pPr>
        <w:ind w:left="620" w:hanging="594"/>
        <w:spacing w:after="0"/>
        <w:tabs>
          <w:tab w:leader="none" w:pos="6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4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6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lab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8"/>
              </w:rPr>
              <w:t>Tooling</w:t>
            </w: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improvements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r>
      <w:tr>
        <w:trPr>
          <w:trHeight w:val="210"/>
        </w:trPr>
        <w:tc>
          <w:tcPr>
            <w:tcW w:w="5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$121 and $359 for the three and nine months ended September 30, 2022 and was $69 and $191 for the three and nine months ended September 30, 2021, respectively.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78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6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160" w:type="dxa"/>
            <w:vAlign w:val="bottom"/>
            <w:shd w:val="clear" w:color="auto" w:fill="CCEEFF"/>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60" w:type="dxa"/>
            <w:vAlign w:val="bottom"/>
          </w:tcPr>
          <w:p>
            <w:pPr>
              <w:spacing w:after="0"/>
              <w:rPr>
                <w:sz w:val="18"/>
                <w:szCs w:val="18"/>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w:t>
            </w:r>
          </w:p>
        </w:tc>
      </w:tr>
      <w:tr>
        <w:trPr>
          <w:trHeight w:val="216"/>
        </w:trPr>
        <w:tc>
          <w:tcPr>
            <w:tcW w:w="160" w:type="dxa"/>
            <w:vAlign w:val="bottom"/>
            <w:shd w:val="clear" w:color="auto" w:fill="CCEEFF"/>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210"/>
        </w:trPr>
        <w:tc>
          <w:tcPr>
            <w:tcW w:w="16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amortizable</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life assets (non-amortizable)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1,982</w:t>
            </w:r>
          </w:p>
        </w:tc>
      </w:tr>
      <w:tr>
        <w:trPr>
          <w:trHeight w:val="20"/>
        </w:trPr>
        <w:tc>
          <w:tcPr>
            <w:tcW w:w="1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was $72 and $215 for the three and nine months ended September 30, 2022 and was $48 and $145 for the three and nine months ended September 30, 2021,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2022, future amortization expense is as follows:</w:t>
            </w:r>
          </w:p>
        </w:tc>
        <w:tc>
          <w:tcPr>
            <w:tcW w:w="2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(3 months)</w:t>
            </w:r>
          </w:p>
        </w:tc>
        <w:tc>
          <w:tcPr>
            <w:tcW w:w="30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r>
      <w:tr>
        <w:trPr>
          <w:trHeight w:val="250"/>
        </w:trPr>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2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ind w:left="600" w:hanging="574"/>
        <w:spacing w:after="0"/>
        <w:tabs>
          <w:tab w:leader="none" w:pos="6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Accounts payable includes $61 and $228 due to related party Syzygy Licensing, LLC (“</w:t>
      </w:r>
      <w:r>
        <w:rPr>
          <w:rFonts w:ascii="Times New Roman" w:cs="Times New Roman" w:eastAsia="Times New Roman" w:hAnsi="Times New Roman"/>
          <w:sz w:val="18"/>
          <w:szCs w:val="18"/>
          <w:i w:val="1"/>
          <w:iCs w:val="1"/>
          <w:color w:val="auto"/>
        </w:rPr>
        <w:t>Syzygy</w:t>
      </w:r>
      <w:r>
        <w:rPr>
          <w:rFonts w:ascii="Times New Roman" w:cs="Times New Roman" w:eastAsia="Times New Roman" w:hAnsi="Times New Roman"/>
          <w:sz w:val="18"/>
          <w:szCs w:val="18"/>
          <w:color w:val="auto"/>
        </w:rPr>
        <w:t>”) as of September 30, 2022, and December 31, 2021, respectively. See Notes 10, 11, and 12 for additional related party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3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and legal costs</w:t>
            </w:r>
          </w:p>
        </w:tc>
        <w:tc>
          <w:tcPr>
            <w:tcW w:w="3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Taxes and other</w:t>
            </w:r>
          </w:p>
        </w:tc>
        <w:tc>
          <w:tcPr>
            <w:tcW w:w="3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49"/>
        </w:trPr>
        <w:tc>
          <w:tcPr>
            <w:tcW w:w="4300" w:type="dxa"/>
            <w:vAlign w:val="bottom"/>
            <w:shd w:val="clear" w:color="auto" w:fill="CCEEFF"/>
          </w:tcPr>
          <w:p>
            <w:pPr>
              <w:spacing w:after="0"/>
              <w:rPr>
                <w:sz w:val="21"/>
                <w:szCs w:val="21"/>
                <w:color w:val="auto"/>
              </w:rPr>
            </w:pPr>
          </w:p>
        </w:tc>
        <w:tc>
          <w:tcPr>
            <w:tcW w:w="3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412"/>
        </w:trPr>
        <w:tc>
          <w:tcPr>
            <w:tcW w:w="4300" w:type="dxa"/>
            <w:vAlign w:val="bottom"/>
            <w:tcBorders>
              <w:top w:val="single" w:sz="8" w:color="CCEEFF"/>
            </w:tcBorders>
          </w:tcPr>
          <w:p>
            <w:pPr>
              <w:spacing w:after="0"/>
              <w:rPr>
                <w:sz w:val="24"/>
                <w:szCs w:val="24"/>
                <w:color w:val="auto"/>
              </w:rPr>
            </w:pPr>
          </w:p>
        </w:tc>
        <w:tc>
          <w:tcPr>
            <w:tcW w:w="3700" w:type="dxa"/>
            <w:vAlign w:val="bottom"/>
            <w:tcBorders>
              <w:top w:val="single" w:sz="8" w:color="CCEEFF"/>
            </w:tcBorders>
          </w:tcPr>
          <w:p>
            <w:pPr>
              <w:jc w:val="right"/>
              <w:ind w:right="21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30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933"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compensation includes $25 of future severance payments for the Company’s former Chief Executive Officer payable through October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estimated product warranty costs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8000" w:type="dxa"/>
            <w:vAlign w:val="bottom"/>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Warranty settlements</w:t>
            </w:r>
          </w:p>
        </w:tc>
        <w:tc>
          <w:tcPr>
            <w:tcW w:w="10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w:t>
            </w:r>
          </w:p>
        </w:tc>
        <w:tc>
          <w:tcPr>
            <w:tcW w:w="10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80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20" w:hanging="594"/>
        <w:spacing w:after="0"/>
        <w:tabs>
          <w:tab w:leader="none" w:pos="6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The guidance in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defines a lease as a contract, or part of a contract, that conveys the right to control the use of identified property, plant, or equipment (an identified asset) for a period of time in exchange for consideration. Operating lease right of use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ROU</w:t>
      </w:r>
      <w:r>
        <w:rPr>
          <w:rFonts w:ascii="Times New Roman" w:cs="Times New Roman" w:eastAsia="Times New Roman" w:hAnsi="Times New Roman"/>
          <w:sz w:val="18"/>
          <w:szCs w:val="18"/>
          <w:color w:val="auto"/>
        </w:rPr>
        <w:t>”)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leases beginning on or after January 1,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lease components are accounted for separately from non-lease components for all asset classes. On January 21, 2022, the Company’s lease was amended to extend the expiration date to July 31, 2025. Upon execution of the amendment, which was deemed a lease modification, the Company reassessed the lease liability using the discount rate determined at the modification date and recorded an additional ROU asset for the same amount. The Company’s lease contains renewal provisions and escalating rental clauses and generally require the Company to pay utilities, insurance, taxes and other operating expenses. The renewal provisions of the existing lease agreement was not included in the determination of the operating lease liabilities and the ROU assets. The Company also reassessed the lease classification and concluded that the lease continues to be an operating lease.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ROU operating lease assets was $26 and $75 for the three and nine months ended September 30, 2022 and was $21 and $67 for the three and nine months ended September 30, 2021,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 for capitalized operating leases included in operating activities was $30 and $88 for the three and nine months ended September 30, 2022 and was $23 and $73 for the three and nine months ended September 30,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obligations recorded on the balance sheet at September 30, 2022, 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jc w:val="center"/>
              <w:ind w:right="135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6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402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Operating lease liability - long term</w:t>
            </w:r>
          </w:p>
        </w:tc>
        <w:tc>
          <w:tcPr>
            <w:tcW w:w="56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r>
      <w:tr>
        <w:trPr>
          <w:trHeight w:val="250"/>
        </w:trPr>
        <w:tc>
          <w:tcPr>
            <w:tcW w:w="4020" w:type="dxa"/>
            <w:vAlign w:val="bottom"/>
            <w:shd w:val="clear" w:color="auto" w:fill="CCEEFF"/>
          </w:tcPr>
          <w:p>
            <w:pPr>
              <w:jc w:val="center"/>
              <w:ind w:right="1310"/>
              <w:spacing w:after="0"/>
              <w:rPr>
                <w:sz w:val="20"/>
                <w:szCs w:val="20"/>
                <w:color w:val="auto"/>
              </w:rPr>
            </w:pPr>
            <w:r>
              <w:rPr>
                <w:rFonts w:ascii="Times New Roman" w:cs="Times New Roman" w:eastAsia="Times New Roman" w:hAnsi="Times New Roman"/>
                <w:sz w:val="18"/>
                <w:szCs w:val="18"/>
                <w:color w:val="auto"/>
                <w:w w:val="99"/>
              </w:rPr>
              <w:t>Total Operating Lease Liability</w:t>
            </w:r>
          </w:p>
        </w:tc>
        <w:tc>
          <w:tcPr>
            <w:tcW w:w="6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r>
      <w:tr>
        <w:trPr>
          <w:trHeight w:val="413"/>
        </w:trPr>
        <w:tc>
          <w:tcPr>
            <w:tcW w:w="4020" w:type="dxa"/>
            <w:vAlign w:val="bottom"/>
            <w:tcBorders>
              <w:top w:val="single" w:sz="8" w:color="CCEEFF"/>
            </w:tcBorders>
          </w:tcPr>
          <w:p>
            <w:pPr>
              <w:spacing w:after="0"/>
              <w:rPr>
                <w:sz w:val="24"/>
                <w:szCs w:val="24"/>
                <w:color w:val="auto"/>
              </w:rPr>
            </w:pPr>
          </w:p>
        </w:tc>
        <w:tc>
          <w:tcPr>
            <w:tcW w:w="5660" w:type="dxa"/>
            <w:vAlign w:val="bottom"/>
            <w:tcBorders>
              <w:top w:val="single" w:sz="8" w:color="CCEEFF"/>
            </w:tcBorders>
          </w:tcPr>
          <w:p>
            <w:pPr>
              <w:jc w:val="right"/>
              <w:ind w:right="381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20" w:type="dxa"/>
            <w:vAlign w:val="bottom"/>
            <w:tcBorders>
              <w:bottom w:val="single" w:sz="8" w:color="auto"/>
            </w:tcBorders>
          </w:tcPr>
          <w:p>
            <w:pPr>
              <w:spacing w:after="0"/>
              <w:rPr>
                <w:sz w:val="10"/>
                <w:szCs w:val="10"/>
                <w:color w:val="auto"/>
              </w:rPr>
            </w:pPr>
          </w:p>
        </w:tc>
        <w:tc>
          <w:tcPr>
            <w:tcW w:w="5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included in the measurement of lease liabilities on the balance sheet at September 30, 2022, for future periods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(3 months)</w:t>
            </w:r>
          </w:p>
        </w:tc>
        <w:tc>
          <w:tcPr>
            <w:tcW w:w="40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3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r>
      <w:tr>
        <w:trPr>
          <w:trHeight w:val="209"/>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is 2.83 years, and the weighted average discount rate is 5.0%.</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$3 and $0 short-term lease expense during the nine months ended September 30, 2022, and 2021. The Company does not have any finance leases.</w:t>
      </w:r>
    </w:p>
    <w:p>
      <w:pPr>
        <w:spacing w:after="0" w:line="200" w:lineRule="exact"/>
        <w:rPr>
          <w:sz w:val="20"/>
          <w:szCs w:val="20"/>
          <w:color w:val="auto"/>
        </w:rPr>
      </w:pPr>
    </w:p>
    <w:p>
      <w:pPr>
        <w:spacing w:after="0" w:line="201" w:lineRule="exact"/>
        <w:rPr>
          <w:sz w:val="20"/>
          <w:szCs w:val="20"/>
          <w:color w:val="auto"/>
        </w:rPr>
      </w:pPr>
    </w:p>
    <w:p>
      <w:pPr>
        <w:ind w:left="620" w:hanging="594"/>
        <w:spacing w:after="0"/>
        <w:tabs>
          <w:tab w:leader="none" w:pos="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authorized capital consists of 150,000,000 shares of Common Stock, par value $0.0001 per share, and 5,000,000 shares of preferred stock, par value $0.0001 per share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2021 the Company had outstanding Common Stock purchase warrants exercisable for 1,391,667 shares that expired on June 1, 2022, and had no purchase warrants outstanding at September 30, 2022.</w:t>
      </w:r>
    </w:p>
    <w:p>
      <w:pPr>
        <w:spacing w:after="0" w:line="200" w:lineRule="exact"/>
        <w:rPr>
          <w:sz w:val="20"/>
          <w:szCs w:val="20"/>
          <w:color w:val="auto"/>
        </w:rPr>
      </w:pPr>
    </w:p>
    <w:p>
      <w:pPr>
        <w:spacing w:after="0" w:line="201" w:lineRule="exact"/>
        <w:rPr>
          <w:sz w:val="20"/>
          <w:szCs w:val="20"/>
          <w:color w:val="auto"/>
        </w:rPr>
      </w:pPr>
    </w:p>
    <w:p>
      <w:pPr>
        <w:ind w:left="700" w:hanging="674"/>
        <w:spacing w:after="0"/>
        <w:tabs>
          <w:tab w:leader="none" w:pos="7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2017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adopted, and the stockholders approved, the 2017 Stock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authorizing 2,000,000 shares of Common Stock for issuance as awards to employees, directors or consultants. In May 2019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stockholders ratified an increase in the Plan authorizing an additional 2,100,000 shares of Common Stock, in June 2020 ratified an additional 1,900,000 shares of Common Stock, in June 2021 ratified an additional 1,500,000 shares of Common Stock and in June 2022 ratified an additional 1,500,000 shares of Common Stock, for a total of 9,000,000 shares subject to the Plan. At September 30, 2022, there were 1,624,160 shares of Common Stock remaining available for grant under the Plan.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generally recognizes share-based compensation expense on the grant date and over the period of vesting or period that services will be provided. In January 2022 the Company recognized severance acceleration of $242 of share-based compensation expense resulting from the resignation of the Company’s Chief Executive Officer as part of a management transition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Options on</w:t>
            </w:r>
          </w:p>
        </w:tc>
        <w:tc>
          <w:tcPr>
            <w:tcW w:w="160" w:type="dxa"/>
            <w:vAlign w:val="bottom"/>
          </w:tcPr>
          <w:p>
            <w:pPr>
              <w:spacing w:after="0"/>
              <w:rPr>
                <w:sz w:val="20"/>
                <w:szCs w:val="20"/>
                <w:color w:val="auto"/>
              </w:rPr>
            </w:pPr>
          </w:p>
        </w:tc>
        <w:tc>
          <w:tcPr>
            <w:tcW w:w="25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40" w:type="dxa"/>
            <w:vAlign w:val="bottom"/>
          </w:tcPr>
          <w:p>
            <w:pPr>
              <w:spacing w:after="0"/>
              <w:rPr>
                <w:sz w:val="20"/>
                <w:szCs w:val="20"/>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3,935,883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2,734,639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cancelled, expired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(978,709)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5,636,313</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232,778</w:t>
            </w:r>
          </w:p>
        </w:tc>
        <w:tc>
          <w:tcPr>
            <w:tcW w:w="0" w:type="dxa"/>
            <w:vAlign w:val="bottom"/>
          </w:tcPr>
          <w:p>
            <w:pPr>
              <w:spacing w:after="0"/>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September 30, 2022</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2,507,744</w:t>
            </w:r>
          </w:p>
        </w:tc>
        <w:tc>
          <w:tcPr>
            <w:tcW w:w="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13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232,778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2022, there were 4,022,083 service-based stock options outstanding, and 1,614,230 performance-based stock options outstanding, which performance-based stock options were granted in April 2022 to the Company’s Chief Executive Officer and President, subject to future market capitalization targets. 1,049,145 of the 4,013,885 stock options granted included in the table above were granted in April 2022 outside the Plan as an employment inducement grant, but are subject to the terms and conditions of the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service-based options granted. The following table summarizes the assumptions used to compute the fair value of options granted to employees and non-employees: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4980" w:type="dxa"/>
            <w:vAlign w:val="bottom"/>
            <w:gridSpan w:val="3"/>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60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4980" w:type="dxa"/>
            <w:vAlign w:val="bottom"/>
            <w:gridSpan w:val="3"/>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600" w:type="dxa"/>
            <w:vAlign w:val="bottom"/>
          </w:tcPr>
          <w:p>
            <w:pPr>
              <w:spacing w:after="0"/>
              <w:rPr>
                <w:sz w:val="18"/>
                <w:szCs w:val="18"/>
                <w:color w:val="auto"/>
              </w:rPr>
            </w:pPr>
          </w:p>
        </w:tc>
      </w:tr>
      <w:tr>
        <w:trPr>
          <w:trHeight w:val="238"/>
        </w:trPr>
        <w:tc>
          <w:tcPr>
            <w:tcW w:w="56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 years</w:t>
            </w:r>
          </w:p>
        </w:tc>
        <w:tc>
          <w:tcPr>
            <w:tcW w:w="328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3.46</w:t>
            </w:r>
          </w:p>
        </w:tc>
        <w:tc>
          <w:tcPr>
            <w:tcW w:w="1060" w:type="dxa"/>
            <w:vAlign w:val="bottom"/>
          </w:tcPr>
          <w:p>
            <w:pPr>
              <w:spacing w:after="0"/>
              <w:rPr>
                <w:sz w:val="18"/>
                <w:szCs w:val="18"/>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56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328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c>
          <w:tcPr>
            <w:tcW w:w="106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2.57</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exercise data.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used the Monte Carlo Simulation Model to value at the grant date the aggregate of 1,614,230 market condition performance options granted in April 2022 to the Company’s newly appointed Chief Executive Officer and a newly appointed President. The assumptions used in the Monte Carlo Simulation were stock price on date of grant of $2.89, contract term of 10 years, expected volatility of 49% and risk-free interest rate of 2.9%. Vesting is based on sustained market capitalization of $250 million, $500 million and $1 billion and resulted in implied service periods ranging from approximately 4 to 7 years.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option expense was $308 and $1,448 for the three and nine months ended September 30, 2022 and was $1.302 and $4,310 for the three and nine months ended September 30,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Plan provides for the grant of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RSUs are settled in shares of the Company’s Common Stock as the RSUs become vested. The following table summarizes RSU activity for the nine months ended September 30,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January 1, 2022</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Granted - service based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Forfeited and cancelled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September 30, 2022</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Service-Based</w:t>
            </w:r>
          </w:p>
        </w:tc>
        <w:tc>
          <w:tcPr>
            <w:tcW w:w="16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Vesting</w:t>
            </w:r>
          </w:p>
        </w:tc>
      </w:tr>
      <w:tr>
        <w:trPr>
          <w:trHeight w:val="238"/>
        </w:trPr>
        <w:tc>
          <w:tcPr>
            <w:tcW w:w="17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 (Years)</w:t>
            </w:r>
          </w:p>
        </w:tc>
      </w:tr>
      <w:tr>
        <w:trPr>
          <w:trHeight w:val="191"/>
        </w:trPr>
        <w:tc>
          <w:tcPr>
            <w:tcW w:w="1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269,303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5"/>
              </w:rPr>
              <w:t>6.47</w:t>
            </w:r>
          </w:p>
        </w:tc>
        <w:tc>
          <w:tcPr>
            <w:tcW w:w="2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16"/>
        </w:trPr>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753,817</w:t>
            </w:r>
          </w:p>
        </w:tc>
        <w:tc>
          <w:tcPr>
            <w:tcW w:w="2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2.57</w:t>
            </w:r>
          </w:p>
        </w:tc>
        <w:tc>
          <w:tcPr>
            <w:tcW w:w="1460" w:type="dxa"/>
            <w:vAlign w:val="bottom"/>
          </w:tcPr>
          <w:p>
            <w:pPr>
              <w:spacing w:after="0"/>
              <w:rPr>
                <w:sz w:val="18"/>
                <w:szCs w:val="18"/>
                <w:color w:val="auto"/>
              </w:rPr>
            </w:pPr>
          </w:p>
        </w:tc>
      </w:tr>
      <w:tr>
        <w:trPr>
          <w:trHeight w:val="216"/>
        </w:trPr>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(218,133)</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4.93</w:t>
            </w:r>
          </w:p>
        </w:tc>
        <w:tc>
          <w:tcPr>
            <w:tcW w:w="1460" w:type="dxa"/>
            <w:vAlign w:val="bottom"/>
          </w:tcPr>
          <w:p>
            <w:pPr>
              <w:spacing w:after="0"/>
              <w:rPr>
                <w:sz w:val="18"/>
                <w:szCs w:val="18"/>
                <w:color w:val="auto"/>
              </w:rPr>
            </w:pPr>
          </w:p>
        </w:tc>
      </w:tr>
      <w:tr>
        <w:trPr>
          <w:trHeight w:val="234"/>
        </w:trPr>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(60,023)</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6.57</w:t>
            </w:r>
          </w:p>
        </w:tc>
        <w:tc>
          <w:tcPr>
            <w:tcW w:w="1460" w:type="dxa"/>
            <w:vAlign w:val="bottom"/>
          </w:tcPr>
          <w:p>
            <w:pPr>
              <w:spacing w:after="0"/>
              <w:rPr>
                <w:sz w:val="20"/>
                <w:szCs w:val="20"/>
                <w:color w:val="auto"/>
              </w:rPr>
            </w:pPr>
          </w:p>
        </w:tc>
      </w:tr>
      <w:tr>
        <w:trPr>
          <w:trHeight w:val="210"/>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744,964</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2.97</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total of 175,173 RSUs included in the table above were granted in April 2022 outside the Plan as an employment inducement grant but are subject to the terms and conditions of the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RSU expense was $564 and $1,180 for the three and nine months ended September 30, 2022 and was $467 and $2,245 for the three and nine months ended September 30,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share-based compensation for options and RSUs in its statements of operations for the relevant periods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16"/>
        </w:trPr>
        <w:tc>
          <w:tcPr>
            <w:tcW w:w="5980" w:type="dxa"/>
            <w:vAlign w:val="bottom"/>
          </w:tcPr>
          <w:p>
            <w:pPr>
              <w:spacing w:after="0"/>
              <w:rPr>
                <w:sz w:val="18"/>
                <w:szCs w:val="18"/>
                <w:color w:val="auto"/>
              </w:rPr>
            </w:pPr>
          </w:p>
        </w:tc>
        <w:tc>
          <w:tcPr>
            <w:tcW w:w="2080" w:type="dxa"/>
            <w:vAlign w:val="bottom"/>
            <w:gridSpan w:val="4"/>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9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w:t>
            </w:r>
          </w:p>
        </w:tc>
        <w:tc>
          <w:tcPr>
            <w:tcW w:w="7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1,093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w:t>
            </w:r>
          </w:p>
        </w:tc>
        <w:tc>
          <w:tcPr>
            <w:tcW w:w="7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r>
      <w:tr>
        <w:trPr>
          <w:trHeight w:val="20"/>
        </w:trPr>
        <w:tc>
          <w:tcPr>
            <w:tcW w:w="5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expense</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872</w:t>
            </w:r>
          </w:p>
        </w:tc>
        <w:tc>
          <w:tcPr>
            <w:tcW w:w="7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1,303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total estimated compensation expense of stock options granted and outstanding but not yet vested was $3,820 which is expected to be recognized over the weighted average period of 3.5 years. As of September 30, 2022, total estimated compensation cost of RSUs granted and outstanding but not yet vested was $1,828 which is expected to be recognized over the weighted average period of 2.3 years.</w:t>
      </w:r>
    </w:p>
    <w:p>
      <w:pPr>
        <w:spacing w:after="0" w:line="200" w:lineRule="exact"/>
        <w:rPr>
          <w:sz w:val="20"/>
          <w:szCs w:val="20"/>
          <w:color w:val="auto"/>
        </w:rPr>
      </w:pPr>
    </w:p>
    <w:p>
      <w:pPr>
        <w:spacing w:after="0" w:line="215" w:lineRule="exact"/>
        <w:rPr>
          <w:sz w:val="20"/>
          <w:szCs w:val="20"/>
          <w:color w:val="auto"/>
        </w:rPr>
      </w:pPr>
    </w:p>
    <w:p>
      <w:pPr>
        <w:ind w:left="700" w:hanging="674"/>
        <w:spacing w:after="0"/>
        <w:tabs>
          <w:tab w:leader="none" w:pos="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Lease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Technology License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obligated to pay royalties and development and patent costs pursuant to an exclusive Amended and Restated Intellectual Property License Agreement dated as of September 30, 2016, with Syzygy, a company owned and controlled by stockholder/consultant Mr. Elwood Norris and stockholder/consultant Mr. James Barnes. The agreement provides for royalty payments of 4% of revenue from products employing the licensed ensnarement device technology up to an aggregate of $1,000 in royalties or until September 30,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whichever occurs earlier. The Company recorded $61 and $147 for royalties during the three and nine months ended September 30, 2022 and $65 and $185 incurred for the three and nine months ended September 30,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2022, the Company was committed for approximately $4,376 for future component deliveries that are generally subject to modification or rescheduling in the normal course of business.</w:t>
      </w:r>
    </w:p>
    <w:p>
      <w:pPr>
        <w:spacing w:after="0" w:line="200" w:lineRule="exact"/>
        <w:rPr>
          <w:sz w:val="20"/>
          <w:szCs w:val="20"/>
          <w:color w:val="auto"/>
        </w:rPr>
      </w:pPr>
    </w:p>
    <w:p>
      <w:pPr>
        <w:spacing w:after="0" w:line="201" w:lineRule="exact"/>
        <w:rPr>
          <w:sz w:val="20"/>
          <w:szCs w:val="20"/>
          <w:color w:val="auto"/>
        </w:rPr>
      </w:pPr>
    </w:p>
    <w:p>
      <w:pPr>
        <w:ind w:left="700" w:hanging="674"/>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Commencing in October 2017 the Company began reimbursing Mr. Elwood Norris, a former officer and current stockholder and consultant of the Company, $1.5 per month on a month-to-month basis for laboratory facility expense, for an aggregate of $13.5 during the nine months ended September 30,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7, 10 and 11 for additional information on related party transactions and obligations.</w:t>
      </w:r>
    </w:p>
    <w:p>
      <w:pPr>
        <w:spacing w:after="0" w:line="200" w:lineRule="exact"/>
        <w:rPr>
          <w:sz w:val="20"/>
          <w:szCs w:val="20"/>
          <w:color w:val="auto"/>
        </w:rPr>
      </w:pPr>
    </w:p>
    <w:p>
      <w:pPr>
        <w:spacing w:after="0" w:line="264" w:lineRule="exact"/>
        <w:rPr>
          <w:sz w:val="20"/>
          <w:szCs w:val="20"/>
          <w:color w:val="auto"/>
        </w:rPr>
      </w:pPr>
    </w:p>
    <w:p>
      <w:pPr>
        <w:ind w:left="700" w:hanging="674"/>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 AND RELATED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revenues from one distributor accounted for approximately 59%, of revenues with no other single customer accounting for more than 10% of total revenues. For the three months ended September 30, 2021, revenues from two distributors accounted for approximately 41% and 29% of revenues with no other single customer accounting for more than 10% of total revenues.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revenues from one distributor accounted for approximately 39% of revenues with no other single customer accounting for more than 10% of total revenues. For the nine months ended September 30, 2021, revenues from two distributors accounted for approximately 27% and 21% of revenues with no other single customer accounting for more than 10% of total revenues.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accounts receivable from two distributors accounted for 42% and 15% of accounts receivable with no other single customer accounting for more than 10% of the accounts receivable balance. Three distributors accounted for 48%, 16% and 15% of accounts receivable at December 31, 2021 with no other single customer accounting for more than 10% of the accounts receivable balance.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by geographic region. Revenues are attributed to countries based on customer’s delivery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40" w:type="dxa"/>
            <w:vAlign w:val="bottom"/>
          </w:tcPr>
          <w:p>
            <w:pPr>
              <w:spacing w:after="0"/>
              <w:rPr>
                <w:sz w:val="18"/>
                <w:szCs w:val="18"/>
                <w:color w:val="auto"/>
              </w:rPr>
            </w:pPr>
          </w:p>
        </w:tc>
        <w:tc>
          <w:tcPr>
            <w:tcW w:w="23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700" w:hanging="674"/>
        <w:spacing w:after="0"/>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October 11, 2022, the company received an order from an international government agency for the purchase of over 2,000 BolaWrap devices, cassettes and other accessories totaling over $1.5 million. This order will be recorded in the fourth quarter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for their potential impact on the financial statements and disclosures through the date the financial statements were available to be issued, and determined that, except as disclosed herein, no subsequent events occurred that were reasonably expected to impact the financial statements presented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financial statements and other financial information included elsewhere in this Quarterly Report on Form 10-Q (this “Report”) and with our audited financial statements and other information presented in our Annual Report on Form 10-K for the year ended December 31, 2021 (the “Annual Report”). The following discussion may contain forward-looking statements that reflect our plans, estimates and beliefs. Words such as “expect,” “anticipate,” “intend,” “plan,” “believe,” “seek,” “estimate,” “continue,” “may,” “will,” “could,” “would,” 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(“SEC”), including particularly matters set forth under Part I, Item 1A (Risk Factors) of the Annual Report. Furthermore, such forward-looking statements speak only as of the date of this Report. Except as required by law, we undertake no obligation to update any forward-looking statements to reflect events or circumstances after the date of such statements. For purposes of Management's Discussion and Analysis within this Report, all monetary amounts are stated in thousands except for par values and per share amounts, unless otherwise stated.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global public safety technology and services company organized in March 2016 delivering modern policing solutions to law enforcement and security personnel. We are a mission-driven organization focused on improving public safety encounters and outcomes. We began sales of our first public safety product, the BolaWrap 100 remote restraint device, in late 2018. In October 2021 we released a new generation product, the BolaWrap 150. The BolaWrap 150 is electronically deployed and is more robust, smaller, lighter and simpler to deploy than the BolaWrap 100 that is being phased out. In 2020 we added a new solution to our public safety technologies, which is our virtual reality (“</w:t>
      </w:r>
      <w:r>
        <w:rPr>
          <w:rFonts w:ascii="Times New Roman" w:cs="Times New Roman" w:eastAsia="Times New Roman" w:hAnsi="Times New Roman"/>
          <w:sz w:val="18"/>
          <w:szCs w:val="18"/>
          <w:i w:val="1"/>
          <w:iCs w:val="1"/>
          <w:color w:val="auto"/>
        </w:rPr>
        <w:t>VR</w:t>
      </w:r>
      <w:r>
        <w:rPr>
          <w:rFonts w:ascii="Times New Roman" w:cs="Times New Roman" w:eastAsia="Times New Roman" w:hAnsi="Times New Roman"/>
          <w:sz w:val="18"/>
          <w:szCs w:val="18"/>
          <w:color w:val="auto"/>
        </w:rPr>
        <w:t>”) training platform – Wrap Reality. Wrap Reality is now sold to law enforcement agencies for simulation training as well as corrections departments for the societal reentry scenarios.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immediate addressable domestic market for our solutions consists of approximately 900,000 full-time sworn law enforcement officers at over 15,300 federal, state and local law enforcement agencies, and over 12 million police officers in over 100 countries.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360iResearch, a market research consulting firm, we participate in a segment of the non-lethal products global market expected to grow to $16.1 billion by 2027.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focus our efforts on the following products and services: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BolaWrap Remote Restraint Device </w:t>
      </w:r>
      <w:r>
        <w:rPr>
          <w:rFonts w:ascii="Times New Roman" w:cs="Times New Roman" w:eastAsia="Times New Roman" w:hAnsi="Times New Roman"/>
          <w:sz w:val="18"/>
          <w:szCs w:val="18"/>
          <w:color w:val="auto"/>
        </w:rPr>
        <w:t>– is a hand-held remote restraint device that discharges an eight-foot bola style Kevlar tether to entangle an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range of 10-25 feet. BolaWrap assists law enforcement to safely and effectively control encounters early in the use of force continuum without resorting to painful force options.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Wrap Reality </w:t>
      </w:r>
      <w:r>
        <w:rPr>
          <w:rFonts w:ascii="Times New Roman" w:cs="Times New Roman" w:eastAsia="Times New Roman" w:hAnsi="Times New Roman"/>
          <w:sz w:val="18"/>
          <w:szCs w:val="18"/>
          <w:color w:val="auto"/>
        </w:rPr>
        <w:t>– is a law enforcement training system employing immersive computer graphics VR with proprietary software-enabled content. It allows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two participants to enter a simulated training environment simultaneously, and customized weapons controllers enable trainees to engage in strategic decision making along the force continuum.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United States law enforcement market, we have shipped our restraint products to 53 countries. We have established an active distributor network with 13 domestic distributors representing 50 states and one dealer representing Puerto Rico. We have distribution agreements with 49 international distributors covering 56 countries. We focus significant sales, training and business development efforts to support our global distribution network.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focus significant resources on research and development innovations and continue to enhance our products and plan to introduce new products. We believe we have established a strong branding and market presence globally and have established significant competitive advantages in our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Changes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reported in January 2022, the Board of Directors approved and initiated a leadership transition plan to support the next phase of its corporate strategy, which is focused on new leadership diversifying the Company’s suite of products, offerings and services. The transition and corporate strategy included the resignation of our President, Chief Executive Officer and director Thomas P. Smith and the announcement of the planned retirement of our Former Chief Financial Officer, Secretary and Treasurer James A. Barnes, who retired in July 2022 upon the appointment of Chris DeAlmeida as our Chief Financial Officer. After a period of transition managed by Special Transition Committee consisting of directors Scot Cohen and Kim Sentovich and including interim contract executives, on April 18, 2022, the Company appointed TJ Kennedy, a current director, as our Chief Executive Officer and Kevin Mullins as our President. Both Messrs. Kennedy and Mullins have significant leadership experience in public safety technology prior to their appointment. Mr. Mullins is leading go to market functions in the President role.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 and Challenges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and solutions continue to gain worldwide awareness and recognition through social media, media exposure, trade shows, product demonstrations and word of mouth as a result of positive responses from agencies and early adoption and deployment success. We believe Wrap is gaining traction as a recognized global brand, with innovative technology and an initial product foundation achieved through aggressive marketing and public relations. We believe that we have strong market opportunities for our remote restraint and VR solutions throughout the world in the law enforcement and security sectors as a result of increasing demands for less lethal policing and increasing threats posed by non-compliant subjects.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receive field reports of successful BolaWrap usage from law enforcement agencies. Many agencies consider BolaWrap as a very low level, or non-reportable, use of force option and, accordingly, many uses are not reported to us. Others are considered evidence and are also not shared. Some law enforcement agencies have shared bodycam footage of their field uses, some of which we are allowed to use in our marketing activities. We believe increased reports of avoiding escalation will help grow revenues in the future.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have a robust and growing pipeline of market opportunities for our restraint product offering and training services within the law enforcement, military, corrections, and homeland security business sectors domestically and internationally. Social trends demanding more compassionate and safe policing practices are expected to continue to drive our global business. We are pursuing large business prospects internationally and also pursuing business with large police agencies in the U.S. It is difficult to anticipate how long it will take to close these opportunities, or if they will ultimately come to fruition especially given the uncertainty of COVID-19 and social unrest, as discussed below.</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support our increased sales and distribution activities we have developed and offer robust training and class materials that certify law enforcement officers and trainers as BolaWrap instructors in the use and limitations of the BolaWrap in conjunction with modern policing tactics for de-escalation of encounters. We believe that law enforcement trainers and officers that have seen demonstrations or have been trained about our products are more supportive of their department’s purchase and deployment of product. As of September 30, 2022, over 1,315 agencies have received BolaWrap training with over 4,390 training officers at those agencies certified as BolaWrap instructors and qualified to train the rest of their departments. This represents a 39% increase in agencies and a 36% increase in training officers as compared to September 30, 2021.</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in the third fiscal quarter of 2022 reduced by 28% as compared to the third fiscal quarter of 2021. The focus on reducing operating expenses was an immediate focus on the new management team. In the second quarter, our new management team focused on assessing all facets of the business and completed a strategic roadmap to drive long-term growth and produce lasting value for shareholders. Our strategic roadmap is centered on sustainably growing sales through building repeatable domestic BolaWrap sales, ramping international sales on the new BolaWrap 150, and implementing a customer success function expanding existing agencies to full patrol-wide BolaWrap deployment. We also have added a dedicated inside sales function to grow our velocity on new leads. We will be expanding our distributor and partner relationships, and leveraging product diversification and innovation to catalyze sales growth. A key decision in the strategic roadmap was to improve our pricing on BolaWrap 150 devices and cassettes now that the product has proven itself to law enforcement as a significant upgrade. We have also transitioned to charging for our respected training services. We have implemented changes to how we sell Wrap Reality and have now solidified our go forward virtual reality model as a Software as a Service (“</w:t>
      </w:r>
      <w:r>
        <w:rPr>
          <w:rFonts w:ascii="Times New Roman" w:cs="Times New Roman" w:eastAsia="Times New Roman" w:hAnsi="Times New Roman"/>
          <w:sz w:val="18"/>
          <w:szCs w:val="18"/>
          <w:i w:val="1"/>
          <w:iCs w:val="1"/>
          <w:color w:val="auto"/>
        </w:rPr>
        <w:t>SaaS</w:t>
      </w:r>
      <w:r>
        <w:rPr>
          <w:rFonts w:ascii="Times New Roman" w:cs="Times New Roman" w:eastAsia="Times New Roman" w:hAnsi="Times New Roman"/>
          <w:sz w:val="18"/>
          <w:szCs w:val="18"/>
          <w:color w:val="auto"/>
        </w:rPr>
        <w:t>”) model. These changes will have significant positive impact on our future success and growth.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firmly believe that focusing on these strategic changes can drive significant sales growth and put us on a path to sustainable profitability. Management intends to execute on its strategic roadmap immediately driving changes in Q3. While geopolitical tensions and macroeconomic headwinds have impacted us in recent quarters, we remain uniquely positioned to deliver best-in-class technologies and data-driven services that can empower law enforcement officers across the globe to have safe, effective encounters with minimal use of force. Wrap has a distinct value proposition in a growing addressable market. Now with improved pricing, reduced operating expenses, and by growing future sales we expect to have reduced losses and improved cash flow.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recovering from supply chain impacts and a difficult transition from the BolaWrap 100 to the BolaWrap 150. We expect to make more product demonstrations and conduct more training sessions, especially in international markets, as pandemic-related restrictions continue to ease in 2022. We also expect to see increased sales momentum in the back half of 2022 internationally as we raise awareness of all of the BolaWrap 150 enhancements and transition countries to the BolaWrap 150. Lastly, we anticipate discount and promotional costs to decline after Q3 as we have phase out upgrade offers and prioritize growing brand awareness.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beyond 2022, we expect to continue to see strong sales growth of the BolaWrap 150 and Wrap Reality. This coupled with continued cost savings and cost control, should lead to a continuing reduction of cash burn going forward. As a result, we anticipate moving to a cash flow break-even point by the end of fiscal 2023, and we anticipate strong sales could lead to profitability by the end of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acquisition of NSENA in December 2020, and the rebranding of the NSENA business as Wrap Reality, we have continued to market our VR system while working to integrate previous scenarios into a robust platform, employing BolaWrap and additional de-escalation techniques into new Wrap Reality scenarios. The improved law enforcement simulator platform continues to be used by additional agencies. In July 2022 we announced new wins with large correction agencies in Ohio and Pennsylvania that introduced our new scenarios focused on societal reentry and preventing recidivism. We plan to increase marketing activities for our VR solution to both law enforcement and corrections.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2022, we had backlog of approximately $26 thousand expected to be delivered in the next twelve months. Additionally, we had deferred revenue of $300 thousand expected to be recognized generally over the next five years. Distributor and customer orders for future deliveries are generally subject to modification, rescheduling or in some instances, cancellation, in the normal course of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inception in March 2016, we have generated significant losses from operations and anticipate that we will continue to generate significant losses from operations for the foreseeable future. We believe that we have adequate financial resources to sustain our operations for the next year. In the third quarter of fiscal 2022 we reduced our net loss by more than $2 thousand versus the comparable prior year quarter. Net cash used in operations during the nine months ended September 30, 2022 was $2.8 million less than cash used in operations during the first nine months of the prior year.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we will need to continue to innovate new applications for our public safety technology, develop new products and technologies to meet diverse customer requirements and identify and develop new markets for our products.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2020, the World Health Organization ("</w:t>
      </w:r>
      <w:r>
        <w:rPr>
          <w:rFonts w:ascii="Times New Roman" w:cs="Times New Roman" w:eastAsia="Times New Roman" w:hAnsi="Times New Roman"/>
          <w:sz w:val="18"/>
          <w:szCs w:val="18"/>
          <w:i w:val="1"/>
          <w:iCs w:val="1"/>
          <w:color w:val="auto"/>
        </w:rPr>
        <w:t>WHO</w:t>
      </w:r>
      <w:r>
        <w:rPr>
          <w:rFonts w:ascii="Times New Roman" w:cs="Times New Roman" w:eastAsia="Times New Roman" w:hAnsi="Times New Roman"/>
          <w:sz w:val="18"/>
          <w:szCs w:val="18"/>
          <w:color w:val="auto"/>
        </w:rPr>
        <w:t>") classified the COVID-19 outbreak as a pandemic. We believe our sales during the first nine months of 2022 were negatively impacted by the transition to the BolaWrap 150 product and the stopping of our BolaWrap 100 production line and the effects of limited ability to demonstrate and train in 2021 due to the COVID-19 pandemic, especially internationally. However, we are beginning to see some recovery during Q3 as full production and sales of the BolaWrap 1500 occurred. We continue to monitor developments and assess areas where there is potential for our business to be impacted by the pandemic. Businesses and governments with which we engage may be operating under restrictions and experiencing disruptions, which may create obstacles in the coordination of business activities, including demonstrations, training and the negotiation and fulfillment of orders. Disruptions in the supply chain have already impacted us and could negatively impact our ability to source materials or manufacture and distribute products. We could experience a decrease in new orders from pandemic related events, which could negatively impact our revenues and reduce our liquidity and cash flows. Growth in revenue could also be impeded by these factors. The financial markets have been subject to significant volatility that could impact our ability to enter into, modify, and negotiate favorable terms and conditions relative to equity and debt financing activities. We have $23.7 million in cash and cash equivalents and short-term investments as of September 30, 2022, which we believe provides sufficient capital to fund our operations for at least the next twelve months and withstand the potential near-term consequences of the pandemic, although liquidity constraints and access to capital markets could adversely impact our liquidity and warrant changes to our investment strategy. The full magnitude of the pandemic cannot be measured at this time, and therefore, any of the aforementioned circumstances, as well as other factors, may cause our results of operations to vary substantially from year to year and quarter to quarter.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various standards published to date, we believe the work our employees and associates perform is critical and essential. We are taking a variety of measures to promote the safety and security of our employees while ensuring the availability and functionality of our critical infrastructure. We are following Center for Disease Control and local guidelines regarding COVID-19 safety in the workplace. In addition, the following events related to the COVID-19 pandemic could result in lost or delayed revenue to the Company: limitations on the ability of our suppliers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unforeseen deviations from customers or foreign governments restricting the ability to do business; and, limitations on the ability of our customers to pay us on a timely basis, if at all.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may be adversely affected by continued social unrest, protests against racial inequality, protests against police brutality and movements such as “Defund the Police” and such unrest may be exacerbated by inaccurate information or negative publicity regarding our solutions. Although the negativity of some of these events has been reduced, some of these events may still directly or indirectly affect police agency budgets and funding available to current and potential customers. Participants in these events may also attempt to create the perception that our solutions are contributing to the perceived problems, which may adversely affect us, our business and results of operations, including our revenues, earnings and cash flows from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may be impacted by global economic conditions, which have been in recent years, and continue to be, volatile. Geopolitical conflict, such as the recent conflict in Ukraine, and related international economic sanctions and their impact may exacerbate this volatility. Specifically, our revenues and gross margins depend significantly on global economic conditions and the demand by foreign governments and agencies for the BolaWrap in many of our target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management and other key personnel have the potential to improve and disrupt our business, and any such disruption could potentially adversely affect our operations, programs, growth, financial condition or results of operations. Improvements to operations, operating expenses and go to market approaches also have the opportunity to impact the success of the business going forward.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sell our products to customers including law enforcement agencies, domestic distributors and international distributors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such transactions is recognized in the periods that products are shipped (free on board (“</w:t>
      </w:r>
      <w:r>
        <w:rPr>
          <w:rFonts w:ascii="Times New Roman" w:cs="Times New Roman" w:eastAsia="Times New Roman" w:hAnsi="Times New Roman"/>
          <w:sz w:val="18"/>
          <w:szCs w:val="18"/>
          <w:i w:val="1"/>
          <w:iCs w:val="1"/>
          <w:color w:val="auto"/>
        </w:rPr>
        <w:t>FOB</w:t>
      </w:r>
      <w:r>
        <w:rPr>
          <w:rFonts w:ascii="Times New Roman" w:cs="Times New Roman" w:eastAsia="Times New Roman" w:hAnsi="Times New Roman"/>
          <w:sz w:val="18"/>
          <w:szCs w:val="18"/>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We follow the fair value recognition provisions issued by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718,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and we adopted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w:t>
      </w:r>
      <w:r>
        <w:rPr>
          <w:rFonts w:ascii="Times New Roman" w:cs="Times New Roman" w:eastAsia="Times New Roman" w:hAnsi="Times New Roman"/>
          <w:sz w:val="18"/>
          <w:szCs w:val="18"/>
          <w:color w:val="auto"/>
        </w:rPr>
        <w:t>Our products are sold to customers in many different markets and geographic locations. We estimate our bad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Valuation of Inventory</w:t>
      </w:r>
      <w:r>
        <w:rPr>
          <w:rFonts w:ascii="Times New Roman" w:cs="Times New Roman" w:eastAsia="Times New Roman" w:hAnsi="Times New Roman"/>
          <w:sz w:val="18"/>
          <w:szCs w:val="18"/>
          <w:color w:val="auto"/>
        </w:rPr>
        <w:t>. Our inventory is comprised of raw materials, assemblies and finished products. We must periodically make judgments and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Valuation of Intangible Assets. </w:t>
      </w:r>
      <w:r>
        <w:rPr>
          <w:rFonts w:ascii="Times New Roman" w:cs="Times New Roman" w:eastAsia="Times New Roman" w:hAnsi="Times New Roman"/>
          <w:sz w:val="18"/>
          <w:szCs w:val="18"/>
          <w:color w:val="auto"/>
        </w:rPr>
        <w:t>Intangible assets consisted of (a) capitalized legal fees and filing expense related to obtaining patents and trademarks,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Accrued Expense. </w:t>
      </w:r>
      <w:r>
        <w:rPr>
          <w:rFonts w:ascii="Times New Roman" w:cs="Times New Roman" w:eastAsia="Times New Roman" w:hAnsi="Times New Roman"/>
          <w:sz w:val="18"/>
          <w:szCs w:val="18"/>
          <w:color w:val="auto"/>
        </w:rPr>
        <w:t>We establish a warranty reserve based on anticipated warranty claims at the time product revenue is recognized. This reserve requires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the recognition criteria of FASB ASC Topic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September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segment. The Company’s chief operating decision maker is its Chief Executive Officer, who manages operations for purposes of allocating resources. Refer to Note 13, Major Customers and Related Information, in our financial statements for further discussion.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include (i) selling, general and administrative expense, (ii) research and development expense, and in the most recent fiscal quarter,</w:t>
      </w:r>
    </w:p>
    <w:p>
      <w:pPr>
        <w:spacing w:after="0" w:line="27" w:lineRule="exact"/>
        <w:rPr>
          <w:sz w:val="20"/>
          <w:szCs w:val="20"/>
          <w:color w:val="auto"/>
        </w:rPr>
      </w:pPr>
    </w:p>
    <w:p>
      <w:pPr>
        <w:jc w:val="both"/>
        <w:ind w:firstLine="8"/>
        <w:spacing w:after="0" w:line="252" w:lineRule="auto"/>
        <w:tabs>
          <w:tab w:leader="none" w:pos="3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operating costs will remain at comparable current levels in the near term. We may also incur additional non-cash share-based compensation costs depending on future option and restricted stock unit grants that are impacted by stock prices and other valuation factors. Historical expenditures are not indicative of future expenditures.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to Three Months Ended September 30, 2021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gridSpan w:val="9"/>
          </w:tcPr>
          <w:p>
            <w:pPr>
              <w:ind w:left="820"/>
              <w:spacing w:after="0"/>
              <w:rPr>
                <w:sz w:val="20"/>
                <w:szCs w:val="20"/>
                <w:color w:val="auto"/>
              </w:rPr>
            </w:pPr>
            <w:r>
              <w:rPr>
                <w:rFonts w:ascii="Times New Roman" w:cs="Times New Roman" w:eastAsia="Times New Roman" w:hAnsi="Times New Roman"/>
                <w:sz w:val="18"/>
                <w:szCs w:val="18"/>
                <w:color w:val="auto"/>
              </w:rPr>
              <w:t>(in thousands, except percentage change)</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1,805</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inventory charge</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1,094</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40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4,654</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(1,068)</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0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6,730</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(1,908)</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425"/>
        </w:trPr>
        <w:tc>
          <w:tcPr>
            <w:tcW w:w="408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115"/>
        </w:trPr>
        <w:tc>
          <w:tcPr>
            <w:tcW w:w="40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reported net revenue of $1.7 million for the three months ended September 30, 2022, as compared to $1.8 million for the prior year quarter. Domestic revenues increased from $1.1 million for the third quarter of 2021 to $1.3 million for the quarter ended September 30, 2022. International revenues decreased from $717 thousand for the third quarter of 2021 to $375 thousand for the quarter ended September 30, 2022. We incurred discounts of $240 thousand during the three months ended September 30, 2022, primarily as a result of promotional programs designed to encourage domestic customers to upgrade to the BolaWrap 150. These discounts compare to business discounts of $81 thousand in the prior year quarter. We expect selected discounts in the fourth quarter but thereafter a decline to minimal discounts as we have phased out our promotional upgrade offer.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 revenues generally consist of larger orders with the end user being large, centralized government agencies. These orders continue to be lumpy and difficult to predict as to both timing and amount. International orders anticipated in the second quarter were delayed due to the change over from the BolaWrap 100 but those orders for BolaWrap 150 are anticipated in future quarters. We believe that revenue during the fiscal year 2022 will still be an increase compared to the revenue recorded during 2021 due to growth of domestic sales and anticipated international orders from a robust pipeline, although no assurances can be given.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product promotional costs of $125 thousand during the quarter ended September 30, 2022, related primarily to BolaWrap 150 demonstration products and the cost of training products and accessories delivered to law enforcement agencies that were expensed as marketing costs. A total of $163 thousand of such product promotional costs were incurred during the prior year quarter. We are responding to increased demand for training as a result of expanded product and brand awareness with more efficient training approaches. With increased successful field use by agencies and greater brand awareness, as well as the transition to the BolaWrap 150, we expect reductions in product promotional costs to decline versus the prior year.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$300 thousand of deferred revenue at September 30, 2022, of which $177 thousand related to VR training and $123 thousand related to BolaWrap extended warranties and services. As we potentially secure increased bookings for Wrap Reality, as well as BolaWrap extended warranties, we expect our deferred revenue to grow in future quarters.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2022, we had backlog of $26 thousand worth of customer orders expected to be delivered in the next twelve months. Distributor and customer orders for future deliveries are generally subject to modification, rescheduling or in some instance’s cancellation in the normal course of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impact of the COVID-19 pandemic and geopolitical conflicts, including the recent war in Ukraine, has created much uncertainty in the global marketplace. The COVID-19 pandemic has and may continue to restrict our ability to travel internationally. Although no assurances can be given, we do believe, however, that the challenges to substantially increasing sales caused by COVID-19 will abate as the pandemic wanes, especially given the number of BolaWrap trials currently ongoing and the current environment where non-lethal options are being widely considered by law enforcement domestically and internationally.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experienced recent changes in management. Changes in management and other key personnel have the potential to disrupt our business, and any such disruption could adversely affect our revenue growth in future periods, especially in the near term as we execute our Management Transition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 for the quarter was $790 thousand resulting in a gross margin of 54%. Our cost of revenue for the three months ended September 30, 2021 was $1,094 thousand resulting in a gross margin of 39%. The most recent quarter period gross margin was impacted by the lower sales volume, warranty costs and promotional discounts. We also were impacted by certain higher raw material prices in the second quarter to obtain certain parts. Our margin is expected to improve in future quarters as these issues abate.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our limited history of revenue historical margins, however, may not be indicative of planned future margins. The BolaWrap 150 has higher margins than historical production. Our margins also vary based on the sales channels through which our products are sold and product mix. Currently, our cassettes have lower margins than BolaWrap devices. We implement product updates and revisions, including raw material and component changes that may impact product costs. With such product updates and revisions, we have limited warranty cost experience and estimated future warranty costs can impact our gross margins.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supply chain has been subject to significant component shortages, increased lead times, cost fluctuations, and logistics constraints that have impacted our product costs. We expect these supply chain challenges to continue throughout 2022. Supplier shortages, quality issues and logistic delays affect our production schedules and could in turn have a material adverse effect on our financial condition, results of operation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expense for the quarter ended September 30, 2022 were $1.1 million less than the prior year comparable quarter due to cost containment efforts and due to certain one-time costs in the prior year quarter.</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Share-based compensation costs allocated to SG&amp;A decreased to $700 thousand compared to $1.1 million for the comparable prior quarter. This $393 thousand decrease resulted primarily from a one-time costs in the prior year period and changes in the stock price.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burden costs of $2.2 million for the quarter ended September 30, 2022 were comparable to the prior year as staffing remained at similar levels. During the quarter ended September 30, 2022, as compared to the prior year comparable quarter, we incurred reduced advertising and promotions costs (including product promotion costs) of $153 thousand, reduced professional fees of $136 thousand, and reduced consulting and contract services fees of $359 thousand. We expect expenditures for SG&amp;A expenses for the balance of 2022 to remain below the prior year due to management’s active cost containment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decreased by $840 thousand for the quarter ended September 30, 2022, compared to the comparable period in the prior year. Non-cash share-based compensation expense allocated to research and development personnel was $172 thousand for the quarter ended September 30, 2022 comparable to the $210 thousand for the prior period. Salaries and burden costs for the quarter ended September 30, 2022 increased $45 thousand compared to the prior year primarily associated with product development. Prototype related costs for quarter ended September 30, 2022, increased $105 thousand related to BolaWrap 150 continued improvements. We expect our research and development costs to remain at comparable levels for the balance of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 from operations during the three months ended September 30, 2022, of $3.9 million was a reduction of $2.1 million compared to that of the three months ended September 30, 2021 reflecting increased margin and the focus on reducing operating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thousands, except percentage change)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4,042</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4,464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5,280</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3,276</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inventory charge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(747)</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2,034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11,952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16,210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20,513</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(4,351)</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(14,128)</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(19,256)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reported net revenue of $4.5 million for the nine months ended September 30, 2022, as compared to $5.3 million for the quarter ended September 30, 2021. Domestic revenues of $3.5 million for the nine months reflected growth of 23% over the prior comparable quarter of $2.8 million. International revenues decreased from $2.4 million for the nine months ended September 30, 2021 to $1.0 million for the nine months ended September 30, 2022. We incurred discounts of $790 thousand during the nine months ended September 30, 2022, primarily as a result of promotional programs designed to encourage domestic customers to upgrade to the BolaWrap 150. The discounts compare to business discounts of $161 thousand in the comparable nine-month period of the prior year. We expect selected discounts in the fourth quarter but thereafter a decline to minimal discounts as we have phased out our promotional upgrade offer.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 revenues generally consist of larger orders with the end user being large, centralized government agencies. These orders continue to be lumpy and difficult to predict as to both timing and amount. International orders anticipated in the second quarter were delayed due to the change over from the BolaWrap 100 but those orders for BolaWrap 150 are anticipated in future quarters. We believe that revenue during the fiscal year 2022 will still be an increase compared to the revenue recorded during 2021 due to growth of domestic sales and anticipated international orders from a robust pipeline, although no assurances can be given.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product promotional costs of $616 thousand during the nine months ended September 30, 2022, related primarily to BolaWrap 150 demonstration products and the cost of training products and accessories delivered to law enforcement agencies that were expensed as marketing costs. A total of $816 thousand of product promotional costs were incurred during the nine months ended September 30, 2021. We are responding to increased demand for training as a result of expanded product and brand awareness with more efficient training approaches. With increased successful field use by agencies and greater brand awareness we expect reductions in product promotional costs to decline versus the prior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$300 thousand of deferred revenue at September 30, 2022, of which $177 thousand related to VR training and $123 thousand related to BolaWrap extended warranties and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2022, we had backlog of $26 thousand worth of customer orders expected to be delivered in the next twelve months. Distributor and customer orders for future deliveries are generally subject to modification, rescheduling or in some instance’s cancellation in the normal course of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 for the nine months ended September 30, 2022, was $2.4 million resulting in a gross margin of 46%. The gross margin for the nine months ended September 30, 2021, was 38% after adjusting excluding $747 thousand of restructuring charges related to the wind down of BolaWrap 100 production. The most recent period gross margin was impacted by the lower sales volume and promotional discounts. We also were impacted by certain higher raw material prices in 2022 to obtain certain parts. Our margin is expected to improve in future quarters as these issues abate.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our limited history of revenue historical margins, however, may not be indicative of planned future margins. The BolaWrap 150 has higher margins than historical production. Our margins also vary based on the sales channels through which our products are sold and product mix. Currently, our cassettes have lower margins than BolaWrap devices. We implement product updates and revisions, including raw material and component changes that may impact product costs. With such product updates and revisions, we have limited warranty cost experience and estimated future warranty costs can impact our gross margins.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global supply chain has been subject to component shortages, increased lead times, cost fluctuations, and logistics constraints that have impacted our product costs. We expect these supply chain challenges to continue throughout 2022. Supplier shortages, quality issues and logistic delays affect our production schedules and could in turn have a material adverse effect on our financial condition, results of operation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Selling, general and administrative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SG&amp;A</w:t>
      </w:r>
      <w:r>
        <w:rPr>
          <w:rFonts w:ascii="Times New Roman" w:cs="Times New Roman" w:eastAsia="Times New Roman" w:hAnsi="Times New Roman"/>
          <w:sz w:val="18"/>
          <w:szCs w:val="18"/>
          <w:color w:val="auto"/>
        </w:rPr>
        <w:t>”) expense for the nine months ended September 30, 2022 were $12.0 million reflecting a decrease of $4.2 million when compared to $16.2 million for the nine months ended September 30, 2021. The reduction in SG&amp;A costs reflected active cost containment efforts and nonrecurrence of certain one-time costs in the prior year period.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Share-based compensation costs allocated to SG&amp;A was $2.2 million for the nine months ended September 30, 2022 compared to $3.7 million for the comparable prior year period. This $1.5 million decrease resulted primarily from reduced headcount and changes in the stock price.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burden costs of $6.8 million for the nine months ended September 30, 2022 was a $2.8 million decrease compared to the prior year nine months due to cost containment efforts and reduced personnel expense. During the nine months ended September 30, 2022, as compared to the prior year comparable nine months, we incurred reduced advertising and promotions costs (including product promotion costs) of $460 thousand, reduced professional fees of $155 thousand, and reduced consulting and contract services fees of $652 thousand. We expect expenditures for SG&amp;A expense for the balance of 2022 to remain below the prior year due to active cost containment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decreased by $93 thousand for the nine months ended September 30, 2022, compared to the comparable nine-month period in fiscal 2021. Non-cash share-based compensation expense allocated to research and development personnel was $448 thousand for the nine months ended September 30, 2022 compared to the $588 thousand for the prior period. Salaries and burden costs for the nine months ended September 30, 2022 was $2.5 million are in line with the prior year period. Prototype related costs for the nine months ended September 30, 2022, increased $359 thousand related to BolaWrap 150 startup costs and continued improvements.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from operations during the nine months ended September 30, 2022, of $14.1 million was a reduction of $5.1 million compared to that of the nine months ended September 30, 2021 reflecting third quarter reduced costs from the prior year.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experienced net losses and negative cash flows from operations since our inception. As of September 30, 2022, we had cash and cash equivalents of $3.8 million, short-term investments of $19.9 million, positive working capital of $27.3 million and had sustained cumulative losses attributable to stockholders of $63.8 million. We believe that our cash on hand and short-term investments will sustain our operations for at least the next twelve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in part to the volatility caused by COVID-19, we do not have a high degree of confidence in our estimates for our future liquidity requirements or future capital needs, which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62" w:lineRule="exact"/>
        <w:rPr>
          <w:sz w:val="20"/>
          <w:szCs w:val="20"/>
          <w:color w:val="auto"/>
        </w:rPr>
      </w:pPr>
    </w:p>
    <w:p>
      <w:pPr>
        <w:ind w:left="440" w:hanging="216"/>
        <w:spacing w:after="0" w:line="261" w:lineRule="auto"/>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effects of the global outbreak of the COVID-19 pandemic, and other potential pandemics or contagious diseases or fear of such outbreaks;</w:t>
      </w: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regarding staffing, development, production, marketing and other functions;</w:t>
      </w:r>
    </w:p>
    <w:p>
      <w:pPr>
        <w:spacing w:after="0" w:line="9"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market acceptance of our products;</w:t>
      </w:r>
    </w:p>
    <w:p>
      <w:pPr>
        <w:spacing w:after="0" w:line="9"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 of planned production and required customer and regulatory compliance of our products;</w:t>
      </w:r>
    </w:p>
    <w:p>
      <w:pPr>
        <w:spacing w:after="0" w:line="9"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filing and prosecuting our patent applications and defending any future intellectual property-related claims;</w:t>
      </w:r>
    </w:p>
    <w:p>
      <w:pPr>
        <w:spacing w:after="0" w:line="9"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timing of additional product development;</w:t>
      </w:r>
    </w:p>
    <w:p>
      <w:pPr>
        <w:spacing w:after="0" w:line="9"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 of any future warranty claims or litigation against us associated with any of our products;</w:t>
      </w:r>
    </w:p>
    <w:p>
      <w:pPr>
        <w:spacing w:after="0" w:line="9"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collect accounts receivable; and</w:t>
      </w:r>
    </w:p>
    <w:p>
      <w:pPr>
        <w:spacing w:after="0" w:line="9"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costs associated with any new financing.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factors that could affect our ability to obtain cash from external sources including from exercise of outstanding warrants and options include:</w:t>
      </w:r>
    </w:p>
    <w:p>
      <w:pPr>
        <w:spacing w:after="0" w:line="225" w:lineRule="exact"/>
        <w:rPr>
          <w:sz w:val="20"/>
          <w:szCs w:val="20"/>
          <w:color w:val="auto"/>
        </w:rPr>
      </w:pPr>
    </w:p>
    <w:p>
      <w:pPr>
        <w:ind w:left="440" w:hanging="2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capital markets; and</w:t>
      </w:r>
    </w:p>
    <w:p>
      <w:pPr>
        <w:spacing w:after="0" w:line="27" w:lineRule="exact"/>
        <w:rPr>
          <w:rFonts w:ascii="Times New Roman" w:cs="Times New Roman" w:eastAsia="Times New Roman" w:hAnsi="Times New Roman"/>
          <w:sz w:val="18"/>
          <w:szCs w:val="18"/>
          <w:color w:val="auto"/>
        </w:rPr>
      </w:pPr>
    </w:p>
    <w:p>
      <w:pPr>
        <w:ind w:left="440" w:hanging="2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 and trading volume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net cash used in operating activities was $11 million. The net loss of $14.1 million was decreased by non-cash expense of $3.4 million consisting primarily of share-based compensation expense of $2.6 million. Other major component changes using operating cash included an increase of $1.4 million in inventories and a net reduction in accounts payable and accrued liabilities of $659 thousand. A decrease in accounts receivable of $1.6 million reduced the cash used in operating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2021, net cash used in operating activities was $13.7 million. The net loss of $19.2 million was decreased by non-cash expense of $5.9 million consisting primarily of share-based compensation expense of $4.3 million, restructuring inventory charges of $747 thousand, depreciation and amortization expense of $336 thousand and shares issued for services of $239 thousand. Other major component changes using operating cash included an increase of $1.4 million in accounts receivable and an increase in inventories of $160 thousand. An increase of $773 thousand in accounts payable and accrued expense and an increase of $224 thousand in deferred revenue reduced the cash used in operating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used $23.1 million of cash to purchase short-term investments and we had proceeds from maturities of short-term investments of $33.3 million. During the nine months ended September 30, 2021, we used $30.0 million of cash to purchase short-term investments and we had proceeds from maturities of short-term investments of $25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$201 thousand and $811 thousand of cash for the purchase of property and equipment during the nine months ended September 30, 2022, and 2021, respectively. We invested $133 thousand and $129 thousand in patents during the nine months ended September 30, 2022, and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we received $83 thousand in proceeds from the exercise of previously issued stock options.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we received $12.0 million from previously issued stock purchase warrants and $1.7 million in proceeds from the exercise of previously issued stock options, and repaid $275 thousand in debt relating to the acquisition of NSENA in December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that certain exclusive Amended and Restated Intellectual Property License Agreement dated September 30, 2016, by and between the Company and Syzygy Licensing, LLC (“</w:t>
      </w:r>
      <w:r>
        <w:rPr>
          <w:rFonts w:ascii="Times New Roman" w:cs="Times New Roman" w:eastAsia="Times New Roman" w:hAnsi="Times New Roman"/>
          <w:sz w:val="18"/>
          <w:szCs w:val="18"/>
          <w:i w:val="1"/>
          <w:iCs w:val="1"/>
          <w:color w:val="auto"/>
        </w:rPr>
        <w:t>Syzygy</w:t>
      </w:r>
      <w:r>
        <w:rPr>
          <w:rFonts w:ascii="Times New Roman" w:cs="Times New Roman" w:eastAsia="Times New Roman" w:hAnsi="Times New Roman"/>
          <w:sz w:val="18"/>
          <w:szCs w:val="18"/>
          <w:color w:val="auto"/>
        </w:rPr>
        <w:t>”), we are obligated to pay to Syzygy a 4% royalty fee on future product sales up to an aggregate amount of $1.0 million in royalty payments or until September 30, 2026, whichever occurs earlier.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aggregate lease payments on our facility lease of $31 thousand in 2022, $121 thousand in 2023, $125 thousand in 2024, and $75 thousand in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2022, we were committed for approximately $4.4 million for future component deliveries and contract services that are generally subject to modification or rescheduling in the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revenue or operating results during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during the period ended September 30, 2022, or subsequently thereto, that we believe are of potential significance to our financial statements.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Conclusion Regarding the Effectiveness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our principal financial officer, as of September 30, 2022, we conducted an evaluation of our disclosure controls and procedures as such term is defined under Rules 13a-15(e) and 15d-15(e) promulgated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Based on this evaluation, our principal executive officer and our principal financial officer concluded that our disclosure controls and procedures were effective at the reasonable assurance level.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fiscal quarter ended September 30, 2022,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 are subject to the risk that the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Litigation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13, 2020, Naresh Rammohan filed a shareholder derivative action in the United States District Court for the Central District of California against current and former Company officers Tom Smith, James Barnes, Mike Rothans, Marc Thomas, and David Norris, as well as current and former Company directors Messrs. Scot Cohen, Patrick Kinsella, Michael Parris, and Wayne Walker, alleging unjust enrichment, breach of fiduciary duty, waste of corporate assets, and contribution claims under the Securities Exchange Act of 1934, docketed as Case No. 2:20-cv-10444-DMG-PVCx. On January 20,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Ray Westerman filed a second derivative action in the same court against the same parties, alleging breach of fiduciary duty and contribution claims under the Securities Exchange Act of 1934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docketed as Case No. 2:21-cv-00550-DMG-PVCx. On January 22, 2021, Jesse Lowe filed a third derivative action in the same court against the same parties, alleging breach of fiduciary duty and asserting various claims under the Securities Exchange Act of 1934, docketed as Case No. 2:21-cv-00597-DMG-PVCx. The Company was named as a nominal defendant in each of these actions.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16,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Honorable Dolly M. Gee issued an order consolidating the three derivative actions under the caption </w:t>
      </w:r>
      <w:r>
        <w:rPr>
          <w:rFonts w:ascii="Times New Roman" w:cs="Times New Roman" w:eastAsia="Times New Roman" w:hAnsi="Times New Roman"/>
          <w:sz w:val="18"/>
          <w:szCs w:val="18"/>
          <w:i w:val="1"/>
          <w:iCs w:val="1"/>
          <w:color w:val="auto"/>
        </w:rPr>
        <w:t>In re Wrap Technologies,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Shareholder Derivative Litigation</w:t>
      </w:r>
      <w:r>
        <w:rPr>
          <w:rFonts w:ascii="Times New Roman" w:cs="Times New Roman" w:eastAsia="Times New Roman" w:hAnsi="Times New Roman"/>
          <w:sz w:val="18"/>
          <w:szCs w:val="18"/>
          <w:color w:val="auto"/>
        </w:rPr>
        <w:t>, Case No. 2:20-10444-DMG-PVCx, (the “</w:t>
      </w:r>
      <w:r>
        <w:rPr>
          <w:rFonts w:ascii="Times New Roman" w:cs="Times New Roman" w:eastAsia="Times New Roman" w:hAnsi="Times New Roman"/>
          <w:sz w:val="18"/>
          <w:szCs w:val="18"/>
          <w:i w:val="1"/>
          <w:iCs w:val="1"/>
          <w:color w:val="auto"/>
        </w:rPr>
        <w:t>Derivative Action</w:t>
      </w:r>
      <w:r>
        <w:rPr>
          <w:rFonts w:ascii="Times New Roman" w:cs="Times New Roman" w:eastAsia="Times New Roman" w:hAnsi="Times New Roman"/>
          <w:sz w:val="18"/>
          <w:szCs w:val="18"/>
          <w:color w:val="auto"/>
        </w:rPr>
        <w:t>”) and stayed the Derivative Action at least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resolution of the action captioned </w:t>
      </w:r>
      <w:r>
        <w:rPr>
          <w:rFonts w:ascii="Times New Roman" w:cs="Times New Roman" w:eastAsia="Times New Roman" w:hAnsi="Times New Roman"/>
          <w:sz w:val="18"/>
          <w:szCs w:val="18"/>
          <w:i w:val="1"/>
          <w:iCs w:val="1"/>
          <w:color w:val="auto"/>
        </w:rPr>
        <w:t>In re Wrap Technologies, Inc. Securities Exchange Act Litigation</w:t>
      </w:r>
      <w:r>
        <w:rPr>
          <w:rFonts w:ascii="Times New Roman" w:cs="Times New Roman" w:eastAsia="Times New Roman" w:hAnsi="Times New Roman"/>
          <w:sz w:val="18"/>
          <w:szCs w:val="18"/>
          <w:color w:val="auto"/>
        </w:rPr>
        <w:t>, Case No. 2:20-cv-08760-DMG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Action</w:t>
      </w:r>
      <w:r>
        <w:rPr>
          <w:rFonts w:ascii="Times New Roman" w:cs="Times New Roman" w:eastAsia="Times New Roman" w:hAnsi="Times New Roman"/>
          <w:sz w:val="18"/>
          <w:szCs w:val="18"/>
          <w:color w:val="auto"/>
        </w:rPr>
        <w:t>”). On December 20, 2021, Judge Gee dismissed the Securities Action with prejudice. On April 29, 2022 the above-mentioned parties jointly filed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stipulation of voluntary dismissal in order to dismiss the Derivative Action without prejudice to the plaintiffs, the Company, or Wrap shareholders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Stipulation</w:t>
      </w:r>
      <w:r>
        <w:rPr>
          <w:rFonts w:ascii="Times New Roman" w:cs="Times New Roman" w:eastAsia="Times New Roman" w:hAnsi="Times New Roman"/>
          <w:sz w:val="18"/>
          <w:szCs w:val="18"/>
          <w:color w:val="auto"/>
        </w:rPr>
        <w:t>”). The Stipulation was granted by Judge Gee on May 3, 2022.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Information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September 30, 2022, we had no provision for liability under existing litigation.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Management is not aware of any material changes to the risk factors discussed in Part 1, Item 1A, of the Annual Report on Form 10-K for the year ended December 31, 2021. In addition to the other information set forth in this Quarterly Report on Form 10-Q, you should carefully consider the risk factors discussed in Part 1, Item 1A, of the Annual Report on Form 10-K for the year ended December 31, 2021, and subsequent reports filed pursuant to the Exchange Act which could materially and adversely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 financial condition, results of operations, and stock price. The risks described in the Annual Report on Form 10-K and subsequent reports filed pursuant to the Exchange Act are not the only risks facing the Company. Additional risks and uncertainties not presently known to management, or that management presently believes not to be material, may also result in material and adverse effects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unregistered securities were issued during the three months ended September 30, 2022, that were not previously reported.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Exhibit 10.1</w:t>
              </w:r>
            </w:hyperlink>
          </w:p>
        </w:tc>
        <w:tc>
          <w:tcPr>
            <w:tcW w:w="4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Agreement by and between Wrap Technologies, Inc. and Chris DeAlmeida, executed July 20, 2022 (incorporated by reference to</w:t>
            </w:r>
          </w:p>
        </w:tc>
        <w:tc>
          <w:tcPr>
            <w:tcW w:w="0" w:type="dxa"/>
            <w:vAlign w:val="bottom"/>
          </w:tcPr>
          <w:p>
            <w:pPr>
              <w:spacing w:after="0"/>
              <w:rPr>
                <w:sz w:val="1"/>
                <w:szCs w:val="1"/>
                <w:color w:val="auto"/>
              </w:rPr>
            </w:pPr>
          </w:p>
        </w:tc>
      </w:tr>
      <w:tr>
        <w:trPr>
          <w:trHeight w:val="218"/>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 to the Company’s Current Report on Form 8-K, filed on July 25, 2022).</w:t>
            </w:r>
          </w:p>
        </w:tc>
        <w:tc>
          <w:tcPr>
            <w:tcW w:w="0" w:type="dxa"/>
            <w:vAlign w:val="bottom"/>
          </w:tcPr>
          <w:p>
            <w:pPr>
              <w:spacing w:after="0"/>
              <w:rPr>
                <w:sz w:val="1"/>
                <w:szCs w:val="1"/>
                <w:color w:val="auto"/>
              </w:rPr>
            </w:pPr>
          </w:p>
        </w:tc>
      </w:tr>
      <w:tr>
        <w:trPr>
          <w:trHeight w:val="194"/>
        </w:trPr>
        <w:tc>
          <w:tcPr>
            <w:tcW w:w="940" w:type="dxa"/>
            <w:vAlign w:val="bottom"/>
            <w:gridSpan w:val="2"/>
          </w:tcPr>
          <w:p>
            <w:pPr>
              <w:spacing w:after="0" w:line="194"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Exhibit 10.2</w:t>
              </w:r>
            </w:hyperlink>
          </w:p>
        </w:tc>
        <w:tc>
          <w:tcPr>
            <w:tcW w:w="420" w:type="dxa"/>
            <w:vAlign w:val="bottom"/>
          </w:tcPr>
          <w:p>
            <w:pPr>
              <w:spacing w:after="0"/>
              <w:rPr>
                <w:sz w:val="16"/>
                <w:szCs w:val="16"/>
                <w:color w:val="auto"/>
              </w:rPr>
            </w:pP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Transition Agreement and Release of Claims, dated July 24, 2022, by and between Wrap Technologies, Inc. and James Barnes</w:t>
            </w:r>
          </w:p>
        </w:tc>
        <w:tc>
          <w:tcPr>
            <w:tcW w:w="0" w:type="dxa"/>
            <w:vAlign w:val="bottom"/>
          </w:tcPr>
          <w:p>
            <w:pPr>
              <w:spacing w:after="0"/>
              <w:rPr>
                <w:sz w:val="1"/>
                <w:szCs w:val="1"/>
                <w:color w:val="auto"/>
              </w:rPr>
            </w:pPr>
          </w:p>
        </w:tc>
      </w:tr>
      <w:tr>
        <w:trPr>
          <w:trHeight w:val="218"/>
        </w:trPr>
        <w:tc>
          <w:tcPr>
            <w:tcW w:w="9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Current Report on Form 8-K, filed on July 25, 2022).</w:t>
            </w:r>
          </w:p>
        </w:tc>
        <w:tc>
          <w:tcPr>
            <w:tcW w:w="0" w:type="dxa"/>
            <w:vAlign w:val="bottom"/>
          </w:tcPr>
          <w:p>
            <w:pPr>
              <w:spacing w:after="0"/>
              <w:rPr>
                <w:sz w:val="1"/>
                <w:szCs w:val="1"/>
                <w:color w:val="auto"/>
              </w:rPr>
            </w:pPr>
          </w:p>
        </w:tc>
      </w:tr>
      <w:tr>
        <w:trPr>
          <w:trHeight w:val="194"/>
        </w:trPr>
        <w:tc>
          <w:tcPr>
            <w:tcW w:w="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Exhibit 31.1</w:t>
            </w:r>
          </w:p>
        </w:tc>
        <w:tc>
          <w:tcPr>
            <w:tcW w:w="420" w:type="dxa"/>
            <w:vAlign w:val="bottom"/>
          </w:tcPr>
          <w:p>
            <w:pPr>
              <w:spacing w:after="0"/>
              <w:rPr>
                <w:sz w:val="16"/>
                <w:szCs w:val="16"/>
                <w:color w:val="auto"/>
              </w:rPr>
            </w:pP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Certification of TJ Kennedy, Principal Executive Officer, pursuant to Rule 13a-14(a) or 15d-14(a) of the Securities and Exchange Act of</w:t>
            </w:r>
          </w:p>
        </w:tc>
        <w:tc>
          <w:tcPr>
            <w:tcW w:w="0" w:type="dxa"/>
            <w:vAlign w:val="bottom"/>
          </w:tcPr>
          <w:p>
            <w:pPr>
              <w:spacing w:after="0"/>
              <w:rPr>
                <w:sz w:val="1"/>
                <w:szCs w:val="1"/>
                <w:color w:val="auto"/>
              </w:rPr>
            </w:pPr>
          </w:p>
        </w:tc>
      </w:tr>
      <w:tr>
        <w:trPr>
          <w:trHeight w:val="218"/>
        </w:trPr>
        <w:tc>
          <w:tcPr>
            <w:tcW w:w="9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1934, as amended, as adopted pursuant to Section 302 of the Sarbanes-Oxley Act of 2002.*</w:t>
            </w:r>
          </w:p>
        </w:tc>
        <w:tc>
          <w:tcPr>
            <w:tcW w:w="0" w:type="dxa"/>
            <w:vAlign w:val="bottom"/>
          </w:tcPr>
          <w:p>
            <w:pPr>
              <w:spacing w:after="0"/>
              <w:rPr>
                <w:sz w:val="1"/>
                <w:szCs w:val="1"/>
                <w:color w:val="auto"/>
              </w:rPr>
            </w:pPr>
          </w:p>
        </w:tc>
      </w:tr>
      <w:tr>
        <w:trPr>
          <w:trHeight w:val="194"/>
        </w:trPr>
        <w:tc>
          <w:tcPr>
            <w:tcW w:w="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Exhibit 31.2</w:t>
            </w:r>
          </w:p>
        </w:tc>
        <w:tc>
          <w:tcPr>
            <w:tcW w:w="420" w:type="dxa"/>
            <w:vAlign w:val="bottom"/>
          </w:tcPr>
          <w:p>
            <w:pPr>
              <w:spacing w:after="0"/>
              <w:rPr>
                <w:sz w:val="16"/>
                <w:szCs w:val="16"/>
                <w:color w:val="auto"/>
              </w:rPr>
            </w:pP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Certification of Chris DeAlmeida, Principal Accounting Officer, pursuant to Rule 13a-14(a) or 15d-14(a) of the Securities and Exchange</w:t>
            </w:r>
          </w:p>
        </w:tc>
        <w:tc>
          <w:tcPr>
            <w:tcW w:w="0" w:type="dxa"/>
            <w:vAlign w:val="bottom"/>
          </w:tcPr>
          <w:p>
            <w:pPr>
              <w:spacing w:after="0"/>
              <w:rPr>
                <w:sz w:val="1"/>
                <w:szCs w:val="1"/>
                <w:color w:val="auto"/>
              </w:rPr>
            </w:pPr>
          </w:p>
        </w:tc>
      </w:tr>
      <w:tr>
        <w:trPr>
          <w:trHeight w:val="218"/>
        </w:trPr>
        <w:tc>
          <w:tcPr>
            <w:tcW w:w="9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 of 1934, as amended, as adopted pursuant to Section 302 of the Sarbanes-Oxley Act of 2002.*</w:t>
            </w:r>
          </w:p>
        </w:tc>
        <w:tc>
          <w:tcPr>
            <w:tcW w:w="0" w:type="dxa"/>
            <w:vAlign w:val="bottom"/>
          </w:tcPr>
          <w:p>
            <w:pPr>
              <w:spacing w:after="0"/>
              <w:rPr>
                <w:sz w:val="1"/>
                <w:szCs w:val="1"/>
                <w:color w:val="auto"/>
              </w:rPr>
            </w:pPr>
          </w:p>
        </w:tc>
      </w:tr>
      <w:tr>
        <w:trPr>
          <w:trHeight w:val="194"/>
        </w:trPr>
        <w:tc>
          <w:tcPr>
            <w:tcW w:w="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Exhibit 32.1</w:t>
            </w:r>
          </w:p>
        </w:tc>
        <w:tc>
          <w:tcPr>
            <w:tcW w:w="420" w:type="dxa"/>
            <w:vAlign w:val="bottom"/>
          </w:tcPr>
          <w:p>
            <w:pPr>
              <w:spacing w:after="0"/>
              <w:rPr>
                <w:sz w:val="16"/>
                <w:szCs w:val="16"/>
                <w:color w:val="auto"/>
              </w:rPr>
            </w:pP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executed by TJ</w:t>
            </w:r>
          </w:p>
        </w:tc>
        <w:tc>
          <w:tcPr>
            <w:tcW w:w="0" w:type="dxa"/>
            <w:vAlign w:val="bottom"/>
          </w:tcPr>
          <w:p>
            <w:pPr>
              <w:spacing w:after="0"/>
              <w:rPr>
                <w:sz w:val="1"/>
                <w:szCs w:val="1"/>
                <w:color w:val="auto"/>
              </w:rPr>
            </w:pPr>
          </w:p>
        </w:tc>
      </w:tr>
      <w:tr>
        <w:trPr>
          <w:trHeight w:val="236"/>
        </w:trPr>
        <w:tc>
          <w:tcPr>
            <w:tcW w:w="90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Kennedy, Principal Executive Officer, and Chris DeAlmeida, Principal Accounting Officer.*</w:t>
            </w:r>
          </w:p>
        </w:tc>
        <w:tc>
          <w:tcPr>
            <w:tcW w:w="0" w:type="dxa"/>
            <w:vAlign w:val="bottom"/>
          </w:tcPr>
          <w:p>
            <w:pPr>
              <w:spacing w:after="0"/>
              <w:rPr>
                <w:sz w:val="1"/>
                <w:szCs w:val="1"/>
                <w:color w:val="auto"/>
              </w:rPr>
            </w:pPr>
          </w:p>
        </w:tc>
      </w:tr>
      <w:tr>
        <w:trPr>
          <w:trHeight w:val="391"/>
        </w:trPr>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Extensible Business Reporting Language (XBRL) Exhibits*</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26"/>
        </w:trPr>
        <w:tc>
          <w:tcPr>
            <w:tcW w:w="9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9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90"/>
        </w:trPr>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2120" w:firstLine="8"/>
        <w:spacing w:after="0" w:line="490" w:lineRule="auto"/>
        <w:tabs>
          <w:tab w:leader="none" w:pos="13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 in Exhibit 101) * Filed concurrently herewith</w:t>
      </w: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CHRIS DEALMEIDA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9, 2022</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 DeAlmeida</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TJ Kennedy, certify that:</w:t>
      </w:r>
    </w:p>
    <w:p>
      <w:pPr>
        <w:spacing w:after="0" w:line="225" w:lineRule="exact"/>
        <w:rPr>
          <w:sz w:val="20"/>
          <w:szCs w:val="20"/>
          <w:color w:val="auto"/>
        </w:rPr>
      </w:pPr>
    </w:p>
    <w:p>
      <w:pPr>
        <w:ind w:left="540" w:hanging="532"/>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Wrap Technologies,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6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jc w:val="both"/>
        <w:ind w:left="280" w:hanging="148"/>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00" w:hanging="161"/>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280" w:hanging="148"/>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00" w:hanging="161"/>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5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280" w:right="20" w:hanging="148"/>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00" w:hanging="161"/>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TJ KENNEDY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 Kennedy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DeAlmeida, certify that:</w:t>
      </w:r>
    </w:p>
    <w:p>
      <w:pPr>
        <w:spacing w:after="0" w:line="225"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Wrap Technologies,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6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7" w:lineRule="exact"/>
        <w:rPr>
          <w:sz w:val="20"/>
          <w:szCs w:val="20"/>
          <w:color w:val="auto"/>
        </w:rPr>
      </w:pPr>
    </w:p>
    <w:p>
      <w:pPr>
        <w:jc w:val="both"/>
        <w:ind w:left="280" w:hanging="148"/>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00" w:hanging="161"/>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280" w:hanging="148"/>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00" w:hanging="161"/>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5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280" w:right="20" w:hanging="148"/>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00" w:hanging="161"/>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CHRIS DEALMEIDA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DeAlmeida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undersigned hereby certifies, in accordance with 18 U.S.C. 1350, as adopted pursuant to Section 906 of the Sarbanes-Oxley Act of 2002, in his or her capacity as an officer of Wrap Technologies,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that, to his or her knowledge, the Quarterly Report of the Company on Form 10-Q for the period ended September 30, 2022,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TJ KENNEDY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TJ Kennedy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CHRIS DEALMEIDA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DeAlmeida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0"/>
    </w:lvl>
  </w:abstractNum>
  <w:abstractNum w:abstractNumId="10">
    <w:nsid w:val="4E6AFB66"/>
    <w:multiLevelType w:val="hybridMultilevel"/>
    <w:lvl w:ilvl="0">
      <w:lvlJc w:val="left"/>
      <w:lvlText w:val="%1."/>
      <w:numFmt w:val="decimal"/>
      <w:start w:val="11"/>
    </w:lvl>
  </w:abstractNum>
  <w:abstractNum w:abstractNumId="11">
    <w:nsid w:val="25E45D32"/>
    <w:multiLevelType w:val="hybridMultilevel"/>
    <w:lvl w:ilvl="0">
      <w:lvlJc w:val="left"/>
      <w:lvlText w:val="%1."/>
      <w:numFmt w:val="decimal"/>
      <w:start w:val="12"/>
    </w:lvl>
  </w:abstractNum>
  <w:abstractNum w:abstractNumId="12">
    <w:nsid w:val="519B500D"/>
    <w:multiLevelType w:val="hybridMultilevel"/>
    <w:lvl w:ilvl="0">
      <w:lvlJc w:val="left"/>
      <w:lvlText w:val="%1."/>
      <w:numFmt w:val="decimal"/>
      <w:start w:val="13"/>
    </w:lvl>
  </w:abstractNum>
  <w:abstractNum w:abstractNumId="13">
    <w:nsid w:val="431BD7B7"/>
    <w:multiLevelType w:val="hybridMultilevel"/>
    <w:lvl w:ilvl="0">
      <w:lvlJc w:val="left"/>
      <w:lvlText w:val="%1."/>
      <w:numFmt w:val="decimal"/>
      <w:start w:val="14"/>
    </w:lvl>
  </w:abstractNum>
  <w:abstractNum w:abstractNumId="14">
    <w:nsid w:val="3F2DBA31"/>
    <w:multiLevelType w:val="hybridMultilevel"/>
    <w:lvl w:ilvl="0">
      <w:lvlJc w:val="left"/>
      <w:lvlText w:val="(%1)"/>
      <w:numFmt w:val="lowerRoman"/>
      <w:start w:val="3"/>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38" Type="http://schemas.openxmlformats.org/officeDocument/2006/relationships/hyperlink" Target="http://www.sec.gov/Archives/edgar/data/1702924/000185173422000396/ex_399223.htm" TargetMode="External"/><Relationship Id="rId39" Type="http://schemas.openxmlformats.org/officeDocument/2006/relationships/hyperlink" Target="http://www.sec.gov/Archives/edgar/data/1702924/000185173422000396/ex_3990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2022-11-09T15:35:34Z</dcterms:created>
  <dcterms:modified xsi:type="dcterms:W3CDTF">2022-11-09T15:35:34Z</dcterms:modified>
</cp:coreProperties>
</file>