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Scot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3350 VIRGINIA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5"/>
        <w:gridCol w:w="917"/>
        <w:gridCol w:w="788"/>
        <w:gridCol w:w="608"/>
        <w:gridCol w:w="335"/>
        <w:gridCol w:w="1200"/>
        <w:gridCol w:w="408"/>
        <w:gridCol w:w="575"/>
        <w:gridCol w:w="1333"/>
        <w:gridCol w:w="948"/>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4,000,000</w:t>
            </w:r>
            <w:r>
              <w:rPr>
                <w:rFonts w:ascii="Times;serif" w:hAnsi="Times;serif"/>
                <w:color w:val="008000"/>
                <w:position w:val="7"/>
                <w:sz w:val="16"/>
                <w:sz w:val="20"/>
                <w:shd w:fill="FFFFFF" w:val="clear"/>
              </w:rPr>
              <w:t>(2)</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10,589,555</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209,353</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Continuum Ventures,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The restricted stock contained voting rights and dividend rights on the date of grant. The restricted stock will vest as follows: (i) 1,000,000 shares on the date the Company's market capitalization meets or exceeds $150 million for each trading day during 45 consecutive trading days; (ii) 1,000,000 shares on the date the Company's market capitalization meets or exceeds $225 million for each trading day during 45 consecutive trading days; (iii) 1,000,000 shares on the date the Company's market capitalization meets or exceeds $337.5 million for each trading day during 45 consecutive trading days; and (iv)1,000,000 shares on the date the Company's market capitalization meets or exceeds $506.25 million for each trading day during 45 consecutive trading days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the event that stockholder approval of an increase in shares of Common Stock reserved for issuance under Wrap Technologies, Inc. 2017 Equity Compensation Plan is not obtained prior to March 15, 2027, 1,600,000 of the awarded restricted stock are null and void and subject to forfeiture.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913"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4055</Characters>
  <CharactersWithSpaces>4727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