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form10-ka.htm"/>
      <w:bookmarkStart w:id="1" w:name="ksform10k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40101__20"/>
      <w:bookmarkEnd w:id="2"/>
      <w:r>
        <w:rPr>
          <w:rFonts w:ascii="Times New Roman;Times;Serif" w:hAnsi="Times New Roman;Times;Serif"/>
          <w:b/>
          <w:i w:val="false"/>
          <w:caps w:val="false"/>
          <w:smallCaps w:val="false"/>
          <w:sz w:val="36"/>
        </w:rPr>
        <w:t>10-K/A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jc w:val="center"/>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283"/>
              <w:jc w:val="left"/>
              <w:rPr>
                <w:caps w:val="false"/>
                <w:smallCaps w:val="false"/>
              </w:rPr>
            </w:pPr>
            <w:bookmarkStart w:id="3" w:name="xdx_90F_edei--DocumentAnnualReport_c2024"/>
            <w:bookmarkEnd w:id="3"/>
            <w:r>
              <w:rPr>
                <w:caps w:val="false"/>
                <w:smallCaps w:val="false"/>
              </w:rPr>
              <w:t>☒</w:t>
            </w:r>
          </w:p>
        </w:tc>
        <w:tc>
          <w:tcPr>
            <w:tcW w:w="94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PURSUANT TO SECTION 13 OR 15(d) OF THE SECURITIES EXCHANGE ACT OF 1934</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B_edei--CurrentFiscalYearEndDate_c"/>
      <w:bookmarkStart w:id="5" w:name="xdx_90F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8_edei--DocumentFiscalYearFocus_c2"/>
      <w:bookmarkEnd w:id="6"/>
      <w:r>
        <w:rPr>
          <w:rFonts w:ascii="Times New Roman;Times;Serif" w:hAnsi="Times New Roman;Times;Serif"/>
          <w:b/>
          <w:i w:val="false"/>
          <w:caps w:val="false"/>
          <w:smallCaps w:val="false"/>
          <w:sz w:val="20"/>
        </w:rPr>
        <w:t>2024</w:t>
      </w:r>
    </w:p>
    <w:p>
      <w:pPr>
        <w:pStyle w:val="TextBody"/>
        <w:bidi w:val="0"/>
        <w:jc w:val="center"/>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245"/>
        <w:gridCol w:w="9125"/>
      </w:tblGrid>
      <w:tr>
        <w:trPr/>
        <w:tc>
          <w:tcPr>
            <w:tcW w:w="245" w:type="dxa"/>
            <w:tcBorders/>
            <w:vAlign w:val="center"/>
          </w:tcPr>
          <w:p>
            <w:pPr>
              <w:pStyle w:val="TableContents"/>
              <w:bidi w:val="0"/>
              <w:spacing w:before="0" w:after="283"/>
              <w:jc w:val="left"/>
              <w:rPr>
                <w:caps w:val="false"/>
                <w:smallCaps w:val="false"/>
              </w:rPr>
            </w:pPr>
            <w:bookmarkStart w:id="7" w:name="xdx_90F_edei--DocumentTransitionReport_c"/>
            <w:bookmarkEnd w:id="7"/>
            <w:r>
              <w:rPr>
                <w:caps w:val="false"/>
                <w:smallCaps w:val="false"/>
              </w:rPr>
              <w:t>☐</w:t>
            </w:r>
          </w:p>
        </w:tc>
        <w:tc>
          <w:tcPr>
            <w:tcW w:w="9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8" w:name="xdx_904_edei--EntityFileNumber_c20240101"/>
      <w:bookmarkEnd w:id="8"/>
      <w:r>
        <w:rPr>
          <w:rFonts w:ascii="Times New Roman;Times;Serif" w:hAnsi="Times New Roman;Times;Serif"/>
          <w:b w:val="false"/>
          <w:i w:val="false"/>
          <w:caps w:val="false"/>
          <w:smallCaps w:val="false"/>
          <w:sz w:val="20"/>
        </w:rPr>
        <w:t>001-38750</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514475"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4475" cy="3048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bookmarkStart w:id="9" w:name="xdx_90A_edei--EntityRegistrantName_c2024"/>
      <w:bookmarkEnd w:id="9"/>
      <w:r>
        <w:rPr>
          <w:rFonts w:ascii="Times New Roman;Times;Serif" w:hAnsi="Times New Roman;Times;Serif"/>
          <w:b/>
          <w:i w:val="false"/>
          <w:caps w:val="false"/>
          <w:smallCaps w:val="false"/>
          <w:sz w:val="36"/>
        </w:rPr>
        <w:t>Wrap Technologies,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8215" w:type="dxa"/>
        <w:jc w:val="left"/>
        <w:tblInd w:w="0" w:type="dxa"/>
        <w:tblLayout w:type="fixed"/>
        <w:tblCellMar>
          <w:top w:w="0" w:type="dxa"/>
          <w:left w:w="0" w:type="dxa"/>
          <w:bottom w:w="28" w:type="dxa"/>
          <w:right w:w="0" w:type="dxa"/>
        </w:tblCellMar>
      </w:tblPr>
      <w:tblGrid>
        <w:gridCol w:w="4880"/>
        <w:gridCol w:w="60"/>
        <w:gridCol w:w="3275"/>
      </w:tblGrid>
      <w:tr>
        <w:trPr/>
        <w:tc>
          <w:tcPr>
            <w:tcW w:w="48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6_edei--EntityIncorporationStateCo"/>
            <w:bookmarkEnd w:id="10"/>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 w:name="xdx_90A_edei--EntityTaxIdentificationNum"/>
            <w:bookmarkEnd w:id="11"/>
            <w:r>
              <w:rPr>
                <w:rFonts w:ascii="Times New Roman;Times;Serif" w:hAnsi="Times New Roman;Times;Serif"/>
                <w:b w:val="false"/>
                <w:i w:val="false"/>
                <w:caps w:val="false"/>
                <w:smallCaps w:val="false"/>
                <w:sz w:val="20"/>
              </w:rPr>
              <w:t>98-0551945</w:t>
            </w:r>
          </w:p>
        </w:tc>
      </w:tr>
      <w:tr>
        <w:trPr/>
        <w:tc>
          <w:tcPr>
            <w:tcW w:w="48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Number)</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bookmarkStart w:id="12" w:name="xdx_90A_edei--EntityAddressAddressLine1_"/>
      <w:bookmarkEnd w:id="12"/>
      <w:r>
        <w:rPr>
          <w:rFonts w:ascii="Times New Roman;Times;Serif" w:hAnsi="Times New Roman;Times;Serif"/>
          <w:b w:val="false"/>
          <w:i w:val="false"/>
          <w:caps w:val="false"/>
          <w:smallCaps w:val="false"/>
          <w:sz w:val="20"/>
        </w:rPr>
        <w:t xml:space="preserve">3480 Main Hwy, </w:t>
      </w:r>
      <w:bookmarkStart w:id="13" w:name="xdx_903_edei--EntityAddressAddressLine2_"/>
      <w:bookmarkEnd w:id="13"/>
      <w:r>
        <w:rPr>
          <w:rFonts w:ascii="Times New Roman;Times;Serif" w:hAnsi="Times New Roman;Times;Serif"/>
          <w:b w:val="false"/>
          <w:i w:val="false"/>
          <w:caps w:val="false"/>
          <w:smallCaps w:val="false"/>
          <w:sz w:val="20"/>
        </w:rPr>
        <w:t>Suite 202</w:t>
      </w:r>
    </w:p>
    <w:p>
      <w:pPr>
        <w:pStyle w:val="TextBody"/>
        <w:bidi w:val="0"/>
        <w:jc w:val="center"/>
        <w:rPr>
          <w:rFonts w:ascii="Times New Roman;Times;Serif" w:hAnsi="Times New Roman;Times;Serif"/>
          <w:b w:val="false"/>
          <w:i w:val="false"/>
          <w:caps w:val="false"/>
          <w:smallCaps w:val="false"/>
          <w:sz w:val="20"/>
          <w:u w:val="single"/>
        </w:rPr>
      </w:pPr>
      <w:bookmarkStart w:id="14" w:name="xdx_900_edei--EntityAddressCityOrTown_c2"/>
      <w:bookmarkEnd w:id="14"/>
      <w:r>
        <w:rPr>
          <w:rFonts w:ascii="Times New Roman;Times;Serif" w:hAnsi="Times New Roman;Times;Serif"/>
          <w:b w:val="false"/>
          <w:i w:val="false"/>
          <w:caps w:val="false"/>
          <w:smallCaps w:val="false"/>
          <w:sz w:val="20"/>
          <w:u w:val="single"/>
        </w:rPr>
        <w:t xml:space="preserve">Miami, </w:t>
      </w:r>
      <w:bookmarkStart w:id="15" w:name="xdx_905_edei--EntityAddressStateOrProvin"/>
      <w:bookmarkEnd w:id="15"/>
      <w:r>
        <w:rPr>
          <w:rFonts w:ascii="Times New Roman;Times;Serif" w:hAnsi="Times New Roman;Times;Serif"/>
          <w:b w:val="false"/>
          <w:i w:val="false"/>
          <w:caps w:val="false"/>
          <w:smallCaps w:val="false"/>
          <w:sz w:val="20"/>
          <w:u w:val="single"/>
        </w:rPr>
        <w:t xml:space="preserve">Florida </w:t>
      </w:r>
      <w:bookmarkStart w:id="16" w:name="xdx_903_edei--EntityAddressPostalZipCode"/>
      <w:bookmarkEnd w:id="16"/>
      <w:r>
        <w:rPr>
          <w:rFonts w:ascii="Times New Roman;Times;Serif" w:hAnsi="Times New Roman;Times;Serif"/>
          <w:b w:val="false"/>
          <w:i w:val="false"/>
          <w:caps w:val="false"/>
          <w:smallCaps w:val="false"/>
          <w:sz w:val="20"/>
          <w:u w:val="single"/>
        </w:rPr>
        <w:t>33133</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bookmarkStart w:id="17" w:name="xdx_90B_edei--CityAreaCode_c20240101__20"/>
      <w:bookmarkEnd w:id="17"/>
      <w:r>
        <w:rPr>
          <w:rFonts w:ascii="Times New Roman;Times;Serif" w:hAnsi="Times New Roman;Times;Serif"/>
          <w:b w:val="false"/>
          <w:i w:val="false"/>
          <w:caps w:val="false"/>
          <w:smallCaps w:val="false"/>
          <w:sz w:val="20"/>
          <w:u w:val="single"/>
        </w:rPr>
        <w:t xml:space="preserve">(800) </w:t>
      </w:r>
      <w:bookmarkStart w:id="18" w:name="xdx_908_edei--LocalPhoneNumber_c20240101"/>
      <w:bookmarkEnd w:id="18"/>
      <w:r>
        <w:rPr>
          <w:rFonts w:ascii="Times New Roman;Times;Serif" w:hAnsi="Times New Roman;Times;Serif"/>
          <w:b w:val="false"/>
          <w:i w:val="false"/>
          <w:caps w:val="false"/>
          <w:smallCaps w:val="false"/>
          <w:sz w:val="20"/>
          <w:u w:val="single"/>
        </w:rPr>
        <w:t>583-2652</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jc w:val="center"/>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3620"/>
        <w:gridCol w:w="60"/>
        <w:gridCol w:w="1535"/>
        <w:gridCol w:w="60"/>
        <w:gridCol w:w="359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5_edei--Security12bTitle_c20240101"/>
            <w:bookmarkEnd w:id="19"/>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TradingSymbol_c20240101__2"/>
            <w:bookmarkEnd w:id="20"/>
            <w:r>
              <w:rPr>
                <w:rFonts w:ascii="Times New Roman;Times;Serif" w:hAnsi="Times New Roman;Times;Serif"/>
                <w:b w:val="false"/>
                <w:i w:val="false"/>
                <w:caps w:val="false"/>
                <w:smallCaps w:val="false"/>
                <w:sz w:val="20"/>
              </w:rPr>
              <w:t>WRAP</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1_edei--SecurityExchangeName_c2024"/>
            <w:bookmarkEnd w:id="21"/>
            <w:r>
              <w:rPr>
                <w:rFonts w:ascii="Times New Roman;Times;Serif" w:hAnsi="Times New Roman;Times;Serif"/>
                <w:b w:val="false"/>
                <w:i w:val="false"/>
                <w:caps w:val="false"/>
                <w:smallCaps w:val="false"/>
                <w:sz w:val="20"/>
              </w:rPr>
              <w:t>Nasdaq Capital Market</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 None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2" w:name="xdx_90C_edei--EntityWellKnownSeasonedIss"/>
      <w:bookmarkEnd w:id="22"/>
      <w:r>
        <w:rPr>
          <w:rFonts w:ascii="Times New Roman;Times;Serif" w:hAnsi="Times New Roman;Times;Serif"/>
          <w:b w:val="false"/>
          <w:i w:val="false"/>
          <w:caps w:val="false"/>
          <w:smallCaps w:val="false"/>
          <w:sz w:val="20"/>
        </w:rPr>
        <w:t>No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Exchange Act. Yes ☐ </w:t>
      </w:r>
      <w:bookmarkStart w:id="23" w:name="xdx_90C_edei--EntityVoluntaryFilers_c202"/>
      <w:bookmarkEnd w:id="23"/>
      <w:r>
        <w:rPr>
          <w:rFonts w:ascii="Times New Roman;Times;Serif" w:hAnsi="Times New Roman;Times;Serif"/>
          <w:b w:val="false"/>
          <w:i w:val="false"/>
          <w:caps w:val="false"/>
          <w:smallCaps w:val="false"/>
          <w:sz w:val="20"/>
        </w:rPr>
        <w:t>No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4" w:name="xdx_909_edei--EntityCurrentReportingStat"/>
      <w:bookmarkEnd w:id="24"/>
      <w:r>
        <w:rPr>
          <w:rFonts w:ascii="Times New Roman;Times;Serif" w:hAnsi="Times New Roman;Times;Serif"/>
          <w:b w:val="false"/>
          <w:i w:val="false"/>
          <w:caps w:val="false"/>
          <w:smallCaps w:val="false"/>
          <w:sz w:val="20"/>
        </w:rPr>
        <w:t>Yes ☒ No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jc w:val="both"/>
        <w:rPr>
          <w:caps w:val="false"/>
          <w:smallCaps w:val="false"/>
        </w:rPr>
      </w:pPr>
      <w:r>
        <w:rPr>
          <w:caps w:val="false"/>
          <w:smallCaps w:val="false"/>
        </w:rPr>
        <w:t xml:space="preserve">☒ </w:t>
      </w:r>
      <w:bookmarkStart w:id="25" w:name="xdx_903_edei--EntityInteractiveDataCurre"/>
      <w:bookmarkEnd w:id="25"/>
      <w:r>
        <w:rPr>
          <w:rFonts w:ascii="Times New Roman;Times;Serif" w:hAnsi="Times New Roman;Times;Serif"/>
          <w:b w:val="false"/>
          <w:i w:val="false"/>
          <w:caps w:val="false"/>
          <w:smallCaps w:val="false"/>
          <w:sz w:val="20"/>
        </w:rPr>
        <w:t>Yes ☐ No</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“accelerated filer,” “large accelerated filer,” “smaller reporting company,” and “emerging growth company” in Rule 12b-2 of the Exchange Act.</w:t>
      </w:r>
    </w:p>
    <w:p>
      <w:pPr>
        <w:pStyle w:val="TextBody"/>
        <w:bidi w:val="0"/>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150"/>
        <w:gridCol w:w="2465"/>
      </w:tblGrid>
      <w:tr>
        <w:trPr/>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6" w:name="xdx_903_edei--EntityFilerCategory_c20240"/>
            <w:bookmarkEnd w:id="26"/>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7" w:name="xdx_90C_edei--EntitySmallBusiness_c20240"/>
            <w:bookmarkEnd w:id="27"/>
            <w:r>
              <w:rPr>
                <w:rFonts w:ascii="Times New Roman;Times;Serif" w:hAnsi="Times New Roman;Times;Serif"/>
                <w:b w:val="false"/>
                <w:i w:val="false"/>
                <w:caps w:val="false"/>
                <w:smallCaps w:val="false"/>
                <w:sz w:val="20"/>
              </w:rPr>
              <w:t>☒</w:t>
            </w:r>
          </w:p>
        </w:tc>
      </w:tr>
      <w:tr>
        <w:trPr/>
        <w:tc>
          <w:tcPr>
            <w:tcW w:w="2150"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8" w:name="xdx_903_edei--EntityEmergingGrowthCompan"/>
            <w:bookmarkEnd w:id="28"/>
            <w:r>
              <w:rPr>
                <w:rFonts w:ascii="Times New Roman;Times;Serif" w:hAnsi="Times New Roman;Times;Serif"/>
                <w:b w:val="false"/>
                <w:i w:val="false"/>
                <w:caps w:val="false"/>
                <w:smallCaps w:val="false"/>
                <w:sz w:val="20"/>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29" w:name="xdx_900_edei--IcfrAuditorAttestationFlag"/>
      <w:bookmarkEnd w:id="29"/>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30" w:name="xdx_908_edei--DocumentFinStmtErrorCorrec"/>
      <w:bookmarkEnd w:id="30"/>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Act). Yes ☐ No </w:t>
      </w:r>
      <w:bookmarkStart w:id="31" w:name="xdx_906_edei--EntityShellCompany_dbF_c20"/>
      <w:bookmarkEnd w:id="31"/>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registrant’s common stock held by non-affiliates of the registrant on June 30, 2024 (the last business day of the registrant’s most recently completed second fiscal quarter) was $</w:t>
      </w:r>
      <w:bookmarkStart w:id="32" w:name="xdx_908_edei--EntityPublicFloat_iI_pid_c"/>
      <w:bookmarkEnd w:id="32"/>
      <w:r>
        <w:rPr>
          <w:rFonts w:ascii="Times New Roman;Times;Serif" w:hAnsi="Times New Roman;Times;Serif"/>
          <w:b w:val="false"/>
          <w:i w:val="false"/>
          <w:caps w:val="false"/>
          <w:smallCaps w:val="false"/>
          <w:sz w:val="20"/>
        </w:rPr>
        <w:t>69,444,666 based on the closing price of $2.00 per share as reported on the Nasdaq Capital Market (“Nasdaq”) on June 28, 2024. Shares of the registrant’s common stock held by each officer and director and each person known to the registrant to own 10% or more of the outstanding voting power of the registrant have been excluded in that such persons may be deemed to be affiliates. This determination of affiliate status is not a determination for other purposes.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April 24, 2025, </w:t>
      </w:r>
      <w:bookmarkStart w:id="33" w:name="xdx_907_edei--EntityCommonStockSharesOut"/>
      <w:bookmarkEnd w:id="33"/>
      <w:r>
        <w:rPr>
          <w:rFonts w:ascii="Times New Roman;Times;Serif" w:hAnsi="Times New Roman;Times;Serif"/>
          <w:b w:val="false"/>
          <w:i w:val="false"/>
          <w:caps w:val="false"/>
          <w:smallCaps w:val="false"/>
          <w:sz w:val="20"/>
        </w:rPr>
        <w:t>50,554,267 shares of common stock, par value $</w:t>
      </w:r>
      <w:bookmarkStart w:id="34" w:name="xdx_905_edei--EntityListingParValuePerSh"/>
      <w:bookmarkEnd w:id="34"/>
      <w:r>
        <w:rPr>
          <w:rFonts w:ascii="Times New Roman;Times;Serif" w:hAnsi="Times New Roman;Times;Serif"/>
          <w:b w:val="false"/>
          <w:i w:val="false"/>
          <w:caps w:val="false"/>
          <w:smallCaps w:val="false"/>
          <w:sz w:val="20"/>
        </w:rPr>
        <w:t>0.0001 per share, were outstanding.</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Documents Incorporated by Reference: </w:t>
      </w:r>
    </w:p>
    <w:p>
      <w:pPr>
        <w:pStyle w:val="TextBody"/>
        <w:bidi w:val="0"/>
        <w:jc w:val="center"/>
        <w:rPr>
          <w:rFonts w:ascii="Times New Roman;Times;Serif" w:hAnsi="Times New Roman;Times;Serif"/>
          <w:b w:val="false"/>
          <w:i w:val="false"/>
          <w:caps w:val="false"/>
          <w:smallCaps w:val="false"/>
          <w:sz w:val="20"/>
        </w:rPr>
      </w:pPr>
      <w:bookmarkStart w:id="35" w:name="xdx_906_edei--DocumentsIncorporatedByRef"/>
      <w:bookmarkEnd w:id="35"/>
      <w:r>
        <w:rPr>
          <w:rFonts w:ascii="Times New Roman;Times;Serif" w:hAnsi="Times New Roman;Times;Serif"/>
          <w:b w:val="false"/>
          <w:i w:val="false"/>
          <w:caps w:val="false"/>
          <w:smallCaps w:val="false"/>
          <w:sz w:val="20"/>
        </w:rPr>
        <w:t>None.</w:t>
      </w:r>
    </w:p>
    <w:p>
      <w:pPr>
        <w:pStyle w:val="TextBody"/>
        <w:bidi w:val="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bookmarkStart w:id="36" w:name="xdx_988_edei--AmendmentDescription_c2024"/>
      <w:bookmarkEnd w:id="36"/>
      <w:r>
        <w:rPr>
          <w:rFonts w:ascii="Times New Roman;Times;Serif" w:hAnsi="Times New Roman;Times;Serif"/>
          <w:b w:val="false"/>
          <w:i w:val="false"/>
          <w:caps w:val="false"/>
          <w:smallCaps w:val="false"/>
          <w:sz w:val="20"/>
        </w:rPr>
        <w:t>This Amendment No. 1 on Form 10-K/A (the “Amendment”) amends the Annual Report on Form 10-K of Wrap Technologies, Inc. (the “Company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“our” or “we”) for the year ended December 31, 2024, originally filed with the Securities and Exchange Commission (the “SEC”) on March 31, 2025 (the “Original Filing”). We are filing this Amendment to present the information required by Items 10, 11, 12, 13, and 14 of Part III of the Original Filing in reliance on General Instruction G(3) to Form 10-K, which provides that registrants may incorporate by reference certain information from a definitive proxy statement filed with the SEC within 120 days after fiscal year end. The Company is filing this Amendment to add this information because the definitive proxy statement containing this information will not be filed before that date. In addition, the reference on the cover of the Original Filing to the incorporation by reference to portions of our definitive proxy statement into Part III of the Original Filing is hereby deleted.</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12b-15 under the Securities Exchange Act of 1934, as amended, (i) Part III, Items 10 through 14 of the Original Filing are hereby amended and restated in their entirety, and (ii) Part IV, Item 15 of the Original Filing is hereby amended and restated in its entirety. In addition, new certifications of our principal executive officer and principal financial officer as required by Section 302 of the Sarbanes-Oxley Act of 2022 are attached, each as of the filing date of this Amendment. Except as described above, no other changes have been made to the Original Filing.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stated herein, this Amendment does not reflect events occurring after the filing of the Original Filing and no attempt has been made in this Amendment to modify or update other disclosures as presented in the Original Filing.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firstLine="720"/>
        <w:jc w:val="both"/>
        <w:rPr>
          <w:caps w:val="false"/>
          <w:smallCaps w:val="false"/>
        </w:rPr>
      </w:pPr>
      <w:bookmarkStart w:id="37" w:name="xdx_C0C_gBFAD-CPJUB_zInzmNwRYJYe"/>
      <w:bookmarkEnd w:id="37"/>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tbl>
      <w:tblPr>
        <w:tblW w:w="9465" w:type="dxa"/>
        <w:jc w:val="left"/>
        <w:tblInd w:w="0" w:type="dxa"/>
        <w:tblLayout w:type="fixed"/>
        <w:tblCellMar>
          <w:top w:w="0" w:type="dxa"/>
          <w:left w:w="0" w:type="dxa"/>
          <w:bottom w:w="0" w:type="dxa"/>
          <w:right w:w="0" w:type="dxa"/>
        </w:tblCellMar>
      </w:tblPr>
      <w:tblGrid>
        <w:gridCol w:w="815"/>
        <w:gridCol w:w="8165"/>
        <w:gridCol w:w="60"/>
        <w:gridCol w:w="425"/>
      </w:tblGrid>
      <w:tr>
        <w:trPr/>
        <w:tc>
          <w:tcPr>
            <w:tcW w:w="89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81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CCEEFF" w:val="clear"/>
            <w:vAlign w:val="center"/>
          </w:tcPr>
          <w:p>
            <w:pPr>
              <w:pStyle w:val="TableContents"/>
              <w:bidi w:val="0"/>
              <w:spacing w:before="0" w:after="283"/>
              <w:jc w:val="center"/>
              <w:rPr/>
            </w:pPr>
            <w:hyperlink w:anchor="v_001">
              <w:r>
                <w:rPr>
                  <w:rStyle w:val="InternetLink"/>
                  <w:rFonts w:ascii="Times New Roman;Times;Serif" w:hAnsi="Times New Roman;Times;Serif"/>
                  <w:b/>
                  <w:i w:val="false"/>
                  <w:caps w:val="false"/>
                  <w:smallCaps w:val="false"/>
                  <w:sz w:val="20"/>
                </w:rPr>
                <w:t>PART III</w:t>
              </w:r>
            </w:hyperlink>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165" w:type="dxa"/>
            <w:tcBorders/>
            <w:shd w:fill="CCEEFF" w:val="clear"/>
            <w:vAlign w:val="center"/>
          </w:tcPr>
          <w:p>
            <w:pPr>
              <w:pStyle w:val="TableContents"/>
              <w:bidi w:val="0"/>
              <w:spacing w:before="0" w:after="283"/>
              <w:jc w:val="left"/>
              <w:rPr/>
            </w:pPr>
            <w:hyperlink w:anchor="v_002">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165" w:type="dxa"/>
            <w:tcBorders/>
            <w:shd w:fill="FFFFFF" w:val="clear"/>
            <w:vAlign w:val="center"/>
          </w:tcPr>
          <w:p>
            <w:pPr>
              <w:pStyle w:val="TableContents"/>
              <w:bidi w:val="0"/>
              <w:spacing w:before="0" w:after="283"/>
              <w:jc w:val="left"/>
              <w:rPr/>
            </w:pPr>
            <w:hyperlink w:anchor="v_003">
              <w:r>
                <w:rPr>
                  <w:rStyle w:val="InternetLink"/>
                  <w:rFonts w:ascii="Times New Roman;Times;Serif" w:hAnsi="Times New Roman;Times;Serif"/>
                  <w:b w:val="false"/>
                  <w:i w:val="false"/>
                  <w:caps w:val="false"/>
                  <w:smallCaps w:val="false"/>
                  <w:sz w:val="20"/>
                </w:rPr>
                <w:t>Executive Compensation</w:t>
              </w:r>
            </w:hyperlink>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165" w:type="dxa"/>
            <w:tcBorders/>
            <w:shd w:fill="CCEEFF" w:val="clear"/>
            <w:vAlign w:val="center"/>
          </w:tcPr>
          <w:p>
            <w:pPr>
              <w:pStyle w:val="TableContents"/>
              <w:bidi w:val="0"/>
              <w:spacing w:before="0" w:after="283"/>
              <w:jc w:val="left"/>
              <w:rPr/>
            </w:pPr>
            <w:hyperlink w:anchor="v_004">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165" w:type="dxa"/>
            <w:tcBorders/>
            <w:shd w:fill="FFFFFF" w:val="clear"/>
            <w:vAlign w:val="center"/>
          </w:tcPr>
          <w:p>
            <w:pPr>
              <w:pStyle w:val="TableContents"/>
              <w:bidi w:val="0"/>
              <w:spacing w:before="0" w:after="283"/>
              <w:jc w:val="left"/>
              <w:rPr/>
            </w:pPr>
            <w:hyperlink w:anchor="v_005">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165" w:type="dxa"/>
            <w:tcBorders/>
            <w:shd w:fill="CCEEFF" w:val="clear"/>
            <w:vAlign w:val="center"/>
          </w:tcPr>
          <w:p>
            <w:pPr>
              <w:pStyle w:val="TableContents"/>
              <w:bidi w:val="0"/>
              <w:spacing w:before="0" w:after="283"/>
              <w:jc w:val="left"/>
              <w:rPr/>
            </w:pPr>
            <w:hyperlink w:anchor="v_006">
              <w:r>
                <w:rPr>
                  <w:rStyle w:val="InternetLink"/>
                  <w:rFonts w:ascii="Times New Roman;Times;Serif" w:hAnsi="Times New Roman;Times;Serif"/>
                  <w:b w:val="false"/>
                  <w:i w:val="false"/>
                  <w:caps w:val="false"/>
                  <w:smallCaps w:val="false"/>
                  <w:sz w:val="20"/>
                </w:rPr>
                <w:t>Principal Accounting Fees and Services </w:t>
              </w:r>
            </w:hyperlink>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8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CCEEFF" w:val="clear"/>
            <w:vAlign w:val="center"/>
          </w:tcPr>
          <w:p>
            <w:pPr>
              <w:pStyle w:val="TableContents"/>
              <w:bidi w:val="0"/>
              <w:spacing w:before="0" w:after="283"/>
              <w:jc w:val="center"/>
              <w:rPr/>
            </w:pPr>
            <w:hyperlink w:anchor="v_007">
              <w:r>
                <w:rPr>
                  <w:rStyle w:val="InternetLink"/>
                  <w:rFonts w:ascii="Times New Roman;Times;Serif" w:hAnsi="Times New Roman;Times;Serif"/>
                  <w:b/>
                  <w:i w:val="false"/>
                  <w:caps w:val="false"/>
                  <w:smallCaps w:val="false"/>
                  <w:sz w:val="20"/>
                </w:rPr>
                <w:t>PART IV</w:t>
              </w:r>
            </w:hyperlink>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165" w:type="dxa"/>
            <w:tcBorders/>
            <w:shd w:fill="CCEEFF" w:val="clear"/>
            <w:vAlign w:val="center"/>
          </w:tcPr>
          <w:p>
            <w:pPr>
              <w:pStyle w:val="TableContents"/>
              <w:bidi w:val="0"/>
              <w:spacing w:before="0" w:after="283"/>
              <w:jc w:val="both"/>
              <w:rPr/>
            </w:pPr>
            <w:hyperlink w:anchor="v_008">
              <w:r>
                <w:rPr>
                  <w:rStyle w:val="InternetLink"/>
                  <w:rFonts w:ascii="Times New Roman;Times;Serif" w:hAnsi="Times New Roman;Times;Serif"/>
                  <w:b w:val="false"/>
                  <w:i w:val="false"/>
                  <w:caps w:val="false"/>
                  <w:smallCaps w:val="false"/>
                  <w:sz w:val="20"/>
                </w:rPr>
                <w:t>Exhibits, Financial Statement Schedules</w:t>
              </w:r>
            </w:hyperlink>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8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CCEEFF" w:val="clear"/>
            <w:vAlign w:val="center"/>
          </w:tcPr>
          <w:p>
            <w:pPr>
              <w:pStyle w:val="TableContents"/>
              <w:bidi w:val="0"/>
              <w:spacing w:before="0" w:after="283"/>
              <w:jc w:val="both"/>
              <w:rPr/>
            </w:pPr>
            <w:hyperlink w:anchor="v_009">
              <w:r>
                <w:rPr>
                  <w:rStyle w:val="InternetLink"/>
                  <w:rFonts w:ascii="Times New Roman;Times;Serif" w:hAnsi="Times New Roman;Times;Serif"/>
                  <w:b w:val="false"/>
                  <w:i w:val="false"/>
                  <w:caps w:val="false"/>
                  <w:smallCaps w:val="false"/>
                  <w:sz w:val="20"/>
                </w:rPr>
                <w:t>Signatures</w:t>
              </w:r>
            </w:hyperlink>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8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8" w:name="v_001"/>
      <w:bookmarkEnd w:id="38"/>
      <w:r>
        <w:rPr>
          <w:rFonts w:ascii="Times New Roman;Times;Serif" w:hAnsi="Times New Roman;Times;Serif"/>
          <w:b/>
          <w:i w:val="false"/>
          <w:caps w:val="false"/>
          <w:smallCaps w:val="false"/>
          <w:sz w:val="20"/>
        </w:rPr>
        <w:t>PART III</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39" w:name="v_002"/>
      <w:bookmarkEnd w:id="39"/>
      <w:r>
        <w:rPr>
          <w:rFonts w:ascii="Times New Roman;Times;Serif" w:hAnsi="Times New Roman;Times;Serif"/>
          <w:b/>
          <w:i w:val="false"/>
          <w:caps w:val="false"/>
          <w:smallCaps w:val="false"/>
          <w:sz w:val="20"/>
        </w:rPr>
        <w:t>ITEM 10. DIRECTORS, EXECUTIVE OFFICERS AND CORPORATE GOVERNANCE.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(the “Board”) is currently composed of five members of the Board. Under the amended and restated Bylaws of the Company, the number of directors will be fixed by the Board or the stockholders at an annual meeting of the stockholders, and directors serve until the next annual election and their successors are duly elected and qualified, or until their earlier resignation, removal or death.</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list of the names, ages as of April 24, 2025, and positions of the individuals who currently serve as our directors.</w:t>
      </w:r>
    </w:p>
    <w:p>
      <w:pPr>
        <w:pStyle w:val="TextBody"/>
        <w:bidi w:val="0"/>
        <w:jc w:val="left"/>
        <w:rPr>
          <w:caps w:val="false"/>
          <w:smallCaps w:val="false"/>
        </w:rPr>
      </w:pPr>
      <w:r>
        <w:rPr>
          <w:caps w:val="false"/>
          <w:smallCaps w:val="false"/>
        </w:rPr>
        <w:t> </w:t>
      </w:r>
    </w:p>
    <w:tbl>
      <w:tblPr>
        <w:tblW w:w="8400" w:type="dxa"/>
        <w:jc w:val="left"/>
        <w:tblInd w:w="0" w:type="dxa"/>
        <w:tblLayout w:type="fixed"/>
        <w:tblCellMar>
          <w:top w:w="0" w:type="dxa"/>
          <w:left w:w="0" w:type="dxa"/>
          <w:bottom w:w="28" w:type="dxa"/>
          <w:right w:w="0" w:type="dxa"/>
        </w:tblCellMar>
      </w:tblPr>
      <w:tblGrid>
        <w:gridCol w:w="2870"/>
        <w:gridCol w:w="60"/>
        <w:gridCol w:w="350"/>
        <w:gridCol w:w="60"/>
        <w:gridCol w:w="5060"/>
      </w:tblGrid>
      <w:tr>
        <w:trPr/>
        <w:tc>
          <w:tcPr>
            <w:tcW w:w="287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Chairman of the Board</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Bernstein(1)(2)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Savas(1)(3)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8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Rajiv Srinivasan(1)(2)(3)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8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Admiral Tim Szymanski(2)(3)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260"/>
        <w:gridCol w:w="345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our Audit Committee.</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our Compensation Committee.</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our Nominating Committee.</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Biographies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our directors is set forth below. The biographical description of each director includes the specific experience, qualifications, attributes and skills that led the Board to conclude that such person should serve as a director.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Scot Cohen </w:t>
      </w:r>
      <w:r>
        <w:rPr>
          <w:rFonts w:ascii="Times New Roman;Times;Serif" w:hAnsi="Times New Roman;Times;Serif"/>
          <w:b w:val="false"/>
          <w:i w:val="false"/>
          <w:caps w:val="false"/>
          <w:smallCaps w:val="false"/>
          <w:sz w:val="20"/>
        </w:rPr>
        <w:t>- Mr. Cohen cofounded the Company in March 2016, and has previously served as a non-independent Director of the Company from June 2021 until October 2023 and Executive Chairman of the Company from July 2017 until June 2021 and then again beginning in October 2023, and currently serves as Chief Executive Officer, Principal Executive Officer and interim Principal Financial Officer and Principal Accounting Officer. Mr. Cohen has over 20 years of experience in institutional asset management, wealth management, and capital markets. He currently manages several operating partnerships that actively invest in the energy sector in addition to maintaining an active investment portfolio in various public companies, early-stage private companies, hedge funds and alternative assets including real estate. Mr. Cohen is the Founder and Managing Partner of V3 Capital Partners, a private investment firm focused on early-stage companies primarily in the consumer products industry, and Co-Manager of Red Fortune Fund, a private equity fund based in Hong Kong. Mr. Cohen also is the Founder of Petro River Oil, LLC and Chairman of Petro River Oil Corp. (OTCBB: PTRC), a publicly traded oil and gas producer with assets in Kansas and Oklahoma, and Petro Spring LLC, a global oil and gas technology solutions provider. Prior to creating V3 Capital Partners, Mr. Cohen was the Founder and Managing Partner at Iroquois Capital Opportunity Fund, a special situations private equity investment fund, and a Co-Founder of Iroquois Capital, a hedge fund with investments in small and micro-cap private and public companies. Mr. Cohen currently serves on the board of directors of Charlie’s Holding, Inc. (OTCQB: CHUC), and has served as Executive Chair of the board of directors of Petro River Oil Corp. since 2012. Mr. Cohen earned his Bachelor of Science degree from Ohio University in 1991.</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Mr. Cohen’s success with multiple private investment firms, his extensive contacts within the investment community and financial expertise strengthens the Company’s efforts to raise capital to fund the continued implementation of its business plan.</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Bruce Bernstein</w:t>
      </w:r>
      <w:r>
        <w:rPr>
          <w:rFonts w:ascii="Times New Roman;Times;Serif" w:hAnsi="Times New Roman;Times;Serif"/>
          <w:b w:val="false"/>
          <w:i w:val="false"/>
          <w:caps w:val="false"/>
          <w:smallCaps w:val="false"/>
          <w:sz w:val="20"/>
        </w:rPr>
        <w:t xml:space="preserve"> - Mr. Bernstein was appointed as a director of the Company in April 2023. Mr. Bernstein has over thirty-five years of experience 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serves as a member of the Board of Directors of Xwell, Inc. (Formerly XpresSpa Holdings, Inc.) the leading airport spa company in the world, based in New York, serves as a Director for Neurotrope since November 14, 2016, and Petros Pharmaceuticals, Inc. Mr. Bernstein holds a Bachelor of Business Administration from City University of New York (Baruch).</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Mr. Bernstein’s experience in finance, audit, capital markets and in advising public companies provides significant benefit to the Company and as a member of the Board.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Marc Savas</w:t>
      </w:r>
      <w:r>
        <w:rPr>
          <w:rFonts w:ascii="Times New Roman;Times;Serif" w:hAnsi="Times New Roman;Times;Serif"/>
          <w:b w:val="false"/>
          <w:i w:val="false"/>
          <w:caps w:val="false"/>
          <w:smallCaps w:val="false"/>
          <w:sz w:val="20"/>
        </w:rPr>
        <w:t xml:space="preserve"> - Mr. Savas was appointed as a director of the Company in April 2023. Mr. Savas has over 35 years of experience in accelerating revenue for companies, and is skilled in developing and guiding leadership teams, executing tactical, strategic and technical plans, and brings a comprehensive understanding of organizational efficiency. Mr. Savas currently serves as President of Vector97, a privately held waste hauling and recycling consulting firm, since February 2012. He has overseen Vector97 from a startup company through engineering its sale to SIB in June of 2022. Mr. Savas remains President of Vector97 and has joined the SIB leadership team. He currently serves as a Director of SRAX since October 2015. Previously, he founded Unfair Advantage, Inc. and Living Full Blast, Inc., a management and efficiency consulting firm serving the Venture Capital and Legal vertical markets serving as Chief Executive officer until January 2012. Mr. Savas has also served as a member of the Board of Directors of Motivational, Inc., a charitable organization, from July 2020 to present, and as a member of the Board of Directors of RMP, a charitable organization, from December 2022 to present. Mr. Savas holds a Bachelor of Science in Marketing from Northern Arizona University of Flagstaff Arizona, and completed the Executive Development Program of the Marshall School of Business of the University of Southern California.</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Mr. Savas’ experience in organizational efficiency and effectiveness, together with his extensive knowledge in finance, scalability and implementing successful business strategies, makes him a valuable member of the Board.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Rajiv Srinivasan </w:t>
      </w:r>
      <w:r>
        <w:rPr>
          <w:rFonts w:ascii="Times New Roman;Times;Serif" w:hAnsi="Times New Roman;Times;Serif"/>
          <w:b w:val="false"/>
          <w:i w:val="false"/>
          <w:caps w:val="false"/>
          <w:smallCaps w:val="false"/>
          <w:sz w:val="20"/>
        </w:rPr>
        <w:t>- Mr. Srinivasan was appointed director in October 2023. Mr. Srinivasan served at LinkedIn by Microsoft (NYSE:MSFT) from 2019 to 2023, as the Director of the NAMER Globals Program from 2021 to 2023, and the Director of Global Clients from 2019 to 2021. Prior to that, he served as a Global Account manager at VMware (NYSE: VMW) from 2016 to 2019, and as a sales manager at MobileIron (NYSE: MOBL) from 2013 to 2015. Mr. Srinivasan’s startup experience includes Investor and Sales Advisor at Nirmata since 2017, Interim VP of Sales at Myally from 2018 to 2020 and Co-Founder and Head of Sales at Morta Security from 2011 to 2013. Mr. Srinivasan served as a Captain of the U.S. Army from 2004 to 2011 and is a contributor and commentator on miliary and veterans affairs, is on the board of directors and finance committee of Families Against Mandatory Minimums, a lobby to end mass incarceration. Mr. Srinivasan earned a Bachelor of Science in Arabic and Comparative Politics from the U.S. Military Academy, a Master of Science in Applied Mathematics with a focus on Data Science and Numerical Methods from Columbia University, and a Masters of Business Administration from the Wharton School of Business.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Mr. Srinivasan’s experience in technology based companies and early stage growth firms, together with his extensive knowledge and experience in implementing successful business strategies, makes him a valuable member of the Board.</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Vice Admiral Tim Szymanski </w:t>
      </w:r>
      <w:r>
        <w:rPr>
          <w:rFonts w:ascii="Times New Roman;Times;Serif" w:hAnsi="Times New Roman;Times;Serif"/>
          <w:b w:val="false"/>
          <w:i w:val="false"/>
          <w:caps w:val="false"/>
          <w:smallCaps w:val="false"/>
          <w:sz w:val="20"/>
        </w:rPr>
        <w:t>- Mr. Szymanski was appointed a director in October 2023. Mr. Szymanski is a distinguished retired United States Navy vice admiral, with thirty-seven years of military service. Mr. Szymanski currently provides consulting services to Pallas Advisors as a principal, a strategic advisory firm specializing in navigating complex national and international security dynamics, which he joined in August 2023, Odyssey Group International, Inc., Senseye, Inc., and Q30 Sports Science, LLC. Mr. Szymanski further serves on the Veteran Advisory Committee, at NanoDx Inc. and at Verkada Inc., on the Federal Advisory Board.  Additionally, he is the board chair of Navy SEAL Museum San Diego. Prior to his retirement from the United States Navy, Mr. Szymanski last served as deputy commander of United States Special Operations Command and prior as the Commander of Naval Special Warfare. Mr. Szymanski also served on the Joint Staff as the J3 deputy directorate for Special Operations, as the Global War on Terror branch chief and as chief staff officer of Pakistan-Afghanistan Coordination Cell. Mr. Szymanski graduated from the United States Naval Academy in 1985. He completed a Master of Joint Campaign Planning and Strategy at the Joint Advanced Warfighting School.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Vice Admiral Szymanski’s experience in organizational efficiency and effectiveness, together with his military leadership experience, makes him a valuable member of the Board.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list of the names, ages as of April 24, 2025, positions, and a brief account of the business experience of the individuals who serve as our executive officers.</w:t>
      </w:r>
    </w:p>
    <w:p>
      <w:pPr>
        <w:pStyle w:val="TextBody"/>
        <w:bidi w:val="0"/>
        <w:ind w:left="0" w:right="0" w:firstLine="720"/>
        <w:jc w:val="both"/>
        <w:rPr>
          <w:caps w:val="false"/>
          <w:smallCaps w:val="false"/>
        </w:rPr>
      </w:pPr>
      <w:r>
        <w:rPr>
          <w:caps w:val="false"/>
          <w:smallCaps w:val="false"/>
        </w:rPr>
        <w:t> </w:t>
      </w:r>
    </w:p>
    <w:tbl>
      <w:tblPr>
        <w:tblW w:w="6630" w:type="dxa"/>
        <w:jc w:val="left"/>
        <w:tblInd w:w="0" w:type="dxa"/>
        <w:tblLayout w:type="fixed"/>
        <w:tblCellMar>
          <w:top w:w="0" w:type="dxa"/>
          <w:left w:w="0" w:type="dxa"/>
          <w:bottom w:w="28" w:type="dxa"/>
          <w:right w:w="0" w:type="dxa"/>
        </w:tblCellMar>
      </w:tblPr>
      <w:tblGrid>
        <w:gridCol w:w="1100"/>
        <w:gridCol w:w="60"/>
        <w:gridCol w:w="350"/>
        <w:gridCol w:w="60"/>
        <w:gridCol w:w="5060"/>
      </w:tblGrid>
      <w:tr>
        <w:trPr/>
        <w:tc>
          <w:tcPr>
            <w:tcW w:w="11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Chairman of the Board</w:t>
            </w:r>
          </w:p>
        </w:tc>
      </w:tr>
      <w:tr>
        <w:trPr/>
        <w:tc>
          <w:tcPr>
            <w:tcW w:w="11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Jared Novick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 Biographies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Jared Novick - </w:t>
      </w:r>
      <w:r>
        <w:rPr>
          <w:rFonts w:ascii="Times New Roman;Times;Serif" w:hAnsi="Times New Roman;Times;Serif"/>
          <w:b w:val="false"/>
          <w:i w:val="false"/>
          <w:caps w:val="false"/>
          <w:smallCaps w:val="false"/>
          <w:sz w:val="20"/>
        </w:rPr>
        <w:t>Mr. Novick has served as Chief Operating Officer of the Company since December 2023 and has served as President of the Company since March 2025. From June 2023 to December 2023, Mr. Novick served as Chief Operating Officer and Senior Vice President of Strategy and Special Projects at Sidus Space, Inc. (NASDAQ:SIDU), where he oversaw diverse areas such as manufacturing, sales, product development, supply chain management, marketing, and human resources. Since 2018, he has also served on the Board of Advisors at BlueVoyant LLC (“Blue Voyant”), where he also served as Head of Strategy from 2017 until 2018. Before his tenure in public companies, Mr. Novick experienced success with two early-stage technology ventures, each culminating in notable exits. He co-founded and served as Chief Executive Officer of BitVoyant, a cybersecurity threat monitoring product and service provider for commercial enterprises, later acquired by cybersecurity unicorn BlueVoyant. Additionally, he founded and led CurvedSkies LLC, serving as Chie Executive Officer of a professional services firm catering to classified U.S. Federal Government customers in the aerospace and defense sectors. Mr. Novick’s professional career includes significant roles as a U.S. Intelligence Community Civil Servant and a contractor for Special Projects to the Office of the Secretary of Defense. He collaborated extensively with the U.S. Intelligence Community, the Department of Defense, and international partners to then deploy and operationally support critical National Security challenges across South America, Central-Asia and Africa. In the early stages of his career, Mr. Novick trained as a NASA Aircrew Member, operating High-Altitude Technologies above 60,000 feet and necessitating NASA pressure suit operations. He has logged over 2,000 hours of flight time in various fixed-wing aircrafts. During Operation Enduring Freedom, he accumulated over 400 combat flight hours while supporting special military units of the Special Operations community. Mr. Novick actively contributes to board activities, including a gubernatorial appointment by Florida Governor Ron DeSantis to the Department of Business &amp; Professional Regulation. Mr. Novick holds a Bachelor of Arts in Physics from the University of Florida in Gainesville.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Cohen’s biography is incorporated by reference from Item 10 of this Amendment above.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any of the directors or officers identified above and any other person pursuant to which he was selected as a director or officer. None of the directors or officers identified above is, or has been, a participant in any transaction involving the Company, and is not a participant in any proposed transaction with the Company, in each case, required to be disclosed pursuant to Item 404(a) of Regulation S-K, other than as described in the “Certain Relationships and Related Transactions, and Director Independence” section contained 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directors or executive officers.</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directors or executive officers has been involved in any of the following events during the past ten years: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any bankruptcy petition filed by or against any business of which such person was a general partner or executive officer either at the time of the bankruptcy or within two years prior to that time;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any conviction in a criminal proceeding or being subject to a pending criminal proceeding (excluding traffic violations and other minor offences);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being found by a court of competent jurisdiction (in a civil action), the SEC or the Commodity Futures Trading Commission to have violated a federal or state securities or commodities law, and the judgment has not been reversed, suspended, or vacated.</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reviewed the independence of our directors based on the listing standards of the Nasdaq Stock Market (“</w:t>
      </w:r>
      <w:r>
        <w:rPr>
          <w:rFonts w:ascii="Times New Roman;Times;Serif" w:hAnsi="Times New Roman;Times;Serif"/>
          <w:b w:val="false"/>
          <w:i/>
          <w:caps w:val="false"/>
          <w:smallCaps w:val="false"/>
          <w:sz w:val="20"/>
        </w:rPr>
        <w:t>Nasdaq</w:t>
      </w:r>
      <w:r>
        <w:rPr>
          <w:rFonts w:ascii="Times New Roman;Times;Serif" w:hAnsi="Times New Roman;Times;Serif"/>
          <w:b w:val="false"/>
          <w:i w:val="false"/>
          <w:caps w:val="false"/>
          <w:smallCaps w:val="false"/>
          <w:sz w:val="20"/>
        </w:rPr>
        <w:t>”). Based on this review, the Board of Directors determined that Messrs. Bernstein, Savas, Srinivasan and Vice Admiral Szymanski are independent, as defined in Rule 5605(a)(2) of the Nasdaq rules. In making this determination, our Board considered the relationships that each of these non-employee directors has with us and all other facts and circumstances our Board deemed relevant in determining their independence.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Committees of the Board of Directors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has three standing committees which consist of the Audit Committee, Compensation Committee and Nominating and Governance Committee. Our Board has adopted written charters for each of the Audit Committee, Compensation Committee, and Nominating and Governance Committee, copies of which are publicly available on our website at https://ir.wrap.com/ under the “Governance” tab. Our Board may establish other committees from time to time as it deems necessary or appropriate.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assists our Board in fulfilling its legal and fiduciary obligations in matters involving our accounting, auditing, financial reporting, internal control and legal compliance functions by approving the services performed by our independent accountants and reviewing their reports regarding our accounting practices and systems of internal accounting controls. The Audit Committee also oversees the audit efforts of our independent accountants and takes those actions as it deems necessary to satisfy that the accountants are independent of management. The Audit Committee currently consists of Messrs. Bruce Bernstein, Savas and Srinivasan, with Mr. Bernstein serving as the Chair of the Audit Committee. Our Board has determined that Mr. Bernstein is an audit committee financial expert as defined under the applicable rules of the SEC and has the requisite financial sophistication under the applicable rules and regulations of Nasdaq</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determines our general compensation policies and the compensation provided to our directors and officers. The Compensation Committee also reviews and determines bonuses for our officers and other employees. In addition, the Compensation Committee reviews and determines equity-based compensation for our directors, officers, employees and consultants and administers the 2017 Plan. The Compensation Committee currently consists of Messrs. Szymanski, Bernstein and Srinivasan, with Mr. Bernstein serving as Chair of the Compensation Committee.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 Compensation Recovery Policy on November 20, 2023, as an additional safeguard to mitigate compensation risks. The Compensation Recovery Policy is included as Exhibit 97.1 to this Amendment.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Nominating and Governance Committee</w:t>
      </w:r>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Governance Committee is responsible for making recommendations to our Board regarding candidates for directorships and the size and composition of our Board. In addition, the Nominating and Governance Committee is responsible for overseeing our corporate governance guidelines and reporting and making recommendations to the full Board concerning corporate governance matters. The Nominating and Governance Committee currently consists of Messrs. Savas, Srinivasan and Szymanski, with Mr. Savas serving as Chair of the Nominating and Governance Committee.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Business Conduct and Ethics (the “Code”) applicable to all of our employees, including our principal executive officer, principal financial officer and principal accounting officer. Our Code is available to security holders in the “Investors’’ section on our website, https://ir.wrap.com/. We intend to disclose any amendments to, or waivers from, our Code at the same website address provided above.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insider trading policy that prohibits our directors, executive officers and all employees of the Company from the purchasing or selling our securities while being aware of material, non-public information about the Company as well as disclosing such information to others who may trade in securities of the Company. Our insider trading policy also prohibits our directors, executive officers, employees and their respective family members from engaging in hedging activities or other short-term or speculative transactions in the Company’s securities such as short sales, options trading, holding the Company’s securities in a margin account or pledging the Company’s securities as collateral for a loan, without the advance approval of our Chief Financial Officer. A copy of the insider trading policy is included as Exhibit 19.1 to this Amendment. While the Company is not subject to the insider trading policy, the Company does not trade in its securities when it is in possession of material nonpublic information other than pursuant to previously adopted Rule 10b5-1 trading plans, if any.</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Timing and Issuance of Stock Options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does not have a formal policy on the timing of stock option awards in relation to the disclosure of material non-public information; however, it would take into account material non-public information when determining the timing and terms of such an award to avoid an inappropriate impact on the value of the award. The Company has not timed the disclosure of material non-public information for the purpose of affecting the value of executive compensation.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that each of our directors and executive officers, and any other person who owns more than ten percent (10%) of our common stock, file with the SEC initial reports of ownership and reports of changes in ownership of our common stock. To our knowledge, based solely on information furnished to us and written representations by such persons that no such other reports were required to be filed, we believe that all such SEC filing requirements were met in a timely manner during 2024 other than with respect to the following: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8, 2024, a Form 4 for each of Marc Savas and Bruce Bernstein was filed late to report grants of RSUs and stock options on December 22, 2023. Such Form 4s were amended on January 9, 2024.</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8, 2024, a Form 4 for Kevin Sherman was filed late to report the acquisition of shares of common stock on December 22, 2023.</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18, 2024, a Form 4 for each of Rajiv Srinivasan, Timothy Szymanski, Marc Savas, Bruce Bernstein and Scot Cohen was filed late to report grants of RSUs on January 2, 2024.</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18, 2024, a Form 4 for each of Rajiv Srinivasan, Timothy Szymanski, Marc Savas, Bruce Bernstein and Scot Cohen was filed late to report the acquisition of shares of common stock on January 14, 2024.</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18, 2024, a Form 4 for Scot Cohen was filed late to report a grant of stock options on January 14, 2024.</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22, 2024, a Form 4 for Elwood G. Norris was filed late to report the sale of shares of common stock on October 10, 2024, October 11, 2024, October 14, 2024, October 15, 2024, October 16, 2024, and October 17, 2024.</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40" w:name="v_003"/>
      <w:bookmarkEnd w:id="40"/>
      <w:r>
        <w:rPr>
          <w:rFonts w:ascii="Times New Roman;Times;Serif" w:hAnsi="Times New Roman;Times;Serif"/>
          <w:b/>
          <w:i w:val="false"/>
          <w:caps w:val="false"/>
          <w:smallCaps w:val="false"/>
          <w:sz w:val="20"/>
        </w:rPr>
        <w:t>ITEM 11. EXECUTIVE COMPENSATION.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compensation awarded to or earned by the current and former executive officers listed below during the years ended December 31, 2024, and 2023. We have opted to comply with the reduced executive compensation disclosure rules applicable to “smaller reporting companies,” as such term is defined in the rules promulgated under the Securities Act, which require compensation disclosure for only (i) our principal executive officer, (ii) the two most highly compensated executive officers other than our principal executive officer and (iii) if applicable, up to two individuals who would have qualified as our two most highly compensated executive officers other than the principal executive officer but for the fact that the individual was not serving as an executive officer of the Company at the end of the last completed fiscal year. Throughout this document, the officers below are referred to as our “named executive officers” or “NEOs”.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24"/>
        <w:gridCol w:w="60"/>
        <w:gridCol w:w="60"/>
        <w:gridCol w:w="500"/>
        <w:gridCol w:w="60"/>
        <w:gridCol w:w="60"/>
        <w:gridCol w:w="140"/>
        <w:gridCol w:w="800"/>
        <w:gridCol w:w="60"/>
        <w:gridCol w:w="60"/>
        <w:gridCol w:w="140"/>
        <w:gridCol w:w="800"/>
        <w:gridCol w:w="60"/>
        <w:gridCol w:w="60"/>
        <w:gridCol w:w="140"/>
        <w:gridCol w:w="980"/>
        <w:gridCol w:w="60"/>
        <w:gridCol w:w="60"/>
        <w:gridCol w:w="140"/>
        <w:gridCol w:w="980"/>
        <w:gridCol w:w="60"/>
        <w:gridCol w:w="60"/>
        <w:gridCol w:w="196"/>
        <w:gridCol w:w="1128"/>
        <w:gridCol w:w="60"/>
        <w:gridCol w:w="60"/>
        <w:gridCol w:w="140"/>
        <w:gridCol w:w="980"/>
        <w:gridCol w:w="77"/>
      </w:tblGrid>
      <w:tr>
        <w:trPr/>
        <w:tc>
          <w:tcPr>
            <w:tcW w:w="2224"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Salary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Bonus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Option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4"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All Other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b/>
              </w:rPr>
            </w:pPr>
            <w:r>
              <w:rPr>
                <w:b/>
              </w:rPr>
              <w:t>Total</w:t>
            </w:r>
          </w:p>
        </w:tc>
        <w:tc>
          <w:tcPr>
            <w:tcW w:w="77" w:type="dxa"/>
            <w:tcBorders/>
            <w:tcMar>
              <w:bottom w:w="0" w:type="dxa"/>
            </w:tcMar>
            <w:vAlign w:val="center"/>
          </w:tcPr>
          <w:p>
            <w:pPr>
              <w:pStyle w:val="TableContents"/>
              <w:bidi w:val="0"/>
              <w:spacing w:before="0" w:after="283"/>
              <w:jc w:val="left"/>
              <w:rPr/>
            </w:pPr>
            <w:r>
              <w:rPr/>
              <w:t> </w:t>
            </w:r>
          </w:p>
        </w:tc>
      </w:tr>
      <w:tr>
        <w:trPr/>
        <w:tc>
          <w:tcPr>
            <w:tcW w:w="222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4"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r>
      <w:tr>
        <w:trPr/>
        <w:tc>
          <w:tcPr>
            <w:tcW w:w="2224" w:type="dxa"/>
            <w:tcBorders/>
            <w:shd w:fill="CCEEFF" w:val="clear"/>
            <w:tcMar>
              <w:bottom w:w="0" w:type="dxa"/>
            </w:tcMar>
            <w:vAlign w:val="center"/>
          </w:tcPr>
          <w:p>
            <w:pPr>
              <w:pStyle w:val="TableContents"/>
              <w:bidi w:val="0"/>
              <w:spacing w:before="0" w:after="283"/>
              <w:jc w:val="left"/>
              <w:rPr/>
            </w:pPr>
            <w:r>
              <w:rPr/>
              <w:t>Scot Cohen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1,764,753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1,959,493</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22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and Executive Chairman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39,312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675,000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1,801,543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2,515,855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22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224" w:type="dxa"/>
            <w:tcBorders/>
            <w:shd w:fill="CCEEFF" w:val="clear"/>
            <w:tcMar>
              <w:bottom w:w="0" w:type="dxa"/>
            </w:tcMar>
            <w:vAlign w:val="center"/>
          </w:tcPr>
          <w:p>
            <w:pPr>
              <w:pStyle w:val="TableContents"/>
              <w:bidi w:val="0"/>
              <w:spacing w:before="0" w:after="283"/>
              <w:jc w:val="left"/>
              <w:rPr/>
            </w:pPr>
            <w:r>
              <w:rPr/>
              <w:t>Jared Novick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190,909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375,909</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224" w:type="dxa"/>
            <w:tcBorders/>
            <w:shd w:fill="CCEEFF" w:val="clear"/>
            <w:tcMar>
              <w:bottom w:w="0" w:type="dxa"/>
            </w:tcMar>
            <w:vAlign w:val="center"/>
          </w:tcPr>
          <w:p>
            <w:pPr>
              <w:pStyle w:val="TableContents"/>
              <w:bidi w:val="0"/>
              <w:spacing w:before="0" w:after="283"/>
              <w:jc w:val="left"/>
              <w:rPr>
                <w:i/>
              </w:rPr>
            </w:pPr>
            <w:r>
              <w:rPr>
                <w:i/>
              </w:rPr>
              <w:t>President and Chief Operating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443,622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443,622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22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224" w:type="dxa"/>
            <w:tcBorders/>
            <w:shd w:fill="CCEEFF" w:val="clear"/>
            <w:tcMar>
              <w:bottom w:w="0" w:type="dxa"/>
            </w:tcMar>
            <w:vAlign w:val="center"/>
          </w:tcPr>
          <w:p>
            <w:pPr>
              <w:pStyle w:val="TableContents"/>
              <w:bidi w:val="0"/>
              <w:spacing w:before="0" w:after="283"/>
              <w:jc w:val="left"/>
              <w:rPr/>
            </w:pPr>
            <w:r>
              <w:rPr/>
              <w:t>Kevin Mullins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137,500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137,500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224" w:type="dxa"/>
            <w:tcBorders/>
            <w:shd w:fill="CCEEFF" w:val="clear"/>
            <w:tcMar>
              <w:bottom w:w="0" w:type="dxa"/>
            </w:tcMar>
            <w:vAlign w:val="center"/>
          </w:tcPr>
          <w:p>
            <w:pPr>
              <w:pStyle w:val="TableContents"/>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Former President, Former Chief Executive Officer </w:t>
            </w:r>
          </w:p>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and Former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450,000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22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224" w:type="dxa"/>
            <w:tcBorders/>
            <w:shd w:fill="CCEEFF" w:val="clear"/>
            <w:tcMar>
              <w:bottom w:w="0" w:type="dxa"/>
            </w:tcMar>
            <w:vAlign w:val="center"/>
          </w:tcPr>
          <w:p>
            <w:pPr>
              <w:pStyle w:val="TableContents"/>
              <w:bidi w:val="0"/>
              <w:spacing w:before="0" w:after="283"/>
              <w:jc w:val="left"/>
              <w:rPr/>
            </w:pPr>
            <w:r>
              <w:rPr/>
              <w:t>Chris DeAlmeida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16,666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w:t>
            </w:r>
          </w:p>
        </w:tc>
        <w:tc>
          <w:tcPr>
            <w:tcW w:w="1128" w:type="dxa"/>
            <w:tcBorders/>
            <w:shd w:fill="CCEEFF" w:val="clear"/>
            <w:tcMar>
              <w:bottom w:w="0" w:type="dxa"/>
            </w:tcMar>
            <w:vAlign w:val="center"/>
          </w:tcPr>
          <w:p>
            <w:pPr>
              <w:pStyle w:val="TableContents"/>
              <w:bidi w:val="0"/>
              <w:spacing w:before="0" w:after="283"/>
              <w:jc w:val="right"/>
              <w:rPr/>
            </w:pPr>
            <w:r>
              <w:rPr/>
              <w:t>137,500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154,166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224" w:type="dxa"/>
            <w:tcBorders/>
            <w:shd w:fill="CCEEFF" w:val="clear"/>
            <w:tcMar>
              <w:bottom w:w="0" w:type="dxa"/>
            </w:tcMar>
            <w:vAlign w:val="center"/>
          </w:tcPr>
          <w:p>
            <w:pPr>
              <w:pStyle w:val="TableContents"/>
              <w:bidi w:val="0"/>
              <w:spacing w:before="0" w:after="283"/>
              <w:jc w:val="left"/>
              <w:rPr>
                <w:i/>
              </w:rPr>
            </w:pPr>
            <w:r>
              <w:rPr>
                <w:i/>
              </w:rPr>
              <w:t>Former Chief Financial Officer, Former Treasurer and Former Secretary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28,646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28,646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332,292</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in this column do not reflect the amounts actually received by our named executive officers. Instead, these amounts reflect the aggregate grant date fair value of restricted stock units (“RSUs”) granted to the named executive officers during each fiscal year, as computed in accordance with the Financial Accounting Standards Board Accounting Standards Codification 718 (“ASC 718”). Assumptions used in the calculation of these amounts are included in the notes to our financial statements included in this Annual Report. As required by SEC rules, the amounts shown exclude the impact of estimated forfeitures related to service-based vesting conditions. Specifically, the number in the table above includes: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Mr. Cohen, RSUs granted in January 2024 for continued services as a member of the Board ($5,261 of the $1,764,753 relating to such continued services as a member of the Board) and as Chief Executive Officer and RSUs granted in October 2023, as part of an inducement grant in connection with being named Chief Executive Officer;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Mr. Mullins, RSUs granted in April 2023 in connection with his annual bonus;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Mr. DeAlmeida, RSUs granted in April 2023 in connection with his annual bonus.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in this column do not reflect the amounts actually received by our named executive officers. Instead, these amounts reflect the aggregate grant date fair value of each stock option granted to the named executive officers during each fiscal year, as computed in accordance with ASC 718. Assumptions used in the calculation of these amounts are included in the notes to our financial statements included in our Annual Report. As required by SEC rules, the amounts shown exclude the impact of estimated forfeitures related to service-based vesting conditions. Our named executive officers will only realize compensation to the extent the trading price of our common stock is greater than the exercise price of such stock options. Specifically, the number in the table above includes: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Mr. Cohen, options granted in October 2023 as part of an inducement grant in connection with being named Executive Chairman;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Mr. Novick options granted in December 2023 as part of an inducement grant in connection with being named Chief Operating Officer.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in this column represent other compensation paid to named executive officers.</w:t>
            </w:r>
          </w:p>
        </w:tc>
      </w:tr>
      <w:tr>
        <w:trPr/>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Mullins served as the Company’s President from April 18, 2022, to May 7, 2024, as the Company’s Chief Executive Officer from April 14, 2023, to January 14, 2024, and as a member of the Board from April 21, 2023, to May 28, 2024.</w:t>
            </w:r>
          </w:p>
        </w:tc>
      </w:tr>
      <w:tr>
        <w:trPr/>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DeAlmeida served as the Company’s Chief Financial Officer and Treasurer from July 25, 2022, to January 5, 2024, and served as Secretary from April 21, 2023, to January 5, 2024.</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Scot Cohen</w:t>
      </w:r>
      <w:r>
        <w:rPr>
          <w:rFonts w:ascii="Times New Roman;Times;Serif" w:hAnsi="Times New Roman;Times;Serif"/>
          <w:b w:val="false"/>
          <w:i w:val="false"/>
          <w:caps w:val="false"/>
          <w:smallCaps w:val="false"/>
          <w:sz w:val="20"/>
        </w:rPr>
        <w:t>. On October 12, 2023, the Board of Directors appointed Scot Cohen to the position of Executive Chairman, effective October 12, 2023.</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Cohen’s appointment as Executive Chairman, the Company and Mr. Cohen entered into an agreement on October 12, 2023 (the “Cohen Employment Agreement”). Pursuant to the Agreement, unless earlier terminated pursuant to the terms therein, Mr. Cohen will serve as the Company’s Executive Chairman for an initial term of two years from the effective date of his appointment (the “Initial Term”). On the second anniversary of such effective date of appointment (if Mr. Cohen’s employment has not been earlier terminated), and on each subsequent anniversary thereafter, the Cohen Employment Agreement will automatically renew and extend for a period of twelve (12) months (each such twelve (12)-month period, a “Renewal Term”) unless written notice of non-renewal is delivered by either party to the other not less than sixty (60) days prior to the expiration of the then-existing Initial Term or Renewal Term, as applicable, or the Cohen Employment Agreement has been earlier terminated in accordance with its terms. As compensation for Mr. Cohen’s services to the Company, the Cohen Employment Agreement entitles Mr. Cohen to an annualized base salary of $200,000 (the “Base Salary”) and eligibility to participate in customary benefits offered to other executives of the Company. In the event Mr. Cohen’s employment is terminated by either party for any reason, Mr. Cohen will be entitled to: (i) any earned but unpaid Base Salary earned during his employment and applicable to all pay periods prior to the termination date; (ii) any documented and actually incurred unreimbursed business expenses, so long as Mr. Cohen makes any reimbursement request within 30 days following termination; and (iii) any employee benefits to which Mr. Cohen may be entitled under the Company’s employee benefit plans or programs in which Mr. Cohen participates as of the date of termination of Mr. Cohen’s employment. If Mr. Cohen’s employment is terminated by the Company without Cause (as defined in the Cohen Employment Agreement), or by Mr. Cohen for Good Reason (as defined in the Cohen Employment Agreement), or upon the end of the Initial Term or a Renewal Term, as applicable, as the result of the Company’s issuance of a notice of non-renewal, then, subject to certain conditions set forth in the Cohen Employment Agreement (including the execution and non-revocation of a general release of claims), Mr. Cohen will be entitled to: (i) severance payments in a total amount equal to 12 months’ worth of the Base Salary; (ii) any earned but unpaid annual bonus in respect of any completed year that has ended prior to the date of termination; and (iii) receive reimbursement, for a period of up to 12 months, for a portion of the premiums that Mr. Cohen elects to pay for continuation coverage under the Company’s group health plans pursuant to the Consolidated Omnibus Budget Reconciliation Act of 1985, subject to Mr. Cohen’s timely submission of applicable documentation.</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2023, the Board of Directors appointed Mr. Cohen to the position of Principal Executive Officer. On January 14, 2024, the Board of Directors appointed Mr. Cohen, who previously served as the Company’s Executive Chairman and Principal Executive Officer, to the position of Executive Chairman and Chief Executive Officer. In connection therewith, the Company and Mr. Cohen entered into an amendment, dated January 14, 2024, to the Cohen Employment Agreement, dated October 12, 2023, to, among other things, reflect Mr. Cohen’s new title. On April 5, 2024, the Board of Directors appointed Scot Mr. Cohen, who serves as the Company’s Executive Chairman and Chief Executive Officer, and as its Principal Executive Officer, to the position of Interim Principal Financial Officer and Principal Accounting Officer.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Jared Novick</w:t>
      </w:r>
      <w:r>
        <w:rPr>
          <w:rFonts w:ascii="Times New Roman;Times;Serif" w:hAnsi="Times New Roman;Times;Serif"/>
          <w:b w:val="false"/>
          <w:i w:val="false"/>
          <w:caps w:val="false"/>
          <w:smallCaps w:val="false"/>
          <w:sz w:val="20"/>
        </w:rPr>
        <w:t>. On December 26, 2023, the Board of appointed Jared Novick to the position of Chief Operating Officer. In connection with Mr. Novick’s appointment, on December 26, 2023 (the “Novick Effective Date”), the Company entered into an employment agreement (the “Novick Employment Agreement”) with Mr. Novick setting forth the terms and conditions of Mr. Novick’s employment as the Company’s Chief Operating Officer. Pursuant to the Novick Employment Agreement, Mr. Novick will serve as the Chief Operating Officer of the Company for a two-year initial term commencing on the Effective Date, which term automatically renews each year for successive one-year terms, unless earlier terminated by either party in accordance with the terms of the Novick Employment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Novick Employment Agreement provides that Mr. Novick will be entitled to receive an annual base salary of two hundred thousand dollars ($200,000) (“Base Salary”), payable in equal installments pursuant to the Company’s customary payroll practices. Mr. Novick is entitled to a one-time sign-on bonus of $75,000, payable in two equal installments as follows, subject to Mr. Novick’s continued service on such dates: (i) 50% on the first payroll date following the Novick Effective Date, and (ii) 50% on the first payroll date following the six-month anniversary of the Novick Effective Date. Mr. Novick is also eligible to receive for each fiscal year during the term of his employment, an annual discretionary bonus, with the actual amount determined by the Board in its sole discretion (“Annual Bonus”), payable prior to March 15 of the fiscal year following the fiscal year to which the bonus relates. The Novick Employment Agreement also entitles Mr. Novick to receive customary benefits and reimbursement for reasonable out-of-pocket business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Mr. Novick’s employment due to death or disability, for cause (as defined in the Novick Employment Agreement) at any time, and without cause at any time upon written notice. Mr. Novick may terminate his employment without good reason (as defined in the Novick Employment Agreement) at any time upon thirty days’ written notice or with good reason, which requires delivery of a written notice to the Board of Directors of the existence of condition(s) giving rise to the good reason within forty-five days after the initial occurrence of such condition(s), and failure of the Company to cure such condition(s) within thirty days following the Board of Director’s receipt of such notice.</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Novick’s employment is terminated by either the Company or Mr. Novick for any reason, Mr. Novick shall receive any earned but unpaid Base Salary and expenses required to be reimbursed pursuant to the Novick Employment Agreement and any employee benefits Mr. Novick is entitled to under the Company’s employee benefit plans or programs in which Mr. Novick participates. In addition, if Mr. Novick’s employment is terminated by the Company without cause (as defined in the Novick Employment Agreement) or upon non-renewal or by Mr. Novick for good reason (as defined in the Novick Employment Agreement), then, subject to compliance with the restrictive covenants set forth in the Novick Employment Agreement and the execution of a release of claims in favor of the Company, the Company will pay the following severance payments and benefits: (i) an amount equal to twelve months’ Base Salary, payable in equal monthly installments over a twelve-month severance period; (ii) an amount equal to any earned, but unpaid, Annual Bonus for services rendered during the year preceding the date of termination; and (iii) an amount intended to assist Mr. Novick with his post-termination health coverage, provided however, he is under no obligation to use such amounts to pay for continuation of coverage under the Company’s group health plan pursuant to COBRA.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2025, the Board appointed Mr. Novick to the position of President and Chief Operating Officer. Mr. Novick will not be provided any additional compensation for his service as President and Chief Operating Officer. The terms of the Novick Employment Agreement have not changed in connection with Mr. Novick’s appointment as President and Chief Operating Officer of the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Kevin Mullins</w:t>
      </w:r>
      <w:r>
        <w:rPr>
          <w:rFonts w:ascii="Times New Roman;Times;Serif" w:hAnsi="Times New Roman;Times;Serif"/>
          <w:b w:val="false"/>
          <w:i w:val="false"/>
          <w:caps w:val="false"/>
          <w:smallCaps w:val="false"/>
          <w:sz w:val="20"/>
        </w:rPr>
        <w:t>. On April 13, 2022, the Company entered into an employment agreement with Mr. Mullins (as amended, the “</w:t>
      </w:r>
      <w:r>
        <w:rPr>
          <w:rFonts w:ascii="Times New Roman;Times;Serif" w:hAnsi="Times New Roman;Times;Serif"/>
          <w:b w:val="false"/>
          <w:i/>
          <w:caps w:val="false"/>
          <w:smallCaps w:val="false"/>
          <w:sz w:val="20"/>
        </w:rPr>
        <w:t>Mullins Employment Agreement</w:t>
      </w:r>
      <w:r>
        <w:rPr>
          <w:rFonts w:ascii="Times New Roman;Times;Serif" w:hAnsi="Times New Roman;Times;Serif"/>
          <w:b w:val="false"/>
          <w:i w:val="false"/>
          <w:caps w:val="false"/>
          <w:smallCaps w:val="false"/>
          <w:sz w:val="20"/>
        </w:rPr>
        <w:t>”) for Mr. Mullins to serve as the Company’s President, effective April 18, 2022. Mr. Mullins was appointed as Chief Executive Officer on April 14, 2023, and was appointed as a member of the Company’s Board of Directors on April 21, 2023. On January 14, 2024, the Board appointed Kevin Mullins, who previously served as the Company’s Chief Executive Officer, to the position of President. In connection therewith, the Company and Mr. Mullins entered into an amendment, dated January 14, 2024, to the Mullins Employment Agreement, dated April 13, 2022 (the “Mullins Amendment”) to, among other things, reflect Mr. Mullin’s new title. On May 7, 2024, Mr. Mullins resigned from his position as President of the Company, effective May 23, 2024. On May 28, 2024, Mr. Mullins resigned from his role as director of the Company, effective May 28, 2024.</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Mullins Employment Agreement, unless earlier terminated pursuant to the terms therein, Mr. Mullins will serve as the Company’s President for a term of two years from the effective date of his appointment. On the second anniversary of such effective date of appointment (if Mr. Mullins’s employment has not been earlier terminated or a written notice of non-renewal has not been provided in the time provided to do so), and on each subsequent anniversary thereafter, the Mullins Employment Agreement will automatically renew and extend for a period of 12 months, unless otherwise terminated in accordance with its terms. As compensation for Mr. Mullins’s services to the Company, the Mullins Employment Agreement entitled Mr. Mullins to the following cash payments: (i) an annualized base salary of $300,000 (the “</w:t>
      </w:r>
      <w:r>
        <w:rPr>
          <w:rFonts w:ascii="Times New Roman;Times;Serif" w:hAnsi="Times New Roman;Times;Serif"/>
          <w:b w:val="false"/>
          <w:i/>
          <w:caps w:val="false"/>
          <w:smallCaps w:val="false"/>
          <w:sz w:val="20"/>
        </w:rPr>
        <w:t>Mullins Base Salary</w:t>
      </w:r>
      <w:r>
        <w:rPr>
          <w:rFonts w:ascii="Times New Roman;Times;Serif" w:hAnsi="Times New Roman;Times;Serif"/>
          <w:b w:val="false"/>
          <w:i w:val="false"/>
          <w:caps w:val="false"/>
          <w:smallCaps w:val="false"/>
          <w:sz w:val="20"/>
        </w:rPr>
        <w:t>”) and (ii) eligibility for a discretionary cash bonus, with a target amount initial set at 75% of the Mullins Base Salary, but with the final amount to be determined at the sole discretion of the Board.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Mullins Employment Agreement, in the event Mr. Mullins’ employment is terminated by either party for any reason, Mr. Mullins is entitled to: (i) any earned but unpaid Base Salary earned during his employment with the Company and applicable to all pay periods prior to the termination date; (ii) any unreimbursed business expenses properly incurred, so long as Mr. Mullins makes any reimbursement request within 30 days following termination; and (iii) any employee benefits to which Mr. Mullins may be entitled under the Company’s employee benefit plans or programs which Mr. Mullins participates as of the date of termination of Mr. Mullins’ employment.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Chris DeAlmeida</w:t>
      </w:r>
      <w:r>
        <w:rPr>
          <w:rFonts w:ascii="Times New Roman;Times;Serif" w:hAnsi="Times New Roman;Times;Serif"/>
          <w:b w:val="false"/>
          <w:i w:val="false"/>
          <w:caps w:val="false"/>
          <w:smallCaps w:val="false"/>
          <w:sz w:val="20"/>
        </w:rPr>
        <w:t>. On July 25, 2022, the Board of Directors appointed Chris DeAlmeida as Chief Financial Officer of the Company. On January 5, 2024, Mr. DeAlmeida’s employment as Chief Financial Officer of the Company was terminated without cause pursuant to a Separation Agreement and Mutual Release of Claims (the “DeAlmeida Separation Agreement”). Pursuant to the DeAlmeida Separation Agreement, Mr. DeAlmeida is entitled to receive severance payments in a total amount equal to $137,500, representing six months of Mr. DeAlmeida’s base salary as in effect immediately prior to the Termination Date, payable in substantially equal installments over a six-month period in accordance with the Company’s payroll schedule, beginning after any applicable revocation period has expired without exercise.</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2024 Fiscal Year-End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outstanding equity awards held by each of our named executive officers as of December 31, 2024.</w:t>
      </w:r>
    </w:p>
    <w:p>
      <w:pPr>
        <w:pStyle w:val="TextBody"/>
        <w:bidi w:val="0"/>
        <w:jc w:val="left"/>
        <w:rPr>
          <w:caps w:val="false"/>
          <w:smallCaps w:val="false"/>
        </w:rPr>
      </w:pPr>
      <w:r>
        <w:rPr>
          <w:caps w:val="false"/>
          <w:smallCaps w:val="false"/>
        </w:rPr>
        <w:t> </w:t>
      </w:r>
    </w:p>
    <w:tbl>
      <w:tblPr>
        <w:tblW w:w="10480" w:type="dxa"/>
        <w:jc w:val="left"/>
        <w:tblInd w:w="0" w:type="dxa"/>
        <w:tblLayout w:type="fixed"/>
        <w:tblCellMar>
          <w:top w:w="0" w:type="dxa"/>
          <w:left w:w="0" w:type="dxa"/>
          <w:bottom w:w="28" w:type="dxa"/>
          <w:right w:w="0" w:type="dxa"/>
        </w:tblCellMar>
      </w:tblPr>
      <w:tblGrid>
        <w:gridCol w:w="950"/>
        <w:gridCol w:w="60"/>
        <w:gridCol w:w="60"/>
        <w:gridCol w:w="470"/>
        <w:gridCol w:w="60"/>
        <w:gridCol w:w="60"/>
        <w:gridCol w:w="102"/>
        <w:gridCol w:w="1193"/>
        <w:gridCol w:w="60"/>
        <w:gridCol w:w="60"/>
        <w:gridCol w:w="118"/>
        <w:gridCol w:w="1372"/>
        <w:gridCol w:w="60"/>
        <w:gridCol w:w="60"/>
        <w:gridCol w:w="186"/>
        <w:gridCol w:w="569"/>
        <w:gridCol w:w="60"/>
        <w:gridCol w:w="60"/>
        <w:gridCol w:w="60"/>
        <w:gridCol w:w="890"/>
        <w:gridCol w:w="60"/>
        <w:gridCol w:w="60"/>
        <w:gridCol w:w="60"/>
        <w:gridCol w:w="695"/>
        <w:gridCol w:w="60"/>
        <w:gridCol w:w="60"/>
        <w:gridCol w:w="125"/>
        <w:gridCol w:w="845"/>
        <w:gridCol w:w="60"/>
        <w:gridCol w:w="60"/>
        <w:gridCol w:w="362"/>
        <w:gridCol w:w="483"/>
        <w:gridCol w:w="60"/>
        <w:gridCol w:w="60"/>
        <w:gridCol w:w="362"/>
        <w:gridCol w:w="483"/>
        <w:gridCol w:w="75"/>
      </w:tblGrid>
      <w:tr>
        <w:trPr/>
        <w:tc>
          <w:tcPr>
            <w:tcW w:w="6570" w:type="dxa"/>
            <w:gridSpan w:val="21"/>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75" w:type="dxa"/>
            <w:gridSpan w:val="14"/>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Number of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Securities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Underlying Unexercised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Options (#) Exercisable</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9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Underlying Unexercised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 Unexercisable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Option Exercise Price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gridSpan w:val="2"/>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Option Expiration Date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of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 That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Have Not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Value of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of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Have Not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Equity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Incentive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Plan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Awards: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Unearned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Units or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Rights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That Have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Equity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Incentive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Plan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Awards: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Market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Payout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Unearned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Units or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Rights That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Have Not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Vested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5"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ind w:left="0" w:right="0" w:hanging="0"/>
              <w:jc w:val="left"/>
              <w:rPr/>
            </w:pPr>
            <w:r>
              <w:rPr/>
              <w:t> </w:t>
            </w:r>
          </w:p>
        </w:tc>
      </w:tr>
      <w:tr>
        <w:trPr/>
        <w:tc>
          <w:tcPr>
            <w:tcW w:w="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1/02/2024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632,911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1,341,771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9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120,535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361,608 (2)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10/12/2033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9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430,055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860,111 (3)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10/12/2033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361,608 (4)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766,609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9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4/1/2021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 (5)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4/1/2031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9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5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2"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2"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Jared Novick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166,650 (6)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12/26/2033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9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5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2"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2"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Mullins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9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56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2"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2" w:type="dxa"/>
            <w:tcBorders/>
            <w:shd w:fill="FFFFFF" w:val="clear"/>
            <w:tcMar>
              <w:bottom w:w="0" w:type="dxa"/>
            </w:tcMar>
            <w:vAlign w:val="center"/>
          </w:tcPr>
          <w:p>
            <w:pPr>
              <w:pStyle w:val="TableContents"/>
              <w:bidi w:val="0"/>
              <w:spacing w:before="0" w:after="283"/>
              <w:jc w:val="left"/>
              <w:rPr/>
            </w:pPr>
            <w:r>
              <w:rPr/>
              <w:t> </w:t>
            </w:r>
          </w:p>
        </w:tc>
        <w:tc>
          <w:tcPr>
            <w:tcW w:w="48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DeAlmeida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31"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9" w:type="dxa"/>
            <w:tcBorders/>
            <w:vAlign w:val="center"/>
          </w:tcPr>
          <w:p>
            <w:pPr>
              <w:pStyle w:val="TableContents"/>
              <w:bidi w:val="0"/>
              <w:spacing w:before="0" w:after="283"/>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market value is computed based on the closing market price of our common stock on December 31, 2024, of $2.12 per share.</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31"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99"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131"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9" w:type="dxa"/>
            <w:tcBorders/>
            <w:vAlign w:val="center"/>
          </w:tcPr>
          <w:p>
            <w:pPr>
              <w:pStyle w:val="TableContents"/>
              <w:bidi w:val="0"/>
              <w:spacing w:before="0" w:after="283"/>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Mr. Cohen was awarded stock options which vest in four substantially equal installments at the end of each of the Company’s fiscal years beginning on December 31, 2024, and ending on December 31, 2027, provided Mr. Cohen is employed by or providing services to the Company or an affiliate on the applicable vesting date.</w:t>
            </w:r>
          </w:p>
        </w:tc>
      </w:tr>
      <w:tr>
        <w:trPr/>
        <w:tc>
          <w:tcPr>
            <w:tcW w:w="7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131"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99"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131"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9"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Mr. Cohen nonqualified stock options issued in connection with Mr. Cohen’s appointment as Executive Chairman. The stock options will vest, subject to Mr. Cohen’s continued employment with the Company through each vesting date, as follows: (i) 1/3rd on the date on which the Company’s market capitalization meets or exceeds $100 million for each trading day during 2 consecutive months; (ii) 1/3rd on the date on which the Company’s market capitalization meets or exceeds $150 million for each trading day during 2 consecutive months; and (ii) 1/3rd on the date on which the Company’s market capitalization meets or exceeds $200 million for each trading day during 2 consecutive months, subject to accelerated vesting upon the occurrence of certain events.</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131"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9" w:type="dxa"/>
            <w:tcBorders/>
            <w:vAlign w:val="center"/>
          </w:tcPr>
          <w:p>
            <w:pPr>
              <w:pStyle w:val="TableContents"/>
              <w:bidi w:val="0"/>
              <w:spacing w:before="0" w:after="283"/>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Mr. Cohen was granted restricted shares of common stock of the Company issued in connection with Mr. Cohen’s appointment as Executive Chairman. The restricted shares will be issued upon vesting and shall vest, subject to Mr. Cohen’s continued employment, (i) 1/3rd on the date on which the Company’s market capitalization meets or exceeds $100 million for each trading day during 2 consecutive months; (ii) 1/3rd on the date on which the Company’s market capitalization meets or exceeds $150 million for each trading day during 2 consecutive months; and (iii) 1/3rd on the date on which the Company’s market capitalization meets or exceeds $200 million for each trading day during 2 consecutive months.</w:t>
            </w:r>
          </w:p>
        </w:tc>
      </w:tr>
      <w:tr>
        <w:trPr/>
        <w:tc>
          <w:tcPr>
            <w:tcW w:w="7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131"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99"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131"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9" w:type="dxa"/>
            <w:tcBorders/>
            <w:vAlign w:val="center"/>
          </w:tcPr>
          <w:p>
            <w:pPr>
              <w:pStyle w:val="TableContents"/>
              <w:bidi w:val="0"/>
              <w:spacing w:before="0" w:after="283"/>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Mr. Cohen was awarded stock options in connection with his previous position with the Company.</w:t>
            </w:r>
          </w:p>
        </w:tc>
      </w:tr>
      <w:tr>
        <w:trPr/>
        <w:tc>
          <w:tcPr>
            <w:tcW w:w="7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131"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9999"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131"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9"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Mr. Novick was granted stock options in connection with the Novick Employment Agreement. The stock options vest in three substantially equal installments at the end of each of the Company’s first through third fiscal years beginning on December 31, 2024, and ending on December 31, 2026, provided that Mr. Novick is employed by or providing services to the Company through the applicable vesting date.</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Program</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compensation awarded to, earned by, or paid to each person who served as a director during the fiscal year ended December 31, 2024.</w:t>
      </w:r>
    </w:p>
    <w:p>
      <w:pPr>
        <w:pStyle w:val="TextBody"/>
        <w:bidi w:val="0"/>
        <w:jc w:val="left"/>
        <w:rPr>
          <w:caps w:val="false"/>
          <w:smallCaps w:val="false"/>
        </w:rPr>
      </w:pPr>
      <w:r>
        <w:rPr>
          <w:caps w:val="false"/>
          <w:smallCaps w:val="false"/>
        </w:rPr>
        <w:t> </w:t>
      </w:r>
    </w:p>
    <w:tbl>
      <w:tblPr>
        <w:tblW w:w="6188" w:type="dxa"/>
        <w:jc w:val="left"/>
        <w:tblInd w:w="0" w:type="dxa"/>
        <w:tblLayout w:type="fixed"/>
        <w:tblCellMar>
          <w:top w:w="0" w:type="dxa"/>
          <w:left w:w="0" w:type="dxa"/>
          <w:bottom w:w="0" w:type="dxa"/>
          <w:right w:w="0" w:type="dxa"/>
        </w:tblCellMar>
      </w:tblPr>
      <w:tblGrid>
        <w:gridCol w:w="1940"/>
        <w:gridCol w:w="60"/>
        <w:gridCol w:w="716"/>
        <w:gridCol w:w="488"/>
        <w:gridCol w:w="60"/>
        <w:gridCol w:w="60"/>
        <w:gridCol w:w="141"/>
        <w:gridCol w:w="689"/>
        <w:gridCol w:w="60"/>
        <w:gridCol w:w="60"/>
        <w:gridCol w:w="493"/>
        <w:gridCol w:w="337"/>
        <w:gridCol w:w="60"/>
        <w:gridCol w:w="60"/>
        <w:gridCol w:w="151"/>
        <w:gridCol w:w="738"/>
        <w:gridCol w:w="75"/>
      </w:tblGrid>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Fees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Earned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or 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940" w:type="dxa"/>
            <w:tcBorders>
              <w:bottom w:val="single" w:sz="8" w:space="0" w:color="000000"/>
            </w:tcBorders>
            <w:tcMar>
              <w:bottom w:w="28" w:type="dxa"/>
            </w:tcMar>
            <w:vAlign w:val="center"/>
          </w:tcPr>
          <w:p>
            <w:pPr>
              <w:pStyle w:val="TableContents"/>
              <w:bidi w:val="0"/>
              <w:spacing w:before="0" w:after="283"/>
              <w:jc w:val="center"/>
              <w:rPr>
                <w:b/>
              </w:rPr>
            </w:pPr>
            <w:r>
              <w:rPr>
                <w:b/>
              </w:rPr>
              <w:t>Name (1)</w:t>
            </w:r>
          </w:p>
        </w:tc>
        <w:tc>
          <w:tcPr>
            <w:tcW w:w="6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 ($)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Bruce Bernstein</w:t>
            </w:r>
          </w:p>
        </w:tc>
        <w:tc>
          <w:tcPr>
            <w:tcW w:w="60"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w:t>
            </w:r>
          </w:p>
        </w:tc>
        <w:tc>
          <w:tcPr>
            <w:tcW w:w="4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689" w:type="dxa"/>
            <w:tcBorders/>
            <w:shd w:fill="CCEEFF" w:val="clear"/>
            <w:vAlign w:val="center"/>
          </w:tcPr>
          <w:p>
            <w:pPr>
              <w:pStyle w:val="TableContents"/>
              <w:bidi w:val="0"/>
              <w:spacing w:before="0" w:after="283"/>
              <w:jc w:val="right"/>
              <w:rPr/>
            </w:pPr>
            <w:r>
              <w:rPr/>
              <w:t>95,633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w:t>
            </w:r>
          </w:p>
        </w:tc>
        <w:tc>
          <w:tcPr>
            <w:tcW w:w="3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95,633</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Marc Savas</w:t>
            </w:r>
          </w:p>
        </w:tc>
        <w:tc>
          <w:tcPr>
            <w:tcW w:w="60"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w:t>
            </w:r>
          </w:p>
        </w:tc>
        <w:tc>
          <w:tcPr>
            <w:tcW w:w="4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689" w:type="dxa"/>
            <w:tcBorders/>
            <w:shd w:fill="FFFFFF" w:val="clear"/>
            <w:vAlign w:val="center"/>
          </w:tcPr>
          <w:p>
            <w:pPr>
              <w:pStyle w:val="TableContents"/>
              <w:bidi w:val="0"/>
              <w:spacing w:before="0" w:after="283"/>
              <w:jc w:val="right"/>
              <w:rPr/>
            </w:pPr>
            <w:r>
              <w:rPr/>
              <w:t>95,633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w:t>
            </w:r>
          </w:p>
        </w:tc>
        <w:tc>
          <w:tcPr>
            <w:tcW w:w="3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738" w:type="dxa"/>
            <w:tcBorders/>
            <w:shd w:fill="FFFFFF" w:val="clear"/>
            <w:vAlign w:val="center"/>
          </w:tcPr>
          <w:p>
            <w:pPr>
              <w:pStyle w:val="TableContents"/>
              <w:bidi w:val="0"/>
              <w:spacing w:before="0" w:after="283"/>
              <w:jc w:val="right"/>
              <w:rPr/>
            </w:pPr>
            <w:r>
              <w:rPr/>
              <w:t>95,633</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Rajiv Srinivasan</w:t>
            </w:r>
          </w:p>
        </w:tc>
        <w:tc>
          <w:tcPr>
            <w:tcW w:w="60"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w:t>
            </w:r>
          </w:p>
        </w:tc>
        <w:tc>
          <w:tcPr>
            <w:tcW w:w="4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689" w:type="dxa"/>
            <w:tcBorders/>
            <w:shd w:fill="CCEEFF" w:val="clear"/>
            <w:vAlign w:val="center"/>
          </w:tcPr>
          <w:p>
            <w:pPr>
              <w:pStyle w:val="TableContents"/>
              <w:bidi w:val="0"/>
              <w:spacing w:before="0" w:after="283"/>
              <w:jc w:val="right"/>
              <w:rPr/>
            </w:pPr>
            <w:r>
              <w:rPr/>
              <w:t>76,370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w:t>
            </w:r>
          </w:p>
        </w:tc>
        <w:tc>
          <w:tcPr>
            <w:tcW w:w="3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76,370</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Timothy Szymanski</w:t>
            </w:r>
          </w:p>
        </w:tc>
        <w:tc>
          <w:tcPr>
            <w:tcW w:w="60"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w:t>
            </w:r>
          </w:p>
        </w:tc>
        <w:tc>
          <w:tcPr>
            <w:tcW w:w="4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689" w:type="dxa"/>
            <w:tcBorders/>
            <w:shd w:fill="FFFFFF" w:val="clear"/>
            <w:vAlign w:val="center"/>
          </w:tcPr>
          <w:p>
            <w:pPr>
              <w:pStyle w:val="TableContents"/>
              <w:bidi w:val="0"/>
              <w:spacing w:before="0" w:after="283"/>
              <w:jc w:val="right"/>
              <w:rPr/>
            </w:pPr>
            <w:r>
              <w:rPr/>
              <w:t>76,370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w:t>
            </w:r>
          </w:p>
        </w:tc>
        <w:tc>
          <w:tcPr>
            <w:tcW w:w="3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738" w:type="dxa"/>
            <w:tcBorders/>
            <w:shd w:fill="FFFFFF" w:val="clear"/>
            <w:vAlign w:val="center"/>
          </w:tcPr>
          <w:p>
            <w:pPr>
              <w:pStyle w:val="TableContents"/>
              <w:bidi w:val="0"/>
              <w:spacing w:before="0" w:after="283"/>
              <w:jc w:val="right"/>
              <w:rPr/>
            </w:pPr>
            <w:r>
              <w:rPr/>
              <w:t>76,370</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earned or paid to Mr. Cohen in connection with his services as a member of the Board are included in “</w:t>
            </w:r>
            <w:r>
              <w:rPr>
                <w:rFonts w:ascii="Times New Roman;Times;Serif" w:hAnsi="Times New Roman;Times;Serif"/>
                <w:b w:val="false"/>
                <w:i/>
                <w:caps w:val="false"/>
                <w:smallCaps w:val="false"/>
                <w:sz w:val="20"/>
              </w:rPr>
              <w:t>Item 11. Executive Compensation – Summary Compensation Table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Bernstein and Mr. Savas each received 43,874 shares of common stock for their respective services to the Board. Mr. Srinivasan and Mr. Szymanski each received 36,875 shares of common stock for their respective services to the Board. The number of shares was calculated based on the amount due to such Board members at each vesting date, divided by the closing price of the stock on the applicable grant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the aggregate number of shares of common stock underlying outstanding options held by our directors were as follows: Mr. Bernstein: 130,000 shares; Mr. Savas: 130,000 shares; Mr. Srinivasan: 30,000 shares; and Mr. Szymanski: 30,000 shares.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Director Compensation Information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2021, the Board approved a new director compensation plan payable to all non-employee independent directors (“Amended Board Plan”). As revised, under the terms of the Amended Board Plan, non-employee independent directors received $121,000 annually effective January 1, 2021, payable one-half in cash and one half in restricted stock units to be settled in shares of the Company’s common stock, with 30% vesting immediately, and the remaining 70% vesting in monthly installments throughout the remainder of the year following the date of grant. In addition, each independent director that chairs a standing committee of the Board will receive an additional annual cash payment of $10,000, and any independent director serving as lead independent director of the Board received additional annual cash compensation of $25,000. In lieu of director compensation, the Executive Chairman, if any, was to be paid $121,000 annually, effective January 1, 2021, in addition to the grant of an option to purchase 100,000 shares of common stock with 30% vesting immediately and the remaining 70% vesting in equal monthly installments over the twelve months from the date of grant.</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annual compensation paid to each member of the Board, each new director appointed to the Board received an initial grant of options to purchase 30,000 shares of common stock at an exercise price based on the closing price of the Company’s common stock as reported on the Nasdaq Capital Market on the date of grant, which options shall expire, if not previously exercised, ten years from the date of grant, and shall vest as follows: (i) 50% on the one-year anniversary of the date of grant, and (ii) the remaining 50% in four equal quarterly installments over the following year.</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Board approved a revised director compensation plan payable to all non-employee independent directors, effective October 1, 2023 (“Revised Board Plan”). As revised, under the terms of the Revised Board Plan, non-employee independent directors receive $121,000 annually, payable in restricted stock units to be settled in shares of the Company’s common stock, with 30% vesting immediately, and the remaining 70% vesting in monthly installments throughout the remainder of the year following the date of grant. In addition, each independent director that chairs a standing committee of the Board will receive an additional annual payment of $10,000, payable in restricted stock units to be settled in shares of the Company’s common stock, with 30% vesting immediately, and the remaining 70% vesting in monthly installments throughout the remainder of the year following the date of grant.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Board approved a revised director compensation plan payable to all non-employee independent directors, effective February 1, 2025 (“Second Revised Board Plan”). As revised, under the terms of the Revised Board Plan, the chair of the audit committee of the Board will receive an additional annual payment of $18,000 and each independent director of the compensation committee and the nominating committee of the Board will receive an additional annual payment of $10,000, payable in restricted stock units to be settled in shares of the Company’s common stock, with 30% vesting immediately, and the remaining 70% vesting in monthly installments throughout the remainder of the year following the date of grant. In addition, each independent director that is a member of the audit committee of the Board will receive an additional annual payment of $9,000, payable in restricted stock units to be settled in shares of the Company’s common stock, with 30% vesting immediately, and the remaining 70% vesting in monthly installments throughout the remainder of the year following the date of grant.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1" w:name="v_004"/>
      <w:bookmarkEnd w:id="41"/>
      <w:r>
        <w:rPr>
          <w:rFonts w:ascii="Times New Roman;Times;Serif" w:hAnsi="Times New Roman;Times;Serif"/>
          <w:b/>
          <w:i w:val="false"/>
          <w:caps w:val="false"/>
          <w:smallCaps w:val="false"/>
          <w:sz w:val="20"/>
        </w:rPr>
        <w:t xml:space="preserve">ITEM 12. SECURITY OWNERSHIP OF CERTAIN BENEFICIAL OWNERS AND MANAGEMENT AND RELATED STOCKHOLDER MATTERS.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2017, the Company adopted, and the stockholders approved, the 2017 Stock Incentive Plan (as amended from time to time, the “Plan”). The Plan reserved 2.0 million shares of our common stock for issuance as one of four types of equity incentive awards: (i) stock options, (ii) shares of common stock, (iii) restricted stock awards, and (iv) restricted stock units.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authorized an increase to the shares authorized under the plan of an additional 2,100,000 shares in May 2019, an additional 1,900,000 shares in June 2020, an additional 1,500,000 shares in June 2021, an additional 1,500,000 shares in May 2022 and an additional 7,500,000 in December 2024, for a total of 16,500,000 shares authorized for issuance under the Plan as of the date of this Report. At December 31, 2024, there were 7,585,545 shares of common stock available for grant under the Plan.</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of December 31, 2024, with respect to compensation plans (including individual compensation arrangements) under which our equity securities are authorized for issuance, aggregated as follows:</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99"/>
        <w:gridCol w:w="60"/>
        <w:gridCol w:w="259"/>
        <w:gridCol w:w="3717"/>
        <w:gridCol w:w="60"/>
        <w:gridCol w:w="60"/>
        <w:gridCol w:w="343"/>
        <w:gridCol w:w="1044"/>
        <w:gridCol w:w="60"/>
        <w:gridCol w:w="60"/>
        <w:gridCol w:w="108"/>
        <w:gridCol w:w="1556"/>
        <w:gridCol w:w="79"/>
      </w:tblGrid>
      <w:tr>
        <w:trPr/>
        <w:tc>
          <w:tcPr>
            <w:tcW w:w="2799" w:type="dxa"/>
            <w:tcBorders>
              <w:bottom w:val="single" w:sz="8" w:space="0" w:color="000000"/>
            </w:tcBorders>
            <w:vAlign w:val="center"/>
          </w:tcPr>
          <w:p>
            <w:pPr>
              <w:pStyle w:val="TableContents"/>
              <w:bidi w:val="0"/>
              <w:spacing w:before="0" w:after="283"/>
              <w:jc w:val="left"/>
              <w:rPr>
                <w:b/>
                <w:sz w:val="20"/>
              </w:rPr>
            </w:pPr>
            <w:r>
              <w:rPr>
                <w:b/>
                <w:sz w:val="20"/>
              </w:rPr>
              <w:t>Plan Category</w:t>
            </w:r>
          </w:p>
        </w:tc>
        <w:tc>
          <w:tcPr>
            <w:tcW w:w="60" w:type="dxa"/>
            <w:tcBorders/>
            <w:tcMar>
              <w:bottom w:w="0" w:type="dxa"/>
            </w:tcMar>
            <w:vAlign w:val="center"/>
          </w:tcPr>
          <w:p>
            <w:pPr>
              <w:pStyle w:val="TableContents"/>
              <w:bidi w:val="0"/>
              <w:spacing w:before="0" w:after="283"/>
              <w:jc w:val="left"/>
              <w:rPr/>
            </w:pPr>
            <w:r>
              <w:rPr/>
              <w:t> </w:t>
            </w:r>
          </w:p>
        </w:tc>
        <w:tc>
          <w:tcPr>
            <w:tcW w:w="3976" w:type="dxa"/>
            <w:gridSpan w:val="2"/>
            <w:tcBorders>
              <w:bottom w:val="single" w:sz="8" w:space="0" w:color="000000"/>
            </w:tcBorders>
            <w:vAlign w:val="center"/>
          </w:tcPr>
          <w:p>
            <w:pPr>
              <w:pStyle w:val="TableContents"/>
              <w:bidi w:val="0"/>
              <w:spacing w:before="0" w:after="283"/>
              <w:jc w:val="center"/>
              <w:rPr>
                <w:b/>
                <w:sz w:val="20"/>
              </w:rPr>
            </w:pPr>
            <w:r>
              <w:rPr>
                <w:b/>
                <w:sz w:val="20"/>
              </w:rPr>
              <w:t>(a) Number of securities  to be issued upon exercise of outstanding options, warrants and rights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7"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Weighted-average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options,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rights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64"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Number of securities</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 available for</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future issuance under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equity compensation plans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(excluding securities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reflected in column (a))</w:t>
            </w:r>
          </w:p>
        </w:tc>
        <w:tc>
          <w:tcPr>
            <w:tcW w:w="79" w:type="dxa"/>
            <w:tcBorders/>
            <w:tcMar>
              <w:bottom w:w="0" w:type="dxa"/>
            </w:tcMar>
            <w:vAlign w:val="center"/>
          </w:tcPr>
          <w:p>
            <w:pPr>
              <w:pStyle w:val="TableContents"/>
              <w:bidi w:val="0"/>
              <w:spacing w:before="0" w:after="283"/>
              <w:ind w:left="0" w:right="0" w:hanging="0"/>
              <w:jc w:val="left"/>
              <w:rPr/>
            </w:pPr>
            <w:r>
              <w:rPr/>
              <w:t> </w:t>
            </w:r>
          </w:p>
        </w:tc>
      </w:tr>
      <w:tr>
        <w:trPr/>
        <w:tc>
          <w:tcPr>
            <w:tcW w:w="2799" w:type="dxa"/>
            <w:tcBorders/>
            <w:shd w:fill="CCEEFF" w:val="clear"/>
            <w:tcMar>
              <w:bottom w:w="0" w:type="dxa"/>
            </w:tcMar>
            <w:vAlign w:val="center"/>
          </w:tcPr>
          <w:p>
            <w:pPr>
              <w:pStyle w:val="TableContents"/>
              <w:bidi w:val="0"/>
              <w:spacing w:before="0" w:after="283"/>
              <w:jc w:val="left"/>
              <w:rPr>
                <w:sz w:val="20"/>
              </w:rPr>
            </w:pPr>
            <w:r>
              <w:rPr>
                <w:sz w:val="20"/>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3717" w:type="dxa"/>
            <w:tcBorders/>
            <w:shd w:fill="CCEEFF" w:val="clear"/>
            <w:tcMar>
              <w:bottom w:w="0" w:type="dxa"/>
            </w:tcMar>
            <w:vAlign w:val="center"/>
          </w:tcPr>
          <w:p>
            <w:pPr>
              <w:pStyle w:val="TableContents"/>
              <w:bidi w:val="0"/>
              <w:spacing w:before="0" w:after="283"/>
              <w:jc w:val="right"/>
              <w:rPr>
                <w:sz w:val="20"/>
              </w:rPr>
            </w:pPr>
            <w:r>
              <w:rPr>
                <w:sz w:val="20"/>
              </w:rPr>
              <w:t>3,944,284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 w:type="dxa"/>
            <w:tcBorders/>
            <w:shd w:fill="CCEEFF" w:val="clear"/>
            <w:tcMar>
              <w:bottom w:w="0" w:type="dxa"/>
            </w:tcMar>
            <w:vAlign w:val="center"/>
          </w:tcPr>
          <w:p>
            <w:pPr>
              <w:pStyle w:val="TableContents"/>
              <w:bidi w:val="0"/>
              <w:spacing w:before="0" w:after="283"/>
              <w:jc w:val="left"/>
              <w:rPr>
                <w:sz w:val="20"/>
              </w:rPr>
            </w:pPr>
            <w:r>
              <w:rPr>
                <w:sz w:val="20"/>
              </w:rPr>
              <w:t>$</w:t>
            </w:r>
          </w:p>
        </w:tc>
        <w:tc>
          <w:tcPr>
            <w:tcW w:w="1044" w:type="dxa"/>
            <w:tcBorders/>
            <w:shd w:fill="CCEEFF" w:val="clear"/>
            <w:tcMar>
              <w:bottom w:w="0" w:type="dxa"/>
            </w:tcMar>
            <w:vAlign w:val="center"/>
          </w:tcPr>
          <w:p>
            <w:pPr>
              <w:pStyle w:val="TableContents"/>
              <w:bidi w:val="0"/>
              <w:spacing w:before="0" w:after="283"/>
              <w:jc w:val="right"/>
              <w:rPr>
                <w:sz w:val="20"/>
              </w:rPr>
            </w:pPr>
            <w:r>
              <w:rPr>
                <w:sz w:val="20"/>
              </w:rPr>
              <w:t>2.12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556" w:type="dxa"/>
            <w:tcBorders/>
            <w:shd w:fill="CCEEFF" w:val="clear"/>
            <w:tcMar>
              <w:bottom w:w="0" w:type="dxa"/>
            </w:tcMar>
            <w:vAlign w:val="center"/>
          </w:tcPr>
          <w:p>
            <w:pPr>
              <w:pStyle w:val="TableContents"/>
              <w:bidi w:val="0"/>
              <w:spacing w:before="0" w:after="283"/>
              <w:jc w:val="right"/>
              <w:rPr>
                <w:sz w:val="20"/>
              </w:rPr>
            </w:pPr>
            <w:r>
              <w:rPr>
                <w:sz w:val="20"/>
              </w:rPr>
              <w:t>7,585,545</w:t>
            </w:r>
          </w:p>
        </w:tc>
        <w:tc>
          <w:tcPr>
            <w:tcW w:w="79"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799" w:type="dxa"/>
            <w:tcBorders/>
            <w:shd w:fill="FFFFFF" w:val="clear"/>
            <w:tcMar>
              <w:bottom w:w="0" w:type="dxa"/>
            </w:tcMar>
            <w:vAlign w:val="center"/>
          </w:tcPr>
          <w:p>
            <w:pPr>
              <w:pStyle w:val="TableContents"/>
              <w:bidi w:val="0"/>
              <w:spacing w:before="0" w:after="283"/>
              <w:jc w:val="left"/>
              <w:rPr>
                <w:sz w:val="20"/>
              </w:rPr>
            </w:pPr>
            <w:r>
              <w:rPr>
                <w:sz w:val="20"/>
              </w:rPr>
              <w:t>Equity compensation plans not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3717"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3" w:type="dxa"/>
            <w:tcBorders/>
            <w:shd w:fill="FFFFFF" w:val="clear"/>
            <w:tcMar>
              <w:bottom w:w="0" w:type="dxa"/>
            </w:tcMar>
            <w:vAlign w:val="center"/>
          </w:tcPr>
          <w:p>
            <w:pPr>
              <w:pStyle w:val="TableContents"/>
              <w:bidi w:val="0"/>
              <w:spacing w:before="0" w:after="283"/>
              <w:jc w:val="left"/>
              <w:rPr/>
            </w:pPr>
            <w:r>
              <w:rPr/>
              <w:t> </w:t>
            </w:r>
          </w:p>
        </w:tc>
        <w:tc>
          <w:tcPr>
            <w:tcW w:w="1044"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556" w:type="dxa"/>
            <w:tcBorders/>
            <w:shd w:fill="FFFFFF" w:val="clear"/>
            <w:tcMar>
              <w:bottom w:w="0" w:type="dxa"/>
            </w:tcMar>
            <w:vAlign w:val="center"/>
          </w:tcPr>
          <w:p>
            <w:pPr>
              <w:pStyle w:val="TableContents"/>
              <w:bidi w:val="0"/>
              <w:spacing w:before="0" w:after="283"/>
              <w:jc w:val="right"/>
              <w:rPr>
                <w:sz w:val="20"/>
              </w:rPr>
            </w:pPr>
            <w:r>
              <w:rPr>
                <w:sz w:val="20"/>
              </w:rPr>
              <w:t>-</w:t>
            </w:r>
          </w:p>
        </w:tc>
        <w:tc>
          <w:tcPr>
            <w:tcW w:w="79"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799" w:type="dxa"/>
            <w:tcBorders/>
            <w:shd w:fill="CCEEFF" w:val="clear"/>
            <w:tcMar>
              <w:bottom w:w="0" w:type="dxa"/>
            </w:tcMar>
            <w:vAlign w:val="center"/>
          </w:tcPr>
          <w:p>
            <w:pPr>
              <w:pStyle w:val="TableContents"/>
              <w:bidi w:val="0"/>
              <w:spacing w:before="0" w:after="283"/>
              <w:jc w:val="left"/>
              <w:rPr>
                <w:sz w:val="20"/>
              </w:rPr>
            </w:pPr>
            <w:r>
              <w:rPr>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3717" w:type="dxa"/>
            <w:tcBorders/>
            <w:shd w:fill="CCEEFF" w:val="clear"/>
            <w:tcMar>
              <w:bottom w:w="0" w:type="dxa"/>
            </w:tcMar>
            <w:vAlign w:val="center"/>
          </w:tcPr>
          <w:p>
            <w:pPr>
              <w:pStyle w:val="TableContents"/>
              <w:bidi w:val="0"/>
              <w:spacing w:before="0" w:after="283"/>
              <w:jc w:val="right"/>
              <w:rPr>
                <w:sz w:val="20"/>
              </w:rPr>
            </w:pPr>
            <w:r>
              <w:rPr>
                <w:sz w:val="20"/>
              </w:rPr>
              <w:t>3,944,284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 w:type="dxa"/>
            <w:tcBorders/>
            <w:shd w:fill="CCEEFF" w:val="clear"/>
            <w:tcMar>
              <w:bottom w:w="0" w:type="dxa"/>
            </w:tcMar>
            <w:vAlign w:val="center"/>
          </w:tcPr>
          <w:p>
            <w:pPr>
              <w:pStyle w:val="TableContents"/>
              <w:bidi w:val="0"/>
              <w:spacing w:before="0" w:after="283"/>
              <w:jc w:val="left"/>
              <w:rPr>
                <w:sz w:val="20"/>
              </w:rPr>
            </w:pPr>
            <w:r>
              <w:rPr>
                <w:sz w:val="20"/>
              </w:rPr>
              <w:t>$</w:t>
            </w:r>
          </w:p>
        </w:tc>
        <w:tc>
          <w:tcPr>
            <w:tcW w:w="1044" w:type="dxa"/>
            <w:tcBorders/>
            <w:shd w:fill="CCEEFF" w:val="clear"/>
            <w:tcMar>
              <w:bottom w:w="0" w:type="dxa"/>
            </w:tcMar>
            <w:vAlign w:val="center"/>
          </w:tcPr>
          <w:p>
            <w:pPr>
              <w:pStyle w:val="TableContents"/>
              <w:bidi w:val="0"/>
              <w:spacing w:before="0" w:after="283"/>
              <w:jc w:val="right"/>
              <w:rPr>
                <w:sz w:val="20"/>
              </w:rPr>
            </w:pPr>
            <w:r>
              <w:rPr>
                <w:sz w:val="20"/>
              </w:rPr>
              <w:t>2.12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556" w:type="dxa"/>
            <w:tcBorders/>
            <w:shd w:fill="CCEEFF" w:val="clear"/>
            <w:tcMar>
              <w:bottom w:w="0" w:type="dxa"/>
            </w:tcMar>
            <w:vAlign w:val="center"/>
          </w:tcPr>
          <w:p>
            <w:pPr>
              <w:pStyle w:val="TableContents"/>
              <w:bidi w:val="0"/>
              <w:spacing w:before="0" w:after="283"/>
              <w:jc w:val="right"/>
              <w:rPr>
                <w:sz w:val="20"/>
              </w:rPr>
            </w:pPr>
            <w:r>
              <w:rPr>
                <w:sz w:val="20"/>
              </w:rPr>
              <w:t>7,585,545</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of our voting securities as of April 15, 2025, by (i) each stockholder known by us to be the beneficial owner of more than 5% of our voting securities, (ii) each of our directors and named executive officers, and (iii) all of our directors and executive officers as a group. Unless otherwise noted, the address for each person named in the table is c/o Wrap Technologies, Inc., 3480 Main Hwy, Suite 202, Miami, Florida 33133.</w:t>
      </w:r>
    </w:p>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96"/>
        <w:gridCol w:w="60"/>
        <w:gridCol w:w="69"/>
        <w:gridCol w:w="1156"/>
        <w:gridCol w:w="60"/>
        <w:gridCol w:w="60"/>
        <w:gridCol w:w="121"/>
        <w:gridCol w:w="983"/>
        <w:gridCol w:w="185"/>
        <w:gridCol w:w="60"/>
        <w:gridCol w:w="136"/>
        <w:gridCol w:w="1113"/>
        <w:gridCol w:w="60"/>
        <w:gridCol w:w="60"/>
        <w:gridCol w:w="121"/>
        <w:gridCol w:w="983"/>
        <w:gridCol w:w="185"/>
        <w:gridCol w:w="60"/>
        <w:gridCol w:w="100"/>
        <w:gridCol w:w="830"/>
        <w:gridCol w:w="207"/>
      </w:tblGrid>
      <w:tr>
        <w:trPr/>
        <w:tc>
          <w:tcPr>
            <w:tcW w:w="359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Beneficial Owner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 of</w:t>
              <w:br/>
              <w:t>Common Stock</w:t>
              <w:br/>
              <w:t>Beneficially</w:t>
              <w:br/>
              <w:t>Owned(1)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Class(2)</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 of</w:t>
              <w:br/>
              <w:t>Series A</w:t>
              <w:br/>
              <w:t>Preferred Stock</w:t>
              <w:br/>
              <w:t>Beneficially</w:t>
              <w:br/>
              <w:t>Owned(1)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Percentage of</w:t>
              <w:br/>
              <w:t>Class(2)</w:t>
            </w:r>
            <w:r>
              <w:rPr>
                <w:rFonts w:ascii="Times New Roman;Times;Serif" w:hAnsi="Times New Roman;Times;Serif"/>
                <w:b w:val="false"/>
                <w:i w:val="false"/>
                <w:caps w:val="false"/>
                <w:smallCaps w:val="false"/>
                <w:sz w:val="20"/>
              </w:rPr>
              <w:t xml:space="preserve">  </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Voting</w:t>
              <w:br/>
              <w:t>Power</w:t>
            </w:r>
          </w:p>
        </w:tc>
        <w:tc>
          <w:tcPr>
            <w:tcW w:w="20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9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Stockholders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3"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9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Elwood G. Norris(3)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6,301,957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12.47</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3"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20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96" w:type="dxa"/>
            <w:tcBorders/>
            <w:shd w:fill="CCEEFF" w:val="clear"/>
            <w:tcMar>
              <w:bottom w:w="0" w:type="dxa"/>
            </w:tcMar>
            <w:vAlign w:val="center"/>
          </w:tcPr>
          <w:p>
            <w:pPr>
              <w:pStyle w:val="TableContents"/>
              <w:bidi w:val="0"/>
              <w:spacing w:before="0" w:after="283"/>
              <w:jc w:val="left"/>
              <w:rPr>
                <w:caps w:val="false"/>
                <w:smallCaps w:val="false"/>
              </w:rPr>
            </w:pPr>
            <w:r>
              <w:rPr>
                <w:rFonts w:ascii="Times New Roman;Times;Serif" w:hAnsi="Times New Roman;Times;Serif"/>
                <w:b w:val="false"/>
                <w:i w:val="false"/>
                <w:caps w:val="false"/>
                <w:smallCaps w:val="false"/>
                <w:sz w:val="20"/>
              </w:rPr>
              <w:t xml:space="preserve">Iroquois Capital Investment Group, LLC </w:t>
            </w:r>
            <w:r>
              <w:rPr>
                <w:rFonts w:cs="Times New Roman;Times;Serif"/>
                <w:bCs w:val="false"/>
                <w:iCs w:val="false"/>
                <w:caps w:val="false"/>
                <w:smallCaps w:val="false"/>
                <w:szCs w:val="20"/>
              </w:rPr>
              <w:t>﻿</w:t>
            </w:r>
            <w:r>
              <w:rPr>
                <w:rFonts w:ascii="Times New Roman;Times;Serif" w:hAnsi="Times New Roman;Times;Serif"/>
                <w:b w:val="false"/>
                <w:i w:val="false"/>
                <w:caps w:val="false"/>
                <w:smallCaps w:val="false"/>
                <w:sz w:val="20"/>
              </w:rPr>
              <w:t>(4)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2,655,150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w:t>
            </w:r>
          </w:p>
        </w:tc>
        <w:tc>
          <w:tcPr>
            <w:tcW w:w="20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96" w:type="dxa"/>
            <w:tcBorders/>
            <w:shd w:fill="FFFFFF" w:val="clear"/>
            <w:tcMar>
              <w:bottom w:w="0" w:type="dxa"/>
            </w:tcMar>
            <w:vAlign w:val="center"/>
          </w:tcPr>
          <w:p>
            <w:pPr>
              <w:pStyle w:val="TableContents"/>
              <w:bidi w:val="0"/>
              <w:spacing w:before="0" w:after="283"/>
              <w:jc w:val="left"/>
              <w:rPr>
                <w:caps w:val="false"/>
                <w:smallCaps w:val="false"/>
              </w:rPr>
            </w:pPr>
            <w:r>
              <w:rPr>
                <w:rFonts w:ascii="Times New Roman;Times;Serif" w:hAnsi="Times New Roman;Times;Serif"/>
                <w:b w:val="false"/>
                <w:i w:val="false"/>
                <w:caps w:val="false"/>
                <w:smallCaps w:val="false"/>
                <w:sz w:val="20"/>
              </w:rPr>
              <w:t xml:space="preserve">Intracoastal Capital LLC </w:t>
            </w:r>
            <w:r>
              <w:rPr>
                <w:rFonts w:cs="Times New Roman;Times;Serif"/>
                <w:bCs w:val="false"/>
                <w:iCs w:val="false"/>
                <w:caps w:val="false"/>
                <w:smallCaps w:val="false"/>
                <w:szCs w:val="20"/>
              </w:rPr>
              <w:t>﻿</w:t>
            </w:r>
            <w:r>
              <w:rPr>
                <w:rFonts w:ascii="Times New Roman;Times;Serif" w:hAnsi="Times New Roman;Times;Serif"/>
                <w:b w:val="false"/>
                <w:i w:val="false"/>
                <w:caps w:val="false"/>
                <w:smallCaps w:val="false"/>
                <w:sz w:val="20"/>
              </w:rPr>
              <w:t>(5)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2,655,150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w:t>
            </w:r>
          </w:p>
        </w:tc>
        <w:tc>
          <w:tcPr>
            <w:tcW w:w="20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9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Cohen/V4 Global LLC (6)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14,317,298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24.37</w:t>
            </w:r>
          </w:p>
        </w:tc>
        <w:tc>
          <w:tcPr>
            <w:tcW w:w="20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9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FBH Investment Holdings, LLC (7)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929,064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1.81</w:t>
            </w:r>
          </w:p>
        </w:tc>
        <w:tc>
          <w:tcPr>
            <w:tcW w:w="20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9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Named Executive Officers and Directors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3"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9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Cohen/V4 Global LLC (6)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14,317,298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24.37</w:t>
            </w:r>
          </w:p>
        </w:tc>
        <w:tc>
          <w:tcPr>
            <w:tcW w:w="20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9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Jared Novick/Continuum Vantures, LLC (8)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1,383,350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20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9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Mullins (9)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483,421 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9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DeAlmeida (10)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156,601 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9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Bernstein (11)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237,296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9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Savas/Savbo Investments LLC (12)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336,002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9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Rajiv Srinivasan (13)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107,838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9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Admiral Tim Szymanski (14)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107,042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9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directors and executive officers as a group (6 persons)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17,128,848 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w:t>
            </w:r>
          </w:p>
        </w:tc>
        <w:tc>
          <w:tcPr>
            <w:tcW w:w="20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ownership of less than 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generally includes voting or investment power with respect to securities. Each of the beneficial owners listed above has direct ownership of and sole voting power and investment power with respect to the shares set forth in the above table.</w:t>
            </w:r>
          </w:p>
        </w:tc>
      </w:tr>
      <w:tr>
        <w:trPr/>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50,554,267 shares of our common stock are considered to be outstanding pursuant to SEC Rule 13d-3(d)(1) as of April 15, 2025, and 8,207 shares of Series A Preferred Stock are outstanding as of April 15, 2025, which such outstanding Series A Preferred Stock as of April 15, 2025, are entitled to an aggregate of approximately 5,327,347 votes.</w:t>
            </w:r>
          </w:p>
        </w:tc>
      </w:tr>
      <w:tr>
        <w:trPr/>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5"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Based on the Schedule 13D/A filed jointly with the SEC on March 9, 2021, by the Norris Family 1997 Trust (the “Norris Trust”), Elwood G. Norris and Stephanie A. Norris and certain information made available to the Company. The shares of Common Stock are directly held by the Trust and Mr. Norris. The shares of common stock directly held by Mr. Norris and the Norris Trust are also indirectly beneficially owned by Stephanie A. Norris, as a trustee of the Norris Trust. The amount reported herein consists of 6,301,957 shares of common stock. The address of each of the parties herein is 15891 Blue Crystal Trail, Poway, CA 92064.</w:t>
            </w:r>
          </w:p>
        </w:tc>
      </w:tr>
    </w:tbl>
    <w:p>
      <w:pPr>
        <w:pStyle w:val="TextBody"/>
        <w:bidi w:val="0"/>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certain information made available to the Company. The securities reported herein are directly held by Iroquois Capital Investment Group LLC (“ICIG”) and Iroquois Master Fund, Ltd (“IMF”). Represents (i) 6,621,207 shares of common stock issuable upon exercise of certain warrants that were exercisable as of April 15, 2025, or will be exercisable within 60 days thereafter (subject to a 4.99% beneficial ownership blocker), and (ii) 2,335 shares of Series A Preferred Stock, convertible into up to approximately 1,651,343 shares of common stock within 60 days of April 15, 2025 (subject to a 4.99% beneficial ownership blocker).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Iroquois Capital Management L.L.C. (“ICM”) is the investment manager of IMF. ICM has voting control and investment discretion over securities held by IMF. As Managing Members of ICM, Richard Abbe and Kimberly Page make voting and investment decisions on behalf of ICM in its capacity as investment manager to IMF. Mr. Abbe is the managing member of ICIG. Mr. Abbe has sole voting control and investment discretion over securities held by ICIG. As such, Mr. Abbe may be deemed to be the beneficial owner (as determined under Section 13(d) of the Securities Exchange Act of 1934, as amended) of the securities held by ICIG. As a result of the foregoing, Mr. Abbe and Mrs. Page may be deemed to have beneficial ownership (as determined under Section 13(d) of the Securities Exchange Act of 1934, as amended) of the securities held by ICM and IMF.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for each of IMF and ICIG is 2 Overhill Road, Suite 400, Scarsdale, NY 10583.</w:t>
            </w:r>
          </w:p>
        </w:tc>
      </w:tr>
      <w:tr>
        <w:trPr/>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certain information made available to the Company. Represents (i) 1,641,379 shares of common stock issuable upon exercise of certain warrants that were exercisable as of April 15, 2025, or will be exercisable within 60 days thereafter (with certain warrants subject to a 4.99% beneficial ownership blocker), and (ii) 1,698 shares of Series A Preferred Stock, convertible into up to approximately 1,200,848 shares of common stock within 60 days of April 15, 2025 (subject to a 4.99% beneficial ownership blocker).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Mitchell P. Kopin and Daniel B. Asher are each managers of Intracoastal Capital LLC (“Intracoastal”) and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 Capital LLC.</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business address for Intracoastal is 2211A Lakeside Drive, Bannockburn, IL 60015.</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certain information made available to the Company. Represents (i) 6,185,754 shares of common stock, (ii) 2,010,701 shares of common stock underlying stock options that were vested as of April 15, 2025, or will could within 60 days thereafter, (iii) 882,911 shares of common stock underlying RSUs that were vested as of April 15, 2025, or could vest within 60 days thereafter, (iv) 3,168,966 shares of common stock issuable upon exercise of certain warrants that were exercisable as of April 15, 2025, or will be exercisable within 60 days thereafter (with certain warrants being subject to a beneficial ownership limitation of 4.99%), and (v) 3,000 shares of Series A Preferred Stock, convertible into up to approximately 2,121,640 shares of common stock within 60 days of April 15, 2025.</w:t>
            </w:r>
          </w:p>
        </w:tc>
      </w:tr>
      <w:tr>
        <w:trPr/>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Cohen has voting and dispositive control with respect to the securities held by V4 Capital Partners, LLC (“V4 Capital”) and V4 Global, LLC (“V4 Global”). As a result, Mr. Cohen may be deemed to have beneficial ownership (as determined under Section 13(d) of the Exchange Act) of the securities held by V4 Capital and V4 Global.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business address of V4 Capital, V4 Global and Mr. Cohen is 445 Grand Bay Drive, Apt. P1A, Key Biscayne, FL 33149.</w:t>
            </w:r>
          </w:p>
        </w:tc>
      </w:tr>
      <w:tr>
        <w:trPr/>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certain information made available to the Company. Represents (i) 189,409 shares of common stock, (ii) 394,827 shares of common stock issuable upon exercise of certain warrants that were exercisable as of April 15, 2025, or will be exercisable within 60 days thereafter (with certain warrants subject to a 4.99% beneficial ownership blocker), (iii) 500 shares of Series A Preferred Stock, convertible into up to approximately 353,606 shares of common stock within 60 days of April 15, 2025 (subject to a 4.99% beneficial ownership blocker) and (iv) 50,000 shares of common stock underlying RSUs that were vested as of April 15, 2025, or will vest within 60 days thereafter.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business address of FBH Investment Holdings, LLC is 45 Main Street, Suite 804, Brooklyn N.Y. 11201.</w:t>
            </w:r>
          </w:p>
        </w:tc>
      </w:tr>
      <w:tr>
        <w:trPr/>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275,000 shares of common stock, (ii) 583,000 shares of common stock underlying stock options that were vested as of April 15, 2025, or will vest within 60 days thereafter, and (iii) 250,000 shares of common stock underlying RSUs that were vested as of April 15, 2025, or will vest within 60 days thereafter.</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483,421 shares of common stock.</w:t>
            </w:r>
          </w:p>
        </w:tc>
      </w:tr>
      <w:tr>
        <w:trPr/>
        <w:tc>
          <w:tcPr>
            <w:tcW w:w="314" w:type="dxa"/>
            <w:tcBorders/>
            <w:vAlign w:val="center"/>
          </w:tcPr>
          <w:p>
            <w:pPr>
              <w:pStyle w:val="TableContents"/>
              <w:bidi w:val="0"/>
              <w:spacing w:before="0" w:after="283"/>
              <w:jc w:val="left"/>
              <w:rPr>
                <w:caps w:val="false"/>
                <w:smallCaps w:val="false"/>
              </w:rPr>
            </w:pPr>
            <w:r>
              <w:rPr>
                <w:caps w:val="false"/>
                <w:smallCaps w:val="false"/>
              </w:rPr>
              <w:t> </w:t>
            </w:r>
          </w:p>
        </w:tc>
        <w:tc>
          <w:tcPr>
            <w:tcW w:w="98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156,601 shares of common stock.</w:t>
            </w:r>
          </w:p>
        </w:tc>
      </w:tr>
      <w:tr>
        <w:trPr/>
        <w:tc>
          <w:tcPr>
            <w:tcW w:w="314" w:type="dxa"/>
            <w:tcBorders/>
            <w:vAlign w:val="center"/>
          </w:tcPr>
          <w:p>
            <w:pPr>
              <w:pStyle w:val="TableContents"/>
              <w:bidi w:val="0"/>
              <w:spacing w:before="0" w:after="283"/>
              <w:jc w:val="left"/>
              <w:rPr>
                <w:caps w:val="false"/>
                <w:smallCaps w:val="false"/>
              </w:rPr>
            </w:pPr>
            <w:r>
              <w:rPr>
                <w:caps w:val="false"/>
                <w:smallCaps w:val="false"/>
              </w:rPr>
              <w:t> </w:t>
            </w:r>
          </w:p>
        </w:tc>
        <w:tc>
          <w:tcPr>
            <w:tcW w:w="98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1"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certain information made available to the Company. (i) 275,000 shares of common stock, (ii) 583,350 shares of common stock underlying stock options that were vested as of April 15, 2025, or could vest within 60 days thereafter, (iii) 250,000 shares of common stock underlying RSUs that were vested as of April 15, 2025, or could vest within 60 days thereafter and (iv) 275,000 shares of common stock underlying certain warrants (subject to a beneficial ownership limitation of 4.99%).</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reported herein are directly held by Continuum Ventures, LLC and Jared Novick. Jared Novick is a manager of Continuum Ventures, LLC and has voting control and investment discretion over the securities reported herein that are held by Continuum Ventures, LLC. As a result, Mr. Novick may be deemed to have beneficial ownership (as determined under Section 13(d) of the Exchange Act of the securities reported herein that are held by Continuum Ventures, LLC.</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business address for Continuum Ventures, LLC is 2325 Bellefield Cove, Oviedo, FL 32766.</w:t>
            </w:r>
          </w:p>
        </w:tc>
      </w:tr>
      <w:tr>
        <w:trPr/>
        <w:tc>
          <w:tcPr>
            <w:tcW w:w="314" w:type="dxa"/>
            <w:tcBorders/>
            <w:vAlign w:val="center"/>
          </w:tcPr>
          <w:p>
            <w:pPr>
              <w:pStyle w:val="TableContents"/>
              <w:bidi w:val="0"/>
              <w:spacing w:before="0" w:after="283"/>
              <w:jc w:val="left"/>
              <w:rPr>
                <w:caps w:val="false"/>
                <w:smallCaps w:val="false"/>
              </w:rPr>
            </w:pPr>
            <w:r>
              <w:rPr>
                <w:caps w:val="false"/>
                <w:smallCaps w:val="false"/>
              </w:rPr>
              <w:t> </w:t>
            </w:r>
          </w:p>
        </w:tc>
        <w:tc>
          <w:tcPr>
            <w:tcW w:w="98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91"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certain information made available to the Company. Represents (i) 139,409 shares of common stock, (ii) 394,827 shares of common stock issuable upon exercise of certain warrants that were exercisable as of April 15, 2025. or will be exercisable within 60 days thereafter (with certain warrants subject to a 4.99% beneficial ownership blocker), (iii) 500 shares of Series A Preferred Stock, convertible into up to approximately 344,828 shares of common stock within 60 days of April 15, 2025 (subject to a 4.99% beneficial ownership blocker) and (iv) 50,000 shares of Common Stock underlying RSUs that were vested as of April 15, 2025, or will vest within 60 days thereafter.</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Savas is a manager of Savbo Investments LLC and has voting control and investment discretion over the securities reported herein that are held by Savbo Investments LLC. As a result, Mr. Savas may be deemed to have beneficial ownership (as determined under Section 13(d) of the Exchange Act of the securities reported herein that are held by Savbo Investments LLC.</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business address for Savbo Investments LLC is 15030 Ventura Blvd, Suite 395, Sherman Oaks, CA 91403.</w:t>
            </w:r>
          </w:p>
        </w:tc>
      </w:tr>
      <w:tr>
        <w:trPr/>
        <w:tc>
          <w:tcPr>
            <w:tcW w:w="314" w:type="dxa"/>
            <w:tcBorders/>
            <w:vAlign w:val="center"/>
          </w:tcPr>
          <w:p>
            <w:pPr>
              <w:pStyle w:val="TableContents"/>
              <w:bidi w:val="0"/>
              <w:spacing w:before="0" w:after="283"/>
              <w:jc w:val="left"/>
              <w:rPr>
                <w:caps w:val="false"/>
                <w:smallCaps w:val="false"/>
              </w:rPr>
            </w:pPr>
            <w:r>
              <w:rPr>
                <w:caps w:val="false"/>
                <w:smallCaps w:val="false"/>
              </w:rPr>
              <w:t> </w:t>
            </w:r>
          </w:p>
        </w:tc>
        <w:tc>
          <w:tcPr>
            <w:tcW w:w="98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herein consists of (i) 79,810 shares of common stock, (ii) 22,500 shares of common stock underlying stock options that were vested as of April 15, 2025, or will vest within 60 days thereafter and (iii) 5,528 shares of common stock underlying RSUs that were vested as of April 15, 2025, or will vest within 60 days thereafter.</w:t>
            </w:r>
          </w:p>
        </w:tc>
      </w:tr>
      <w:tr>
        <w:trPr/>
        <w:tc>
          <w:tcPr>
            <w:tcW w:w="314" w:type="dxa"/>
            <w:tcBorders/>
            <w:vAlign w:val="center"/>
          </w:tcPr>
          <w:p>
            <w:pPr>
              <w:pStyle w:val="TableContents"/>
              <w:bidi w:val="0"/>
              <w:spacing w:before="0" w:after="283"/>
              <w:jc w:val="left"/>
              <w:rPr>
                <w:caps w:val="false"/>
                <w:smallCaps w:val="false"/>
              </w:rPr>
            </w:pPr>
            <w:r>
              <w:rPr>
                <w:caps w:val="false"/>
                <w:smallCaps w:val="false"/>
              </w:rPr>
              <w:t> </w:t>
            </w:r>
          </w:p>
        </w:tc>
        <w:tc>
          <w:tcPr>
            <w:tcW w:w="98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79,810 shares of common stock, (ii) 22,500 shares of common stock underlying stock options that were vested as of April 15, 2025, or will vest within 60 days thereafter and (iii) 4,732 shares of common stock underlying RSUs that were vested as of April 15, 2025, or will vest within 60 days thereafter.</w:t>
            </w:r>
          </w:p>
        </w:tc>
      </w:tr>
    </w:tbl>
    <w:p>
      <w:pPr>
        <w:pStyle w:val="TextBody"/>
        <w:bidi w:val="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2" w:name="v_005"/>
      <w:bookmarkEnd w:id="42"/>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Related Persons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rules require us to disclose any transaction or currently proposed transaction in which we are a participant and in which any related person has or will have a direct or indirect material interest involving an amount that exceeds the lesser of $120,000 or one percent (1%) of the average of the Company’s total assets as of the end of the last two completed fiscal years. A related person is any executive officer, director, nominee for director, or holder of 5% or more of the Company’s common stock, or an immediate family member of any of those persons.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2023, the Company entered into the Series A Purchase Agreement with certain investors, including Scot Cohen, the Company’s Chief Executive Officer, and V4 Global. Mr. Cohen has voting and dispositive control with respect to the securities as is deemed to be the beneficial owner of the securities held by V4 Global. Pursuant to the Series A Purchase Agreement, the Company issued Mr. Cohen and V4 Global an aggregate of 3,000 shares of Series A Preferred Stock and Series A Warrants to purchase up to an aggregate of 2,068,966 shares of common stock for aggregate gross proceeds of $3,000,000. For the year ended December 31, 2024, Mr. Cohen earned dividends totaling $432,944 on his Series A Preferred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February 2025</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2025, the Company entered into a securities purchase agreement with certain accredited investors for the issuance and sale in a private placement of an aggregate of 3,216,666 shares of common stock and accompanying warrants (“PIPE Warrants”) to purchase up to 3,216,666 shares of common stock, with an exercise price of $1.80 per share. The purchase price for one share of common stock and accompanying PIPE Warrant was $1.80. The estimated gross proceeds to the Company were $5.8 million, before estimated offering expenses payable by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following to related parties: (i) Mr. Cohen through V4 Global an aggregate of 1,100,00 shares of common stock and PIPE Warrants to purchase up to an aggregate of 1,100,000 shares of common stock for aggregate gross proceeds of $1,980,000, (ii) Mr. Novick through Continuum Ventures LLC an aggregate of 275,000 shares of common stock and PIPE Warrants to purchase up to an aggregate of 275,000 shares of common stock for aggregate gross proceeds of $495,000, and (iii) Mr. Savas through Savbo Investments LLC an aggregate of 50,000 shares of common stock and PIPE Warrants to purchase up to an aggregate of 50,000 shares of common stock for aggregate gross proceeds of $90,000.</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“Directors, Executive Officers and Corporate Governance - Director Independence” and “Directors, Executive Officers and Corporate Governance - Board Committees” above.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43" w:name="v_006"/>
      <w:bookmarkEnd w:id="43"/>
      <w:r>
        <w:rPr>
          <w:rFonts w:ascii="Times New Roman;Times;Serif" w:hAnsi="Times New Roman;Times;Serif"/>
          <w:b/>
          <w:i w:val="false"/>
          <w:caps w:val="false"/>
          <w:smallCaps w:val="false"/>
          <w:sz w:val="20"/>
        </w:rPr>
        <w:t>ITEM 14. PRINCIPAL ACCOUNTING FEES AND SERVICES.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effective as of May 7, 2024, appointed HTL International, LLC (“HTL”) as the Company’s independent registered public accounting firm for the Company’s fiscal year ended December 31, 2023. The Audit Committee, effective as of December 23, 2024, appointed HTL as the Company’s independent registered public accounting firm for the Company’s fiscal year ended December 31, 2024.</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and Non-Audit Fees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engaged HTL from May 7, 2024, to present. The following table presents fees for professional audit services rendered by HTL for audit and other services provided for the fiscal years ended December 31, 2024, and December 31, 2023. </w:t>
      </w:r>
    </w:p>
    <w:p>
      <w:pPr>
        <w:pStyle w:val="TextBody"/>
        <w:bidi w:val="0"/>
        <w:jc w:val="center"/>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390"/>
        <w:gridCol w:w="60"/>
        <w:gridCol w:w="140"/>
        <w:gridCol w:w="800"/>
        <w:gridCol w:w="60"/>
        <w:gridCol w:w="60"/>
        <w:gridCol w:w="140"/>
        <w:gridCol w:w="800"/>
        <w:gridCol w:w="75"/>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Audit Fees(1)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171,697</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Audit Related Fees(2)(3)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Tax Fees(2)(4)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All Other Fees(2)(5)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171,697</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Audit Fees include fees for services rendered for the audit of our annual financial statements, the review of financial statements included in our Quarterly Reports on Form 10-Q, assistance with and review of documents filed with the SEC and consents and other services normally provided in connection with regulatory filings.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Audit Related Fees, Tax Fees or All Other Fees.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Related fees principally include fees incurred for due diligence in connection with potential transactions and accounting consultations.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would include fees for services rendered for tax compliance, tax advice, and tax planning.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 would include fees that do not constitute Audit Fees, Audit Related Fees, or Tax Fees.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on Audit Committee Pre-Approval of Audit and Permissible Non-Audit Services of Independent Auditors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SEC policies and guidelines regarding audit independence, the Audit Committee is responsible for the pre-approval of all audit and permissible non-audit services provided by our principal accountants. Our Audit Committee has established a policy regarding approval of all audit and permissible non-audit services provided by our principal accountants. No non-audit services were performed by our principal accountants during the fiscal years ended December 31, 2024, and 2023. Our Audit Committee pre-approves these services by category and service. Our Audit Committee has pre-approved 100% of the services provided by our principal accountants.</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4" w:name="v_007"/>
      <w:bookmarkEnd w:id="44"/>
      <w:r>
        <w:rPr>
          <w:rFonts w:ascii="Times New Roman;Times;Serif" w:hAnsi="Times New Roman;Times;Serif"/>
          <w:b/>
          <w:i w:val="false"/>
          <w:caps w:val="false"/>
          <w:smallCaps w:val="false"/>
          <w:sz w:val="20"/>
        </w:rPr>
        <w:t>PART IV</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5" w:name="v_008"/>
      <w:bookmarkEnd w:id="45"/>
      <w:r>
        <w:rPr>
          <w:rFonts w:ascii="Times New Roman;Times;Serif" w:hAnsi="Times New Roman;Times;Serif"/>
          <w:b/>
          <w:i w:val="false"/>
          <w:caps w:val="false"/>
          <w:smallCaps w:val="false"/>
          <w:sz w:val="20"/>
        </w:rPr>
        <w:t>ITEM 15. EXHIBITS AND FINANCIAL STATEMENT SCHEDULES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219"/>
        <w:gridCol w:w="9752"/>
      </w:tblGrid>
      <w:tr>
        <w:trPr/>
        <w:tc>
          <w:tcPr>
            <w:tcW w:w="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1"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were filed as a part of Original Filing:</w:t>
            </w:r>
          </w:p>
        </w:tc>
      </w:tr>
      <w:tr>
        <w:trPr/>
        <w:tc>
          <w:tcPr>
            <w:tcW w:w="234" w:type="dxa"/>
            <w:tcBorders/>
            <w:vAlign w:val="center"/>
          </w:tcPr>
          <w:p>
            <w:pPr>
              <w:pStyle w:val="TableContents"/>
              <w:bidi w:val="0"/>
              <w:spacing w:before="0" w:after="283"/>
              <w:jc w:val="both"/>
              <w:rPr>
                <w:caps w:val="false"/>
                <w:smallCaps w:val="false"/>
              </w:rPr>
            </w:pPr>
            <w:r>
              <w:rPr>
                <w:caps w:val="false"/>
                <w:smallCaps w:val="false"/>
              </w:rPr>
              <w:t> </w:t>
            </w:r>
          </w:p>
        </w:tc>
        <w:tc>
          <w:tcPr>
            <w:tcW w:w="997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234"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The financial statements of Wrap Technologies, Inc. included in Part II, Item 8 of the Original Filing.</w:t>
            </w:r>
          </w:p>
        </w:tc>
      </w:tr>
      <w:tr>
        <w:trPr/>
        <w:tc>
          <w:tcPr>
            <w:tcW w:w="234"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caps w:val="false"/>
                <w:smallCaps w:val="false"/>
              </w:rPr>
            </w:pPr>
            <w:r>
              <w:rPr>
                <w:caps w:val="false"/>
                <w:smallCaps w:val="false"/>
              </w:rPr>
              <w:t> </w:t>
            </w:r>
          </w:p>
        </w:tc>
        <w:tc>
          <w:tcPr>
            <w:tcW w:w="97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4"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7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Financial Statement Schedules</w:t>
            </w:r>
            <w:r>
              <w:rPr>
                <w:rFonts w:ascii="Times New Roman;Times;Serif" w:hAnsi="Times New Roman;Times;Serif"/>
                <w:b w:val="false"/>
                <w:i w:val="false"/>
                <w:caps w:val="false"/>
                <w:smallCaps w:val="false"/>
                <w:sz w:val="20"/>
              </w:rPr>
              <w:t>. All schedules were omitted from the Original Filing because they were not applicable or the required information was shown in the financial statements or notes thereto.</w:t>
            </w:r>
          </w:p>
        </w:tc>
      </w:tr>
      <w:tr>
        <w:trPr/>
        <w:tc>
          <w:tcPr>
            <w:tcW w:w="234"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caps w:val="false"/>
                <w:smallCaps w:val="false"/>
              </w:rPr>
            </w:pPr>
            <w:r>
              <w:rPr>
                <w:caps w:val="false"/>
                <w:smallCaps w:val="false"/>
              </w:rPr>
              <w:t> </w:t>
            </w:r>
          </w:p>
        </w:tc>
        <w:tc>
          <w:tcPr>
            <w:tcW w:w="97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4"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7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 The exhibits listed on the Exhibit Index of the Original Filing.</w:t>
            </w:r>
          </w:p>
        </w:tc>
      </w:tr>
      <w:tr>
        <w:trPr/>
        <w:tc>
          <w:tcPr>
            <w:tcW w:w="234"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caps w:val="false"/>
                <w:smallCaps w:val="false"/>
              </w:rPr>
            </w:pPr>
            <w:r>
              <w:rPr>
                <w:caps w:val="false"/>
                <w:smallCaps w:val="false"/>
              </w:rPr>
              <w:t> </w:t>
            </w:r>
          </w:p>
        </w:tc>
        <w:tc>
          <w:tcPr>
            <w:tcW w:w="975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19" w:type="dxa"/>
            <w:tcBorders/>
            <w:vAlign w:val="center"/>
          </w:tcPr>
          <w:p>
            <w:pPr>
              <w:pStyle w:val="TableContents"/>
              <w:bidi w:val="0"/>
              <w:spacing w:before="0" w:after="283"/>
              <w:jc w:val="left"/>
              <w:rPr>
                <w:caps w:val="false"/>
                <w:smallCaps w:val="false"/>
              </w:rPr>
            </w:pPr>
            <w:r>
              <w:rPr>
                <w:caps w:val="false"/>
                <w:smallCaps w:val="false"/>
              </w:rPr>
              <w:t> </w:t>
            </w:r>
          </w:p>
        </w:tc>
        <w:tc>
          <w:tcPr>
            <w:tcW w:w="97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 list in the Exhibit Index immediately preceding the signature page of this Amendment is being filed as part of this Amendment.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93"/>
        <w:gridCol w:w="60"/>
        <w:gridCol w:w="9352"/>
      </w:tblGrid>
      <w:tr>
        <w:trPr/>
        <w:tc>
          <w:tcPr>
            <w:tcW w:w="793"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color w:val="0000EE"/>
                  <w:sz w:val="20"/>
                </w:rPr>
                <w:t>Stock Purchase Agreement, dated March 22, 2017, by and between Wrap Technologies, LLC, Petro River Oil Corp., and Megawest Energy Montana Corp (incorporated by reference to Exhibit 2.1 to the Company’s Registration Statement on Form S-1 filed with the Securities and Exchange Commission on April 17, 2017).</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color w:val="0000EE"/>
                  <w:sz w:val="20"/>
                </w:rPr>
                <w:t>Merger Agreement between Wrap Technologies, LLC and Megawest Energy Montana Corp., dated March 30, 2017 (incorporated by reference to Exhibit 2.2 to the Company’s Registration Statement on Form S-1 filed with the Securities and Exchange Commission on April 17, 2017).</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color w:val="0000EE"/>
                  <w:sz w:val="20"/>
                </w:rPr>
                <w:t>Asset Purchase Agreement, dated as of February 18, 2025, by and between Wrap Technologies, Inc. and W1 Global, LLC Plan (incorporated by reference to Exhibit 2.1 to the Company’s Current Report on Form 8-K filed with the Securities and Exchange Commission on February 24, 2025).</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color w:val="0000EE"/>
                  <w:sz w:val="20"/>
                </w:rPr>
                <w:t>Amended and Restated Certificate of Incorporation of Wrap Technologies, Inc. (incorporated by reference to Exhibit 3.1 to the Company’s Registration Statement on Form S-1 filed with the Securities and Exchange Commission on April 17, 2017).</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color w:val="0000EE"/>
                  <w:sz w:val="20"/>
                </w:rPr>
                <w:t>Amended and Restated Bylaws of Wrap Technologies, Inc. (incorporated by reference to Exhibit 3.1 to the Company’s Current Report on Form 8-K filed with the Securities and Exchange Commission on February 10, 2023).</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color w:val="0000EE"/>
                  <w:sz w:val="20"/>
                </w:rPr>
                <w:t>Amendment No.1 to the Amended and Restated Bylaws of Wrap Technologies, Inc. (incorporated by reference to Exhibit 3.1 to the Company’s Current Report on Form 8-K filed with the Securities and Exchange Commission on December 13, 2023).</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color w:val="0000EE"/>
                  <w:sz w:val="20"/>
                </w:rPr>
                <w:t>Certificate of Designations of Series A Convertible Preferred Stock (incorporated by reference to Exhibit 3.1 to the Company’s Current Report on Form 8-K filed with the Securities and Exchange Commission on June 30, 2023).</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color w:val="0000EE"/>
                  <w:sz w:val="20"/>
                </w:rPr>
                <w:t>Certificate of Amendment of Certificate of Designations of Series A Convertible Preferred Stock. (incorporated by reference to Exhibit 3.1 to the Company’s Current Report on Form 8-K filed with the Securities and Exchange Commission on August 23, 2024).</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color w:val="0000EE"/>
                  <w:sz w:val="20"/>
                </w:rPr>
                <w:t>Certificate of Amendment of Certificate of Designations of Series A Convertible Preferred Stock (incorporated by reference to Exhibit 3.2 to the Company’s Quarterly Report on Form 10-Q filed with the Securities and Exchange Commission on October 15, 2024).</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color w:val="0000EE"/>
                  <w:sz w:val="20"/>
                </w:rPr>
                <w:t>Certificate of Amendment of Certificate of Designations of Series A Convertible Preferred Stock (incorporated by reference to Exhibit 3.1 to the Company’s Current Report on Form 8-K filed with the Securities and Exchange Commission on December 2, 2024).</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color w:val="0000EE"/>
                  <w:sz w:val="20"/>
                </w:rPr>
                <w:t>Certificate of Amendment of Certificate of Designations of Series A Convertible Preferred Stock (incorporated by reference to Exhibit 3.1 to the Company’s Current Report on Form 8-K filed with the Securities and Exchange Commission on December 9, 2024).</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color w:val="0000EE"/>
                  <w:sz w:val="20"/>
                </w:rPr>
                <w:t>Form of Common Stock Certificate (incorporated by reference to Exhibit 4.1 to the Company’s Registration Statement on Form S-1/A filed with the Securities and Exchange Commission on May 30, 2017).</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color w:val="0000EE"/>
                  <w:sz w:val="20"/>
                </w:rPr>
                <w:t>Form of Investor Warrant, dated October 30, 2018 (incorporated by reference to Exhibit 4.1 to the Company’s Current Report on Form 8-K filed with the Securities and Exchange Commission on November 5, 2018).</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color w:val="0000EE"/>
                  <w:sz w:val="20"/>
                </w:rPr>
                <w:t>Form of Placement Agent Warrant, dated October 30, 2018 (incorporated by reference to Exhibit 4.2 to the Company’s Current Report on Form 8-K filed with the Securities and Exchange Commission on November 5, 2018).</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color w:val="0000EE"/>
                  <w:sz w:val="20"/>
                </w:rPr>
                <w:t>Form of Investor Warrant, dated June 18, 2019 (incorporated by reference to Exhibit 4.1 to the Company’s Current Report on Form 8-K filed with the Securities and Exchange Commission on June 18, 2019).</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color w:val="0000EE"/>
                  <w:sz w:val="20"/>
                </w:rPr>
                <w:t>Form of Offering Agent Warrant, dated June 18, 2019 (incorporated by reference to Exhibit 4.2 to the Company’s Current Report on Form 8-K filed with the Securities and Exchange Commission on June 18, 2019.</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color w:val="0000EE"/>
                  <w:sz w:val="20"/>
                </w:rPr>
                <w:t>Form of Warrant Agreement (incorporated by reference to Exhibit 4.1 to the Company’s Current Report on Form 8-K filed with the Securities and Exchange Commission on June 2, 2020).</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color w:val="0000EE"/>
                  <w:sz w:val="20"/>
                </w:rPr>
                <w:t>Form of Placement Agent Warrant (incorporated by reference to Exhibit 4.1 to the Company’s Current Report on Form 8-K filed with the Securities and Exchange Commission on June 30, 2023).</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color w:val="0000EE"/>
                  <w:sz w:val="20"/>
                </w:rPr>
                <w:t>Description of Securities (incorporated by reference to Exhibit 4.8 to the Company’s Annual Report on Form 10-K filed with the Securities and Exchange Commission on August 28, 2024).</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color w:val="0000EE"/>
                  <w:sz w:val="20"/>
                </w:rPr>
                <w:t>Form of Warrant (incorporated by reference to Exhibit 4.1 to the Company’s Current Report on Form 8-K filed with the Securities and Exchange Commission on February 28, 2025)</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color w:val="0000EE"/>
                  <w:sz w:val="20"/>
                </w:rPr>
                <w:t>Amended and Restated Intellectual Property License Agreement, dated September 30, 2016, by and between Wrap Technologies, LLC and Syzygy Licensing LLC (incorporated by reference to Exhibit 10.1 to the Company’s Registration Statement on Form S-1 filed with the Securities and Exchange Commission on April 17, 2017).</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color w:val="0000EE"/>
                  <w:sz w:val="20"/>
                </w:rPr>
                <w:t>Wrap Technologies, Inc. 2017 Equity Compensation Plan (incorporated by reference to Exhibit 10.2 to the Company’s Registration Statement on Form S-1 filed with the Securities and Exchange Commission on April 17, 2017).</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color w:val="0000EE"/>
                  <w:sz w:val="20"/>
                </w:rPr>
                <w:t>Amendment No. 1 to the Wrap Technologies, Inc. 2017 Equity Compensation Plan (incorporated by reference to Exhibit 10.1 to the Company’s Registration Statement on Form S-8 filed with the Securities and Exchange Commission on June 24, 2019).</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color w:val="0000EE"/>
                  <w:sz w:val="20"/>
                </w:rPr>
                <w:t>Amendment No. 2 to the Wrap Technologies, Inc. 2017 Equity Compensation Plan (incorporated by reference to Exhibit 10.1 to the Company’s Registration Statement on Form S-8 filed with the Securities and Exchange Commission on June 17, 2020).</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color w:val="0000EE"/>
                  <w:sz w:val="20"/>
                </w:rPr>
                <w:t>Amendment No. 3 to the Wrap Technologies, Inc. 2017 Equity Compensation Plan (incorporated by reference to Exhibit 10.1 to the Registration Statement on Form S-8 filed with the Securities and Exchange Commission on November 5, 2021).</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w:anchor="ex10-2_4.htm">
              <w:r>
                <w:rPr>
                  <w:rStyle w:val="InternetLink"/>
                  <w:rFonts w:ascii="Times New Roman;Times;Serif" w:hAnsi="Times New Roman;Times;Serif"/>
                  <w:b w:val="false"/>
                  <w:i w:val="false"/>
                  <w:caps w:val="false"/>
                  <w:smallCaps w:val="false"/>
                  <w:sz w:val="20"/>
                </w:rPr>
                <w:t>Amendment No. 4 to the Wrap Technologies, Inc. 2017 Equity Compensation Plan.</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color w:val="0000EE"/>
                  <w:sz w:val="20"/>
                </w:rPr>
                <w:t>Fifth Amendment to the Wrap Technologies, Inc. 2017 Equity Compensation Plan (incorporated by reference to Exhibit 10.1 to the Company’s Current Report on Form 8-K filed with the Securities and Exchange Commission on December 26, 2024).</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color w:val="0000EE"/>
                  <w:sz w:val="20"/>
                </w:rPr>
                <w:t>Form of At-Will Employment, Confidential Information, Non-Compete/ Non-Solicitation, Invention Assignment, and Arbitration Agreement between the Key Employees and the Company dated December 14, 2020 (incorporated by reference to Exhibit 10.1 to the Current Report on Form 8-K filed with the Securities and Exchange Commission on September 14, 2020).</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color w:val="0000EE"/>
                  <w:sz w:val="20"/>
                </w:rPr>
                <w:t>Cooperation Agreement by and between the Company and Elwood G. Norris and certain of his affiliates dated March 4, 2021 (incorporated by reference to Exhibit 10.1 to the Company’s Current Report on Form 8-K filed with the Securities and Exchange Commission on March 9, 2021).</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color w:val="0000EE"/>
                  <w:sz w:val="20"/>
                </w:rPr>
                <w:t>Consulting Agreement between the Company and LWV Consulting, LLC, dated January 24, 2022 (incorporated by reference to Exhibit 10.2 to the Company’s Current Report on Form 8-K filed with the Securities and Exchange Commission filed on January 26, 2022).</w:t>
              </w:r>
            </w:hyperlink>
          </w:p>
        </w:tc>
      </w:tr>
      <w:tr>
        <w:trPr/>
        <w:tc>
          <w:tcPr>
            <w:tcW w:w="79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2" w:type="dxa"/>
            <w:tcBorders/>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color w:val="0000EE"/>
                  <w:sz w:val="20"/>
                </w:rPr>
                <w:t>Consulting Agreement between the Company and LRHIRSH, LLC, dated January 24, 2022 (incorporated by reference to Exhibit 10.3 to the Company’s Current Report on Form 8-K filed with the Securities and Exchange Commission on January 26, 2022).</w:t>
              </w:r>
            </w:hyperlink>
          </w:p>
        </w:tc>
      </w:tr>
    </w:tbl>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2"/>
        <w:gridCol w:w="60"/>
        <w:gridCol w:w="9393"/>
      </w:tblGrid>
      <w:tr>
        <w:trPr/>
        <w:tc>
          <w:tcPr>
            <w:tcW w:w="752"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color w:val="0000EE"/>
                  <w:sz w:val="20"/>
                </w:rPr>
                <w:t>Employment Agreement between Wrap Technologies, Inc. and TJ Kennedy, dated April 13, 2022 (incorporated by reference to Exhibit 10.1 to the Company’s Current Report on Form 8-K filed with the Securities and Exchange Commission on April 19, 2022).</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color w:val="0000EE"/>
                  <w:sz w:val="20"/>
                </w:rPr>
                <w:t>Employment Agreement between Wrap Technologies, Inc. and Kevin Mullins, dated April 13, 2022. (incorporated by reference to Exhibit 10.2 to the Company’s Current Report on Form 8-K filed with the Securities and Exchange Commission on April 19, 2022).</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color w:val="0000EE"/>
                  <w:sz w:val="20"/>
                </w:rPr>
                <w:t>First Amendment to Employment Agreement, by and between Kevin Mullins and Wrap Technologies, Inc. dated January 14, 2024 (incorporated by reference to Exhibit 10.2 to the Company’s Current Report on Form 8-K filed with the Securities and Exchange Commission on January 19, 2024).</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color w:val="0000EE"/>
                  <w:sz w:val="20"/>
                </w:rPr>
                <w:t>Letter Agreement by and between Wrap Technologies, Inc. and Chris DeAlmeida, executed July 20, 2022 (incorporated by reference to Exhibit 10.1 to the Company’s Current Report on Form 8-K filed with the Securities and Exchange Commission on July 25, 2022).</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color w:val="0000EE"/>
                  <w:sz w:val="20"/>
                </w:rPr>
                <w:t>Professional Services and Technology Acquisition Agreement, dated November 22, 2022, by and between Wrap Technologies, Inc., Lumeto, Inc. and Spatial Industries Group, Inc (incorporated by reference to Exhibit 10.1 to the Company’s Current Report on Form 8-K filed with the Securities and Exchange Commission on November 29, 2022).</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color w:val="0000EE"/>
                  <w:sz w:val="20"/>
                </w:rPr>
                <w:t>Separation Agreement between the Company and Mr. Kennedy (incorporated by reference to Exhibit 10.1 to the Company’s Current Report on Form 8-K filed with the Securities and Exchange Commission on April 19, 2023).</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color w:val="0000EE"/>
                  <w:sz w:val="20"/>
                </w:rPr>
                <w:t>Severance Agreement and Release of Claims, dated May 8, 2023, by and between Wrap Technologies, Inc. and Glenn Hickman (incorporated by reference to Exhibit 10.1 to the Company’s Quarterly Report on Form 10-Q filed with the Securities and Exchange Commission on May 10, 2023).</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color w:val="0000EE"/>
                  <w:sz w:val="20"/>
                </w:rPr>
                <w:t>Form of Securities Purchase Agreement (incorporated by reference to Exhibit 10.1 to the Company’s Current Report on Form 8-K filed with the Securities and Exchange Commission on June 30, 2023).</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color w:val="0000EE"/>
                  <w:sz w:val="20"/>
                </w:rPr>
                <w:t>Engagement Letter, dated June 29, 2023 by and between Wrap Technologies, Inc. and Katalyst Securities LLC (incorporated by reference to Exhibit 10.2 to the Company’s Current Report on Form 8-K filed with the Securities and Exchange Commission on June 30, 2023).</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color w:val="0000EE"/>
                  <w:sz w:val="20"/>
                </w:rPr>
                <w:t>Membership Interest Purchase Agreement, dated August 9, 2023, by and among Wrap Technologies, Inc., Buford Ortale, and the sellers signatory thereto (incorporated by reference to Exhibit 10.1 to the Company’s Current Report on Form 8-K filed with the Securities and Exchange Commission on August 21, 2023).</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color w:val="0000EE"/>
                  <w:sz w:val="20"/>
                </w:rPr>
                <w:t>Employment Agreement by and between Scot Cohen and Wrap Technologies, Inc. dated October 12, 2023 (incorporated by reference to Exhibit 10.1 to the Company’s Current Report on Form 8-K filed with the Securities and Exchange Commission on October 16, 2023).</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color w:val="0000EE"/>
                  <w:sz w:val="20"/>
                </w:rPr>
                <w:t>First Amendment to Employment Agreement, by and between Scot Cohen and Wrap Technologies, Inc. dated January 14, 2024 (incorporated by reference to Exhibit 10.1 to the Company’s Current Report on Form 8-K filed with the Securities and Exchange Commission on January 19, 2024).</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color w:val="0000EE"/>
                  <w:sz w:val="20"/>
                </w:rPr>
                <w:t>Employment Agreement, by and between the Company and Jared Novick, effective as of December 26, 2023 (incorporated by reference to Exhibit 10.1 to the Company’s Current Report on Form 8-K filed with the Securities and Exchange Commission on December 26, 2023).</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color w:val="0000EE"/>
                  <w:sz w:val="20"/>
                </w:rPr>
                <w:t>Separation Agreement and Mutual Release of Claims, dated January 5, 2024, by and between Wrap Technologies, Inc. and Chris DeAlmeida (incorporated by reference to Exhibit 10.1 to the Company’s Current Report on Form 8-K filed with the Securities and Exchange Commission on January 5, 2024).</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color w:val="0000EE"/>
                  <w:sz w:val="20"/>
                </w:rPr>
                <w:t>Form of Amendment, dated August 19, 2024, by and between Wrap Technologies, Inc. and the investors party thereto (incorporated by reference to Exhibit 10.1 to the Company’s Current Report on Form 8-K filed with the Securities and Exchange Commission on August 23, 2024).</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color w:val="0000EE"/>
                  <w:sz w:val="20"/>
                </w:rPr>
                <w:t>Form of Amendment, dated October 14, 2024, by and between Wrap Technologies, Inc. and the investors party thereto (incorporated by reference to Exhibit 10.3 to the Company’s Quarterly Report on Form 10-Q filed with the Securities and Exchange Commission on October 15, 2024).</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color w:val="0000EE"/>
                  <w:sz w:val="20"/>
                </w:rPr>
                <w:t>Form of Amendment and Agreement, dated November 25, 2024, by and between Wrap Technologies, Inc. and the investors party thereto (incorporated by reference to Exhibit 10.1 to the Company’s Current Report on Form 8-K filed with the Securities and Exchange Commission on December 2, 2024).</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color w:val="0000EE"/>
                  <w:sz w:val="20"/>
                </w:rPr>
                <w:t>Form of Amendment and Agreement, dated November 25, 2024, by and between Wrap Technologies, Inc. and the investors party thereto (incorporated by reference to Exhibit 10.1 to the Company’s Current Report on Form 8-K filed with the Securities and Exchange Commission on December 9, 2024).</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color w:val="0000EE"/>
                  <w:sz w:val="20"/>
                </w:rPr>
                <w:t>Securities Purchase Agreement, dated February 24, 2025, by and among the Company and the investors signatory thereto (incorporated by reference to Exhibit 10.1 to the Company’s Current Report on Form 8-K filed with the Securities and Exchange Commission on February 28, 2025).</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color w:val="0000EE"/>
                  <w:sz w:val="20"/>
                </w:rPr>
                <w:t>Registration Rights Agreement, dated February 24, 2025, by and among the Company and the investors signatory thereto (incorporated by reference to Exhibit 10.2 to the Company’s Current Report on Form 8-K filed with the Securities and Exchange Commission on February 28, 2025).</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color w:val="0000EE"/>
                  <w:sz w:val="20"/>
                </w:rPr>
                <w:t>Code of Ethics of the Registrant Applicable to Directors, Officers and Employees (incorporated by reference to Exhibit 14.1 to the Company’s Annual Report on Form 10-K filed with the Securities and Exchange Commission on March 4, 2021).</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color w:val="0000EE"/>
                  <w:sz w:val="20"/>
                </w:rPr>
                <w:t>Wrap Technologies, Inc. Insider Trading Policy.</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color w:val="0000EE"/>
                  <w:sz w:val="20"/>
                </w:rPr>
                <w:t>Subsidiaries of Wrap Technologies, Inc. (incorporated by reference to Exhibit 21.1 to the Company’s Annual Report on Form 10-K filed with the Securities and Exchange Commission on March 4, 2021).</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left"/>
              <w:rPr/>
            </w:pPr>
            <w:hyperlink r:id="rId56">
              <w:r>
                <w:rPr>
                  <w:rStyle w:val="InternetLink"/>
                  <w:rFonts w:ascii="Times New Roman;Times;Serif" w:hAnsi="Times New Roman;Times;Serif"/>
                  <w:b w:val="false"/>
                  <w:i w:val="false"/>
                  <w:caps w:val="false"/>
                  <w:smallCaps w:val="false"/>
                  <w:color w:val="0000EE"/>
                  <w:sz w:val="20"/>
                </w:rPr>
                <w:t>Consent of Independent Registered Public Accounting Firm - HTL International, LLC.</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pursuant to Rule 13a-14(a) under the Securities Exchange Act of 1934.</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Section 1350 Certification - Principal Executive Officer and Principal Financial Officer.</w:t>
              </w:r>
            </w:hyperlink>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color w:val="0000EE"/>
                  <w:sz w:val="20"/>
                </w:rPr>
                <w:t>Wrap Technologies, Inc. Compensation Recovery Policy (incorporated by reference to Exhibit 97.1 to the Company’s Annual Report on Form 10-K filed with the Securities and Exchange Commission on August 28, 2024).</w:t>
              </w:r>
            </w:hyperlink>
          </w:p>
        </w:tc>
      </w:tr>
      <w:tr>
        <w:trPr/>
        <w:tc>
          <w:tcPr>
            <w:tcW w:w="75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0205" w:type="dxa"/>
            <w:gridSpan w:val="3"/>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Extensible Business Reporting Language (XBRL) Exhibits*</w:t>
            </w:r>
          </w:p>
        </w:tc>
      </w:tr>
      <w:tr>
        <w:trPr/>
        <w:tc>
          <w:tcPr>
            <w:tcW w:w="10205" w:type="dxa"/>
            <w:gridSpan w:val="3"/>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because its XBRL tags are embedded within the Inline XBRL document</w:t>
            </w:r>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9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 and include in Exhibit 101)</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Management contract or compensatory plan or arrangement.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Previously filed.</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portions of this exhibit (indicated by “[***]”) have been omitted as the Company has determined (i) the omitted information is not material and (ii) the omitted information would likely cause harm to the Company if publicly disclosed.</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concurrently herewith.</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Previously furnished.</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6" w:name="v_009"/>
      <w:bookmarkEnd w:id="46"/>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 in the City of Miami, State of Florida, on the 25th day of April, 2025.</w:t>
      </w:r>
    </w:p>
    <w:p>
      <w:pPr>
        <w:pStyle w:val="TextBody"/>
        <w:bidi w:val="0"/>
        <w:jc w:val="left"/>
        <w:rPr>
          <w:caps w:val="false"/>
          <w:smallCaps w:val="false"/>
        </w:rPr>
      </w:pPr>
      <w:r>
        <w:rPr>
          <w:caps w:val="false"/>
          <w:smallCaps w:val="false"/>
        </w:rPr>
        <w:t> </w:t>
      </w:r>
    </w:p>
    <w:tbl>
      <w:tblPr>
        <w:tblW w:w="6300" w:type="dxa"/>
        <w:jc w:val="left"/>
        <w:tblInd w:w="0" w:type="dxa"/>
        <w:tblLayout w:type="fixed"/>
        <w:tblCellMar>
          <w:top w:w="0" w:type="dxa"/>
          <w:left w:w="0" w:type="dxa"/>
          <w:bottom w:w="0" w:type="dxa"/>
          <w:right w:w="0" w:type="dxa"/>
        </w:tblCellMar>
      </w:tblPr>
      <w:tblGrid>
        <w:gridCol w:w="1700"/>
        <w:gridCol w:w="410"/>
        <w:gridCol w:w="4190"/>
      </w:tblGrid>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460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left"/>
              <w:rPr>
                <w:caps w:val="false"/>
                <w:smallCaps w:val="false"/>
              </w:rPr>
            </w:pPr>
            <w:r>
              <w:rPr>
                <w:caps w:val="false"/>
                <w:smallCaps w:val="false"/>
              </w:rPr>
              <w:t> </w:t>
            </w:r>
          </w:p>
        </w:tc>
        <w:tc>
          <w:tcPr>
            <w:tcW w:w="41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25, 2025</w:t>
            </w:r>
          </w:p>
        </w:tc>
        <w:tc>
          <w:tcPr>
            <w:tcW w:w="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419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 Cohen</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left"/>
              <w:rPr>
                <w:caps w:val="false"/>
                <w:smallCaps w:val="false"/>
              </w:rPr>
            </w:pPr>
            <w:r>
              <w:rPr>
                <w:caps w:val="false"/>
                <w:smallCaps w:val="false"/>
              </w:rPr>
              <w:t> </w:t>
            </w:r>
          </w:p>
        </w:tc>
        <w:tc>
          <w:tcPr>
            <w:tcW w:w="4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left"/>
              <w:rPr>
                <w:caps w:val="false"/>
                <w:smallCaps w:val="false"/>
              </w:rPr>
            </w:pPr>
            <w:r>
              <w:rPr>
                <w:caps w:val="false"/>
                <w:smallCaps w:val="false"/>
              </w:rPr>
              <w:t> </w:t>
            </w:r>
          </w:p>
        </w:tc>
        <w:tc>
          <w:tcPr>
            <w:tcW w:w="419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Interim Principal</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Officer and Principal Accounting Officer)</w:t>
            </w:r>
          </w:p>
        </w:tc>
      </w:tr>
    </w:tbl>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47" w:name="ex10-2_4.htm"/>
      <w:bookmarkStart w:id="48" w:name="ksex102_4"/>
      <w:bookmarkEnd w:id="47"/>
      <w:bookmarkEnd w:id="48"/>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4 TO</w:t>
        <w:br/>
        <w:t>THE WRAP TECHNOLOGIES, INC.</w:t>
        <w:br/>
        <w:t>2017 EQUITY COMPENSATION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and stockholders of Wrap Technologies, Inc.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have adopted the Amended Wrap Technologies, Inc. Amended 2017 Equity Compensation Plan (the “</w:t>
      </w:r>
      <w:r>
        <w:rPr>
          <w:rFonts w:ascii="Times New Roman;Times;Serif" w:hAnsi="Times New Roman;Times;Serif"/>
          <w:b w:val="false"/>
          <w:i/>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4(a) of the Plan, a total of 7,500,000 shares of the common stock, par value $0.0001 per share, of the Company (the “</w:t>
      </w:r>
      <w:r>
        <w:rPr>
          <w:rFonts w:ascii="Times New Roman;Times;Serif" w:hAnsi="Times New Roman;Times;Serif"/>
          <w:b w:val="false"/>
          <w:i/>
          <w:caps w:val="false"/>
          <w:smallCaps w:val="false"/>
          <w:sz w:val="20"/>
        </w:rPr>
        <w:t>Common Stock</w:t>
      </w:r>
      <w:r>
        <w:rPr>
          <w:rFonts w:ascii="Times New Roman;Times;Serif" w:hAnsi="Times New Roman;Times;Serif"/>
          <w:b w:val="false"/>
          <w:i w:val="false"/>
          <w:caps w:val="false"/>
          <w:smallCaps w:val="false"/>
          <w:sz w:val="20"/>
        </w:rPr>
        <w:t>”) have been reserved for issuance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increase the number of shares issuable under the Plan to 9,000,000 shares;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Sections 12(a) and 13(a) of the Plan permits the Company’s Board of Directors to amend the Plan from time to time to increase the number of shares of Common Stock authorized for issuance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following amendments and modifications are hereby made a part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 </w:t>
      </w:r>
      <w:r>
        <w:rPr>
          <w:rFonts w:ascii="Times New Roman;Times;Serif" w:hAnsi="Times New Roman;Times;Serif"/>
          <w:b w:val="false"/>
          <w:i w:val="false"/>
          <w:caps w:val="false"/>
          <w:smallCaps w:val="false"/>
          <w:sz w:val="20"/>
        </w:rPr>
        <w:t>Section 4(a) of the Plan shall be, and hereby is, amended to increase the aggregate number of shares of Common Stock issuable thereunder to 9,000,000, and such section is thereby to read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4. </w:t>
      </w:r>
      <w:r>
        <w:rPr>
          <w:rFonts w:ascii="Times New Roman;Times;Serif" w:hAnsi="Times New Roman;Times;Serif"/>
          <w:b/>
          <w:i w:val="false"/>
          <w:smallCaps/>
          <w:sz w:val="20"/>
        </w:rPr>
        <w:t>Shares Subject To The Plan</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Share Reserve</w:t>
      </w:r>
      <w:r>
        <w:rPr>
          <w:rFonts w:ascii="Times New Roman;Times;Serif" w:hAnsi="Times New Roman;Times;Serif"/>
          <w:b w:val="false"/>
          <w:i w:val="false"/>
          <w:caps w:val="false"/>
          <w:smallCaps w:val="false"/>
          <w:sz w:val="20"/>
        </w:rPr>
        <w:t>. Subject to the provisions of Section 12 relating to adjustments upon changes in Common Stock, the total number of shares of Common Stock that may be issued pursuant to Stock Awards shall not exceed in the aggregate of 9,000,000 shares (the “</w:t>
      </w:r>
      <w:r>
        <w:rPr>
          <w:rFonts w:ascii="Times New Roman;Times;Serif" w:hAnsi="Times New Roman;Times;Serif"/>
          <w:b/>
          <w:i w:val="false"/>
          <w:caps w:val="false"/>
          <w:smallCaps w:val="false"/>
          <w:sz w:val="20"/>
          <w:u w:val="single"/>
        </w:rPr>
        <w:t>Reserved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2. </w:t>
      </w:r>
      <w:r>
        <w:rPr>
          <w:rFonts w:ascii="Times New Roman;Times;Serif" w:hAnsi="Times New Roman;Times;Serif"/>
          <w:b w:val="false"/>
          <w:i w:val="false"/>
          <w:caps w:val="false"/>
          <w:smallCaps w:val="false"/>
          <w:sz w:val="20"/>
        </w:rPr>
        <w:t>In all other respects, the Plan, as amended, is hereby ratified and confirmed and shall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executed this Amendment No. 4 to the Wrap Technologies, Inc. Equity Compensation Plan as of June 23, 2022.</w:t>
      </w:r>
    </w:p>
    <w:p>
      <w:pPr>
        <w:pStyle w:val="TextBody"/>
        <w:bidi w:val="0"/>
        <w:spacing w:before="0" w:after="0"/>
        <w:ind w:left="0" w:right="0" w:firstLine="720"/>
        <w:jc w:val="both"/>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75"/>
        <w:gridCol w:w="545"/>
        <w:gridCol w:w="2225"/>
      </w:tblGrid>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WRAP TECHNOLOGIES,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2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James Barnes</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Barnes</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49" w:name="ex31-1.htm"/>
      <w:bookmarkStart w:id="50" w:name="ksex311"/>
      <w:bookmarkEnd w:id="49"/>
      <w:bookmarkEnd w:id="5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UNDER SECTION 302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Scot Cohen,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Amendment No. 1 to the Annual Report on Form 10-K of Wrap Technologies, Inc.;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25,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130"/>
        <w:gridCol w:w="75"/>
      </w:tblGrid>
      <w:tr>
        <w:trPr/>
        <w:tc>
          <w:tcPr>
            <w:tcW w:w="1013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 Cohen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(Principal Executive Officer and Interim Principal Financial Officer and Principal Accounting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02924/000165495417003384/ex2-1.htm" TargetMode="External"/><Relationship Id="rId4" Type="http://schemas.openxmlformats.org/officeDocument/2006/relationships/hyperlink" Target="https://www.sec.gov/Archives/edgar/data/1702924/000165495417003384/ex2-2.htm" TargetMode="External"/><Relationship Id="rId5" Type="http://schemas.openxmlformats.org/officeDocument/2006/relationships/hyperlink" Target="https://www.sec.gov/Archives/edgar/data/1702924/000143774925004882/ex_781460.htm" TargetMode="External"/><Relationship Id="rId6" Type="http://schemas.openxmlformats.org/officeDocument/2006/relationships/hyperlink" Target="https://www.sec.gov/Archives/edgar/data/1702924/000165495417003384/ex3-1.htm" TargetMode="External"/><Relationship Id="rId7" Type="http://schemas.openxmlformats.org/officeDocument/2006/relationships/hyperlink" Target="https://www.sec.gov/Archives/edgar/data/1702924/000185173423000054/ex_474186.htm" TargetMode="External"/><Relationship Id="rId8" Type="http://schemas.openxmlformats.org/officeDocument/2006/relationships/hyperlink" Target="https://www.sec.gov/Archives/edgar/data/1702924/000143774923034593/ex_607393.htm" TargetMode="External"/><Relationship Id="rId9" Type="http://schemas.openxmlformats.org/officeDocument/2006/relationships/hyperlink" Target="https://www.sec.gov/Archives/edgar/data/1702924/000143774923019053/ex_540251.htm" TargetMode="External"/><Relationship Id="rId10" Type="http://schemas.openxmlformats.org/officeDocument/2006/relationships/hyperlink" Target="https://www.sec.gov/Archives/edgar/data/1702924/000143774924027679/ex_717919.htm" TargetMode="External"/><Relationship Id="rId11" Type="http://schemas.openxmlformats.org/officeDocument/2006/relationships/hyperlink" Target="https://www.sec.gov/Archives/edgar/data/1702924/000143774924031161/ex_732361.htm" TargetMode="External"/><Relationship Id="rId12" Type="http://schemas.openxmlformats.org/officeDocument/2006/relationships/hyperlink" Target="https://www.sec.gov/Archives/edgar/data/1702924/000143774924036487/ex_753196.htm" TargetMode="External"/><Relationship Id="rId13" Type="http://schemas.openxmlformats.org/officeDocument/2006/relationships/hyperlink" Target="https://www.sec.gov/Archives/edgar/data/1702924/000143774924036977/ex_755176.htm" TargetMode="External"/><Relationship Id="rId14" Type="http://schemas.openxmlformats.org/officeDocument/2006/relationships/hyperlink" Target="https://www.sec.gov/Archives/edgar/data/1702924/000165495417005181/ex4-1.htm" TargetMode="External"/><Relationship Id="rId15" Type="http://schemas.openxmlformats.org/officeDocument/2006/relationships/hyperlink" Target="https://www.sec.gov/Archives/edgar/data/1702924/000165495418011996/ex4-1.htm" TargetMode="External"/><Relationship Id="rId16" Type="http://schemas.openxmlformats.org/officeDocument/2006/relationships/hyperlink" Target="https://www.sec.gov/Archives/edgar/data/1702924/000165495418011996/ex4-2.htm" TargetMode="External"/><Relationship Id="rId17" Type="http://schemas.openxmlformats.org/officeDocument/2006/relationships/hyperlink" Target="https://www.sec.gov/Archives/edgar/data/1702924/000165495419007441/ex4-1.htm" TargetMode="External"/><Relationship Id="rId18" Type="http://schemas.openxmlformats.org/officeDocument/2006/relationships/hyperlink" Target="https://www.sec.gov/Archives/edgar/data/1702924/000165495419007441/ex4-2.htm" TargetMode="External"/><Relationship Id="rId19" Type="http://schemas.openxmlformats.org/officeDocument/2006/relationships/hyperlink" Target="https://www.sec.gov/Archives/edgar/data/1702924/000165495420006265/ex4-1.htm" TargetMode="External"/><Relationship Id="rId20" Type="http://schemas.openxmlformats.org/officeDocument/2006/relationships/hyperlink" Target="https://www.sec.gov/Archives/edgar/data/1702924/000143774923019053/ex_540253.htm" TargetMode="External"/><Relationship Id="rId21" Type="http://schemas.openxmlformats.org/officeDocument/2006/relationships/hyperlink" Target="https://www.sec.gov/Archives/edgar/data/1702924/000143774924027942/ex_718610.htm" TargetMode="External"/><Relationship Id="rId22" Type="http://schemas.openxmlformats.org/officeDocument/2006/relationships/hyperlink" Target="https://www.sec.gov/Archives/edgar/data/1702924/000143774925005752/ex_784263.htm" TargetMode="External"/><Relationship Id="rId23" Type="http://schemas.openxmlformats.org/officeDocument/2006/relationships/hyperlink" Target="https://www.sec.gov/Archives/edgar/data/1702924/000165495417003384/ex10-1.htm" TargetMode="External"/><Relationship Id="rId24" Type="http://schemas.openxmlformats.org/officeDocument/2006/relationships/hyperlink" Target="https://www.sec.gov/Archives/edgar/data/1702924/000165495417003384/ex10-2.htm" TargetMode="External"/><Relationship Id="rId25" Type="http://schemas.openxmlformats.org/officeDocument/2006/relationships/hyperlink" Target="https://www.sec.gov/Archives/edgar/data/1702924/000165495419007594/ex10-1.htm" TargetMode="External"/><Relationship Id="rId26" Type="http://schemas.openxmlformats.org/officeDocument/2006/relationships/hyperlink" Target="https://www.sec.gov/Archives/edgar/data/1702924/000165495420006738/ex10-1.htm" TargetMode="External"/><Relationship Id="rId27" Type="http://schemas.openxmlformats.org/officeDocument/2006/relationships/hyperlink" Target="https://www.sec.gov/Archives/edgar/data/1702924/000185173421000041/ex_302752.htm" TargetMode="External"/><Relationship Id="rId28" Type="http://schemas.openxmlformats.org/officeDocument/2006/relationships/hyperlink" Target="https://www.sec.gov/Archives/edgar/data/1702924/000143774924038378/ex_760399.htm" TargetMode="External"/><Relationship Id="rId29" Type="http://schemas.openxmlformats.org/officeDocument/2006/relationships/hyperlink" Target="https://www.sec.gov/Archives/edgar/data/1702924/000165495420010068/ex10-1.htm" TargetMode="External"/><Relationship Id="rId30" Type="http://schemas.openxmlformats.org/officeDocument/2006/relationships/hyperlink" Target="https://www.sec.gov/Archives/edgar/data/1702924/000165495421002476/ex10-1.htm" TargetMode="External"/><Relationship Id="rId31" Type="http://schemas.openxmlformats.org/officeDocument/2006/relationships/hyperlink" Target="https://www.sec.gov/Archives/edgar/data/1702924/000185173422000050/ex_327867.htm" TargetMode="External"/><Relationship Id="rId32" Type="http://schemas.openxmlformats.org/officeDocument/2006/relationships/hyperlink" Target="https://www.sec.gov/Archives/edgar/data/1702924/000185173422000050/ex_327868.htm" TargetMode="External"/><Relationship Id="rId33" Type="http://schemas.openxmlformats.org/officeDocument/2006/relationships/hyperlink" Target="https://www.sec.gov/Archives/edgar/data/1702924/000185173422000203/ex_359936.htm" TargetMode="External"/><Relationship Id="rId34" Type="http://schemas.openxmlformats.org/officeDocument/2006/relationships/hyperlink" Target="https://www.sec.gov/Archives/edgar/data/1702924/000185173422000203/ex_359937.htm" TargetMode="External"/><Relationship Id="rId35" Type="http://schemas.openxmlformats.org/officeDocument/2006/relationships/hyperlink" Target="https://www.sec.gov/Archives/edgar/data/1702924/000143774924001738/ex_616951.htm" TargetMode="External"/><Relationship Id="rId36" Type="http://schemas.openxmlformats.org/officeDocument/2006/relationships/hyperlink" Target="https://www.sec.gov/Archives/edgar/data/1702924/000185173422000396/ex_399223.htm" TargetMode="External"/><Relationship Id="rId37" Type="http://schemas.openxmlformats.org/officeDocument/2006/relationships/hyperlink" Target="https://www.sec.gov/Archives/edgar/data/1702924/000185173422000705/ex_451370.htm" TargetMode="External"/><Relationship Id="rId38" Type="http://schemas.openxmlformats.org/officeDocument/2006/relationships/hyperlink" Target="https://www.sec.gov/Archives/edgar/data/1702924/000143774923010660/ex_502845.htm" TargetMode="External"/><Relationship Id="rId39" Type="http://schemas.openxmlformats.org/officeDocument/2006/relationships/hyperlink" Target="https://www.sec.gov/Archives/edgar/data/1702924/000143774923013651/ex_517312.htm" TargetMode="External"/><Relationship Id="rId40" Type="http://schemas.openxmlformats.org/officeDocument/2006/relationships/hyperlink" Target="https://www.sec.gov/Archives/edgar/data/1702924/000143774923019053/ex_540255.htm" TargetMode="External"/><Relationship Id="rId41" Type="http://schemas.openxmlformats.org/officeDocument/2006/relationships/hyperlink" Target="https://www.sec.gov/Archives/edgar/data/1702924/000143774923019053/ex_540252.htm" TargetMode="External"/><Relationship Id="rId42" Type="http://schemas.openxmlformats.org/officeDocument/2006/relationships/hyperlink" Target="https://www.sec.gov/Archives/edgar/data/1702924/000143774923024343/ex_562629.htm" TargetMode="External"/><Relationship Id="rId43" Type="http://schemas.openxmlformats.org/officeDocument/2006/relationships/hyperlink" Target="https://www.sec.gov/Archives/edgar/data/1702924/000143774923028307/ex_581194.htm" TargetMode="External"/><Relationship Id="rId44" Type="http://schemas.openxmlformats.org/officeDocument/2006/relationships/hyperlink" Target="https://www.sec.gov/Archives/edgar/data/1702924/000143774924001738/ex_616950.htm" TargetMode="External"/><Relationship Id="rId45" Type="http://schemas.openxmlformats.org/officeDocument/2006/relationships/hyperlink" Target="https://www.sec.gov/Archives/edgar/data/1702924/000143774923035589/ex_610987.htm" TargetMode="External"/><Relationship Id="rId46" Type="http://schemas.openxmlformats.org/officeDocument/2006/relationships/hyperlink" Target="https://www.sec.gov/Archives/edgar/data/1702924/000143774924000746/ex_612555.htm" TargetMode="External"/><Relationship Id="rId47" Type="http://schemas.openxmlformats.org/officeDocument/2006/relationships/hyperlink" Target="https://www.sec.gov/Archives/edgar/data/1702924/000143774924027679/ex_717920.htm" TargetMode="External"/><Relationship Id="rId48" Type="http://schemas.openxmlformats.org/officeDocument/2006/relationships/hyperlink" Target="https://www.sec.gov/Archives/edgar/data/1702924/000143774924031161/ex_732362.htm" TargetMode="External"/><Relationship Id="rId49" Type="http://schemas.openxmlformats.org/officeDocument/2006/relationships/hyperlink" Target="https://www.sec.gov/Archives/edgar/data/1702924/000143774924036487/ex_753197.htm" TargetMode="External"/><Relationship Id="rId50" Type="http://schemas.openxmlformats.org/officeDocument/2006/relationships/hyperlink" Target="https://www.sec.gov/Archives/edgar/data/1702924/000143774924036977/ex_755176.htm" TargetMode="External"/><Relationship Id="rId51" Type="http://schemas.openxmlformats.org/officeDocument/2006/relationships/hyperlink" Target="https://www.sec.gov/Archives/edgar/data/1702924/000143774925005752/ex_784264.htm" TargetMode="External"/><Relationship Id="rId52" Type="http://schemas.openxmlformats.org/officeDocument/2006/relationships/hyperlink" Target="https://www.sec.gov/Archives/edgar/data/1702924/000143774925005752/ex_784265.htm" TargetMode="External"/><Relationship Id="rId53" Type="http://schemas.openxmlformats.org/officeDocument/2006/relationships/hyperlink" Target="https://www.sec.gov/Archives/edgar/data/1702924/000165495421002358/ex14.htm" TargetMode="External"/><Relationship Id="rId54" Type="http://schemas.openxmlformats.org/officeDocument/2006/relationships/hyperlink" Target="https://www.sec.gov/Archives/edgar/data/1702924/000164117225001416/ex19-1.htm" TargetMode="External"/><Relationship Id="rId55" Type="http://schemas.openxmlformats.org/officeDocument/2006/relationships/hyperlink" Target="https://www.sec.gov/Archives/edgar/data/1702924/000165495421002358/ex21.htm" TargetMode="External"/><Relationship Id="rId56" Type="http://schemas.openxmlformats.org/officeDocument/2006/relationships/hyperlink" Target="https://www.sec.gov/Archives/edgar/data/1702924/000164117225001416/ex23-1.htm" TargetMode="External"/><Relationship Id="rId57" Type="http://schemas.openxmlformats.org/officeDocument/2006/relationships/hyperlink" Target="https://www.sec.gov/Archives/edgar/data/1702924/000164117225001416/ex32-1.htm" TargetMode="External"/><Relationship Id="rId58" Type="http://schemas.openxmlformats.org/officeDocument/2006/relationships/hyperlink" Target="https://www.sec.gov/Archives/edgar/data/1702924/000143774924027942/ex_718611.htm"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14306</Words>
  <Characters>76270</Characters>
  <CharactersWithSpaces>91238</CharactersWithSpaces>
  <Paragraphs>2479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