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ownership.xml.htm"/>
      <w:bookmarkStart w:id="1" w:name="ksownership"/>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Cohen Scot</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WRAP TECHNOLOGIES, INC.</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3350 VIRGINIA STREET</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MIAMI</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FL</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33133</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WRAP TECHNOLOGIES, INC.</w:t>
              </w:r>
            </w:hyperlink>
            <w:r>
              <w:rPr/>
              <w:t xml:space="preserve"> [ </w:t>
            </w:r>
            <w:r>
              <w:rPr>
                <w:rFonts w:ascii="Times;serif" w:hAnsi="Times;serif"/>
                <w:color w:val="0000FF"/>
                <w:sz w:val="24"/>
                <w:shd w:fill="FFFFFF" w:val="clear"/>
              </w:rPr>
              <w:t>WRAP</w:t>
            </w:r>
            <w:r>
              <w:rPr/>
              <w:t xml:space="preserve"> ] </w:t>
              <w:br/>
            </w:r>
            <w:r>
              <w:rPr>
                <w:rFonts w:ascii="arial;helvetica;sans-serif" w:hAnsi="arial;helvetica;sans-serif"/>
                <w:sz w:val="20"/>
              </w:rPr>
              <w:t>Foreign Trading Symbol</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1"/>
              <w:gridCol w:w="1030"/>
              <w:gridCol w:w="441"/>
              <w:gridCol w:w="1030"/>
            </w:tblGrid>
            <w:tr>
              <w:trPr/>
              <w:tc>
                <w:tcPr>
                  <w:tcW w:w="441"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1"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1"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1" w:type="dxa"/>
                  <w:tcBorders/>
                  <w:vAlign w:val="center"/>
                </w:tcPr>
                <w:p>
                  <w:pPr>
                    <w:pStyle w:val="TableContents"/>
                    <w:bidi w:val="0"/>
                    <w:spacing w:before="0" w:after="283"/>
                    <w:jc w:val="left"/>
                    <w:rPr>
                      <w:sz w:val="4"/>
                      <w:szCs w:val="4"/>
                    </w:rPr>
                  </w:pPr>
                  <w:r>
                    <w:rPr>
                      <w:sz w:val="4"/>
                      <w:szCs w:val="4"/>
                    </w:rPr>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Executive Chairman and CEO</w:t>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10/01/2026</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link="rId9"/>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360"/>
        <w:gridCol w:w="901"/>
        <w:gridCol w:w="771"/>
        <w:gridCol w:w="598"/>
        <w:gridCol w:w="347"/>
        <w:gridCol w:w="885"/>
        <w:gridCol w:w="452"/>
        <w:gridCol w:w="614"/>
        <w:gridCol w:w="1360"/>
        <w:gridCol w:w="994"/>
        <w:gridCol w:w="923"/>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360"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45"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1951"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360"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9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2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360"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8"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47"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85"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52"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614"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360"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94"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23"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360"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10/01/2026</w:t>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A</w:t>
            </w:r>
          </w:p>
        </w:tc>
        <w:tc>
          <w:tcPr>
            <w:tcW w:w="34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8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1,655</w:t>
            </w:r>
            <w:r>
              <w:rPr>
                <w:rFonts w:ascii="Times;serif" w:hAnsi="Times;serif"/>
                <w:color w:val="008000"/>
                <w:position w:val="7"/>
                <w:sz w:val="16"/>
                <w:sz w:val="20"/>
                <w:shd w:fill="FFFFFF" w:val="clear"/>
              </w:rPr>
              <w:t>(1)</w:t>
            </w:r>
          </w:p>
        </w:tc>
        <w:tc>
          <w:tcPr>
            <w:tcW w:w="45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61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0</w:t>
            </w:r>
          </w:p>
        </w:tc>
        <w:tc>
          <w:tcPr>
            <w:tcW w:w="136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10,610,742</w:t>
            </w:r>
          </w:p>
        </w:tc>
        <w:tc>
          <w:tcPr>
            <w:tcW w:w="99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360"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10/01/2026</w:t>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A</w:t>
            </w:r>
          </w:p>
        </w:tc>
        <w:tc>
          <w:tcPr>
            <w:tcW w:w="34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8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2,318</w:t>
            </w:r>
            <w:r>
              <w:rPr>
                <w:rFonts w:ascii="Times;serif" w:hAnsi="Times;serif"/>
                <w:color w:val="008000"/>
                <w:position w:val="7"/>
                <w:sz w:val="16"/>
                <w:sz w:val="20"/>
                <w:shd w:fill="FFFFFF" w:val="clear"/>
              </w:rPr>
              <w:t>(1)</w:t>
            </w:r>
          </w:p>
        </w:tc>
        <w:tc>
          <w:tcPr>
            <w:tcW w:w="45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61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0</w:t>
            </w:r>
          </w:p>
        </w:tc>
        <w:tc>
          <w:tcPr>
            <w:tcW w:w="136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2,044,539</w:t>
            </w:r>
          </w:p>
        </w:tc>
        <w:tc>
          <w:tcPr>
            <w:tcW w:w="99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92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By V4 Global LLC</w:t>
            </w:r>
            <w:r>
              <w:rPr>
                <w:rFonts w:ascii="Times;serif" w:hAnsi="Times;serif"/>
                <w:color w:val="008000"/>
                <w:position w:val="7"/>
                <w:sz w:val="16"/>
                <w:sz w:val="20"/>
                <w:shd w:fill="FFFFFF" w:val="clear"/>
              </w:rPr>
              <w:t>(2)</w:t>
            </w:r>
          </w:p>
        </w:tc>
      </w:tr>
      <w:tr>
        <w:trPr/>
        <w:tc>
          <w:tcPr>
            <w:tcW w:w="2360"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8"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47"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85"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52"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1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360"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209,353</w:t>
            </w:r>
          </w:p>
        </w:tc>
        <w:tc>
          <w:tcPr>
            <w:tcW w:w="994"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923"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By Scot Cohen Roth IRA</w:t>
            </w:r>
            <w:r>
              <w:rPr>
                <w:rFonts w:ascii="Times;serif" w:hAnsi="Times;serif"/>
                <w:color w:val="008000"/>
                <w:position w:val="7"/>
                <w:sz w:val="16"/>
                <w:sz w:val="20"/>
                <w:shd w:fill="FFFFFF" w:val="clear"/>
              </w:rPr>
              <w:t>(3)</w:t>
            </w:r>
          </w:p>
        </w:tc>
      </w:tr>
    </w:tbl>
    <w:tbl>
      <w:tblPr>
        <w:tblW w:w="1121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59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Represents shares of the Issuer's common stock, par value $0.0001 per share (the "Common Stock"), issued as a payment of dividends on the Issuer's Series A Convertible Preferred Stock, par value $0.0001 per share.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The reported securities are directly owned by V4 Global LLC ("V4") and may be deemed to be beneficially owned by the Reporting Person as managing member of V4. The Reporting Person disclaims beneficial ownership of the reported securities except to the extent of his pecuniary interest therein.</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3. The reported securities are directly owned by Scot Cohen Roth IRA ("SC IRA"). The Reporting Person is deemed the beneficial owners of such securities as the sole holder of the SC IRA.</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Scot Cohen</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10/09/2026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558913" TargetMode="External"/><Relationship Id="rId5" Type="http://schemas.openxmlformats.org/officeDocument/2006/relationships/hyperlink" Target="http://www.sec.gov/cgi-bin/browse-edgar?action=getcompany&amp;CIK=0001702924"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image" Target="https://cdn.kscope.io/box-checked.jpg" TargetMode="External"/><Relationship Id="rId9" Type="http://schemas.openxmlformats.org/officeDocument/2006/relationships/image" Target="https://cdn.kscope.io/box-checked.jpg" TargetMode="External"/><Relationship Id="rId10" Type="http://schemas.openxmlformats.org/officeDocument/2006/relationships/fontTable" Target="fontTable.xml"/><Relationship Id="rId11"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703</Words>
  <Characters>3759</Characters>
  <CharactersWithSpaces>4379</CharactersWithSpaces>
  <Paragraphs>113</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