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551815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 SECURITIES AND EXCHANGE COMMISSION</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4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QUARTERLY REPORT PURSUANT TO SECTION 13 OR 15(d) OF THE</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EXCHANGE ACT OF 1934</w:t>
      </w:r>
    </w:p>
    <w:p>
      <w:pPr>
        <w:spacing w:after="0" w:line="2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June 30, 2020</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Commission File Number: 000-55838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144145</wp:posOffset>
            </wp:positionV>
            <wp:extent cx="1757045" cy="3517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57045" cy="3517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Wrap Technologies, Inc.</w:t>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949" w:right="339" w:bottom="1440" w:gutter="0" w:footer="0" w:header="0"/>
        </w:sectPr>
      </w:pPr>
    </w:p>
    <w:p>
      <w:pPr>
        <w:spacing w:after="0" w:line="1" w:lineRule="exact"/>
        <w:rPr>
          <w:sz w:val="24"/>
          <w:szCs w:val="24"/>
          <w:color w:val="auto"/>
        </w:rPr>
      </w:pPr>
    </w:p>
    <w:p>
      <w:pPr>
        <w:ind w:left="2280"/>
        <w:spacing w:after="0"/>
        <w:rPr>
          <w:sz w:val="20"/>
          <w:szCs w:val="20"/>
          <w:color w:val="auto"/>
        </w:rPr>
      </w:pPr>
      <w:r>
        <w:rPr>
          <w:rFonts w:ascii="Arial" w:cs="Arial" w:eastAsia="Arial" w:hAnsi="Arial"/>
          <w:sz w:val="18"/>
          <w:szCs w:val="18"/>
          <w:color w:val="auto"/>
        </w:rPr>
        <w:t>Delaware</w:t>
      </w:r>
    </w:p>
    <w:p>
      <w:pPr>
        <w:spacing w:after="0" w:line="9" w:lineRule="exact"/>
        <w:rPr>
          <w:sz w:val="24"/>
          <w:szCs w:val="24"/>
          <w:color w:val="auto"/>
        </w:rPr>
      </w:pPr>
    </w:p>
    <w:p>
      <w:pPr>
        <w:ind w:left="1600"/>
        <w:spacing w:after="0"/>
        <w:rPr>
          <w:sz w:val="20"/>
          <w:szCs w:val="20"/>
          <w:color w:val="auto"/>
        </w:rPr>
      </w:pPr>
      <w:r>
        <w:rPr>
          <w:rFonts w:ascii="Arial" w:cs="Arial" w:eastAsia="Arial" w:hAnsi="Arial"/>
          <w:sz w:val="16"/>
          <w:szCs w:val="16"/>
          <w:color w:val="auto"/>
        </w:rPr>
        <w:t>(State or other jurisdiction of</w:t>
      </w:r>
    </w:p>
    <w:p>
      <w:pPr>
        <w:spacing w:after="0" w:line="32" w:lineRule="exact"/>
        <w:rPr>
          <w:sz w:val="24"/>
          <w:szCs w:val="24"/>
          <w:color w:val="auto"/>
        </w:rPr>
      </w:pPr>
    </w:p>
    <w:p>
      <w:pPr>
        <w:ind w:left="154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ind w:left="400"/>
        <w:spacing w:after="0"/>
        <w:rPr>
          <w:sz w:val="20"/>
          <w:szCs w:val="20"/>
          <w:color w:val="auto"/>
        </w:rPr>
      </w:pPr>
      <w:r>
        <w:rPr>
          <w:rFonts w:ascii="Arial" w:cs="Arial" w:eastAsia="Arial" w:hAnsi="Arial"/>
          <w:sz w:val="18"/>
          <w:szCs w:val="18"/>
          <w:color w:val="auto"/>
        </w:rPr>
        <w:t>98-0551945</w:t>
      </w:r>
    </w:p>
    <w:p>
      <w:pPr>
        <w:spacing w:after="0" w:line="9" w:lineRule="exact"/>
        <w:rPr>
          <w:sz w:val="24"/>
          <w:szCs w:val="24"/>
          <w:color w:val="auto"/>
        </w:rPr>
      </w:pPr>
    </w:p>
    <w:p>
      <w:pPr>
        <w:ind w:left="24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Identification Number)</w:t>
      </w:r>
    </w:p>
    <w:p>
      <w:pPr>
        <w:spacing w:after="0" w:line="200" w:lineRule="exact"/>
        <w:rPr>
          <w:sz w:val="24"/>
          <w:szCs w:val="24"/>
          <w:color w:val="auto"/>
        </w:rPr>
      </w:pPr>
    </w:p>
    <w:p>
      <w:pPr>
        <w:sectPr>
          <w:pgSz w:w="11900" w:h="16838" w:orient="portrait"/>
          <w:cols w:equalWidth="0" w:num="2">
            <w:col w:w="7060" w:space="720"/>
            <w:col w:w="3460"/>
          </w:cols>
          <w:pgMar w:left="320" w:top="949" w:right="339" w:bottom="1440" w:gutter="0" w:footer="0" w:header="0"/>
          <w:type w:val="continuous"/>
        </w:sectPr>
      </w:pP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1817 W 4</w:t>
      </w:r>
      <w:r>
        <w:rPr>
          <w:rFonts w:ascii="Arial" w:cs="Arial" w:eastAsia="Arial" w:hAnsi="Arial"/>
          <w:sz w:val="12"/>
          <w:szCs w:val="12"/>
          <w:color w:val="auto"/>
        </w:rPr>
        <w:t>th</w:t>
      </w:r>
      <w:r>
        <w:rPr>
          <w:rFonts w:ascii="Arial" w:cs="Arial" w:eastAsia="Arial" w:hAnsi="Arial"/>
          <w:sz w:val="18"/>
          <w:szCs w:val="18"/>
          <w:color w:val="auto"/>
        </w:rPr>
        <w:t xml:space="preserve"> Street</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Tempe, Arizona 85281</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(Address of principal executive offices) (Zip Code)</w:t>
      </w:r>
    </w:p>
    <w:p>
      <w:pPr>
        <w:sectPr>
          <w:pgSz w:w="11900" w:h="16838" w:orient="portrait"/>
          <w:cols w:equalWidth="0" w:num="1">
            <w:col w:w="11240"/>
          </w:cols>
          <w:pgMar w:left="320" w:top="949" w:right="339" w:bottom="1440" w:gutter="0" w:footer="0" w:header="0"/>
          <w:type w:val="continuous"/>
        </w:sectPr>
      </w:pPr>
    </w:p>
    <w:p>
      <w:pPr>
        <w:spacing w:after="0" w:line="242"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(800) 583-2652</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19"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4460" w:type="dxa"/>
            <w:vAlign w:val="bottom"/>
            <w:gridSpan w:val="3"/>
          </w:tcPr>
          <w:p>
            <w:pPr>
              <w:spacing w:after="0"/>
              <w:rPr>
                <w:sz w:val="20"/>
                <w:szCs w:val="20"/>
                <w:color w:val="auto"/>
              </w:rPr>
            </w:pPr>
            <w:r>
              <w:rPr>
                <w:rFonts w:ascii="Arial" w:cs="Arial" w:eastAsia="Arial" w:hAnsi="Arial"/>
                <w:sz w:val="18"/>
                <w:szCs w:val="18"/>
                <w:color w:val="auto"/>
                <w:w w:val="97"/>
              </w:rPr>
              <w:t>Securities registered pursuant to Section 12(b) of the Act:</w:t>
            </w: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160" w:type="dxa"/>
            <w:vAlign w:val="bottom"/>
          </w:tcPr>
          <w:p>
            <w:pPr>
              <w:spacing w:after="0"/>
              <w:rPr>
                <w:sz w:val="19"/>
                <w:szCs w:val="19"/>
                <w:color w:val="auto"/>
              </w:rPr>
            </w:pPr>
          </w:p>
        </w:tc>
      </w:tr>
      <w:tr>
        <w:trPr>
          <w:trHeight w:val="393"/>
        </w:trPr>
        <w:tc>
          <w:tcPr>
            <w:tcW w:w="1520" w:type="dxa"/>
            <w:vAlign w:val="bottom"/>
          </w:tcPr>
          <w:p>
            <w:pPr>
              <w:spacing w:after="0"/>
              <w:rPr>
                <w:sz w:val="24"/>
                <w:szCs w:val="24"/>
                <w:color w:val="auto"/>
              </w:rPr>
            </w:pPr>
          </w:p>
        </w:tc>
        <w:tc>
          <w:tcPr>
            <w:tcW w:w="2940" w:type="dxa"/>
            <w:vAlign w:val="bottom"/>
            <w:gridSpan w:val="2"/>
          </w:tcPr>
          <w:p>
            <w:pPr>
              <w:jc w:val="center"/>
              <w:ind w:right="1680"/>
              <w:spacing w:after="0"/>
              <w:rPr>
                <w:sz w:val="20"/>
                <w:szCs w:val="20"/>
                <w:color w:val="auto"/>
              </w:rPr>
            </w:pPr>
            <w:r>
              <w:rPr>
                <w:rFonts w:ascii="Arial" w:cs="Arial" w:eastAsia="Arial" w:hAnsi="Arial"/>
                <w:sz w:val="18"/>
                <w:szCs w:val="18"/>
                <w:color w:val="auto"/>
                <w:w w:val="87"/>
              </w:rPr>
              <w:t>Title of each class</w:t>
            </w:r>
          </w:p>
        </w:tc>
        <w:tc>
          <w:tcPr>
            <w:tcW w:w="2960" w:type="dxa"/>
            <w:vAlign w:val="bottom"/>
            <w:gridSpan w:val="3"/>
          </w:tcPr>
          <w:p>
            <w:pPr>
              <w:jc w:val="center"/>
              <w:ind w:right="840"/>
              <w:spacing w:after="0"/>
              <w:rPr>
                <w:sz w:val="20"/>
                <w:szCs w:val="20"/>
                <w:color w:val="auto"/>
              </w:rPr>
            </w:pPr>
            <w:r>
              <w:rPr>
                <w:rFonts w:ascii="Arial" w:cs="Arial" w:eastAsia="Arial" w:hAnsi="Arial"/>
                <w:sz w:val="18"/>
                <w:szCs w:val="18"/>
                <w:color w:val="auto"/>
                <w:w w:val="89"/>
              </w:rPr>
              <w:t>Trading Symbol(s)</w:t>
            </w:r>
          </w:p>
        </w:tc>
        <w:tc>
          <w:tcPr>
            <w:tcW w:w="3160" w:type="dxa"/>
            <w:vAlign w:val="bottom"/>
          </w:tcPr>
          <w:p>
            <w:pPr>
              <w:jc w:val="center"/>
              <w:spacing w:after="0"/>
              <w:rPr>
                <w:sz w:val="20"/>
                <w:szCs w:val="20"/>
                <w:color w:val="auto"/>
              </w:rPr>
            </w:pPr>
            <w:r>
              <w:rPr>
                <w:rFonts w:ascii="Arial" w:cs="Arial" w:eastAsia="Arial" w:hAnsi="Arial"/>
                <w:sz w:val="18"/>
                <w:szCs w:val="18"/>
                <w:color w:val="auto"/>
                <w:w w:val="87"/>
              </w:rPr>
              <w:t>Name of each exchange on which registered</w:t>
            </w:r>
          </w:p>
        </w:tc>
      </w:tr>
      <w:tr>
        <w:trPr>
          <w:trHeight w:val="20"/>
        </w:trPr>
        <w:tc>
          <w:tcPr>
            <w:tcW w:w="15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160" w:type="dxa"/>
            <w:vAlign w:val="bottom"/>
            <w:shd w:val="clear" w:color="auto" w:fill="000000"/>
          </w:tcPr>
          <w:p>
            <w:pPr>
              <w:spacing w:after="0" w:line="20" w:lineRule="exact"/>
              <w:rPr>
                <w:sz w:val="1"/>
                <w:szCs w:val="1"/>
                <w:color w:val="auto"/>
              </w:rPr>
            </w:pPr>
          </w:p>
        </w:tc>
      </w:tr>
      <w:tr>
        <w:trPr>
          <w:trHeight w:val="235"/>
        </w:trPr>
        <w:tc>
          <w:tcPr>
            <w:tcW w:w="4460" w:type="dxa"/>
            <w:vAlign w:val="bottom"/>
            <w:gridSpan w:val="3"/>
          </w:tcPr>
          <w:p>
            <w:pPr>
              <w:jc w:val="center"/>
              <w:ind w:right="160"/>
              <w:spacing w:after="0"/>
              <w:rPr>
                <w:sz w:val="20"/>
                <w:szCs w:val="20"/>
                <w:color w:val="auto"/>
              </w:rPr>
            </w:pPr>
            <w:r>
              <w:rPr>
                <w:rFonts w:ascii="Arial" w:cs="Arial" w:eastAsia="Arial" w:hAnsi="Arial"/>
                <w:sz w:val="18"/>
                <w:szCs w:val="18"/>
                <w:color w:val="auto"/>
                <w:w w:val="87"/>
              </w:rPr>
              <w:t>Common Stock, par value $0.0001 per share</w:t>
            </w:r>
          </w:p>
        </w:tc>
        <w:tc>
          <w:tcPr>
            <w:tcW w:w="400" w:type="dxa"/>
            <w:vAlign w:val="bottom"/>
          </w:tcPr>
          <w:p>
            <w:pPr>
              <w:spacing w:after="0"/>
              <w:rPr>
                <w:sz w:val="20"/>
                <w:szCs w:val="20"/>
                <w:color w:val="auto"/>
              </w:rPr>
            </w:pPr>
          </w:p>
        </w:tc>
        <w:tc>
          <w:tcPr>
            <w:tcW w:w="2560" w:type="dxa"/>
            <w:vAlign w:val="bottom"/>
            <w:gridSpan w:val="2"/>
          </w:tcPr>
          <w:p>
            <w:pPr>
              <w:jc w:val="center"/>
              <w:ind w:right="1220"/>
              <w:spacing w:after="0"/>
              <w:rPr>
                <w:sz w:val="20"/>
                <w:szCs w:val="20"/>
                <w:color w:val="auto"/>
              </w:rPr>
            </w:pPr>
            <w:r>
              <w:rPr>
                <w:rFonts w:ascii="Arial" w:cs="Arial" w:eastAsia="Arial" w:hAnsi="Arial"/>
                <w:sz w:val="18"/>
                <w:szCs w:val="18"/>
                <w:color w:val="auto"/>
                <w:w w:val="92"/>
              </w:rPr>
              <w:t>WRTC</w:t>
            </w:r>
          </w:p>
        </w:tc>
        <w:tc>
          <w:tcPr>
            <w:tcW w:w="3160" w:type="dxa"/>
            <w:vAlign w:val="bottom"/>
          </w:tcPr>
          <w:p>
            <w:pPr>
              <w:jc w:val="center"/>
              <w:spacing w:after="0"/>
              <w:rPr>
                <w:sz w:val="20"/>
                <w:szCs w:val="20"/>
                <w:color w:val="auto"/>
              </w:rPr>
            </w:pPr>
            <w:r>
              <w:rPr>
                <w:rFonts w:ascii="Arial" w:cs="Arial" w:eastAsia="Arial" w:hAnsi="Arial"/>
                <w:sz w:val="18"/>
                <w:szCs w:val="18"/>
                <w:color w:val="auto"/>
                <w:w w:val="89"/>
              </w:rPr>
              <w:t>Nasdaq Capital Market</w:t>
            </w:r>
          </w:p>
        </w:tc>
      </w:tr>
    </w:tbl>
    <w:p>
      <w:pPr>
        <w:spacing w:after="0" w:line="210" w:lineRule="exact"/>
        <w:rPr>
          <w:sz w:val="24"/>
          <w:szCs w:val="24"/>
          <w:color w:val="auto"/>
        </w:rPr>
      </w:pPr>
    </w:p>
    <w:p>
      <w:pPr>
        <w:jc w:val="both"/>
        <w:spacing w:after="0" w:line="259"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194" w:lineRule="exact"/>
        <w:rPr>
          <w:sz w:val="24"/>
          <w:szCs w:val="24"/>
          <w:color w:val="auto"/>
        </w:rPr>
      </w:pPr>
    </w:p>
    <w:p>
      <w:pPr>
        <w:jc w:val="both"/>
        <w:spacing w:after="0" w:line="331" w:lineRule="auto"/>
        <w:rPr>
          <w:sz w:val="20"/>
          <w:szCs w:val="20"/>
          <w:color w:val="auto"/>
        </w:rPr>
      </w:pPr>
      <w:r>
        <w:rPr>
          <w:rFonts w:ascii="Arial" w:cs="Arial" w:eastAsia="Arial" w:hAnsi="Arial"/>
          <w:sz w:val="16"/>
          <w:szCs w:val="16"/>
          <w:color w:val="auto"/>
        </w:rPr>
        <w:t>Indicate by check mark whether the registrant has submitted every Interactive Data File required to be submitted pursuant to Rule 405 of Regulation S-T (§232.405 of this chapter) during the preceding 12 months (or for such shorter period that the registrant was required to submit such files). [ X ] Yes [ ] No</w:t>
      </w:r>
    </w:p>
    <w:p>
      <w:pPr>
        <w:spacing w:after="0" w:line="141" w:lineRule="exact"/>
        <w:rPr>
          <w:sz w:val="24"/>
          <w:szCs w:val="24"/>
          <w:color w:val="auto"/>
        </w:rPr>
      </w:pPr>
    </w:p>
    <w:p>
      <w:pPr>
        <w:jc w:val="both"/>
        <w:spacing w:after="0" w:line="259"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94"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840" w:type="dxa"/>
            <w:vAlign w:val="bottom"/>
          </w:tcPr>
          <w:p>
            <w:pPr>
              <w:spacing w:after="0"/>
              <w:rPr>
                <w:sz w:val="20"/>
                <w:szCs w:val="20"/>
                <w:color w:val="auto"/>
              </w:rPr>
            </w:pPr>
            <w:r>
              <w:rPr>
                <w:rFonts w:ascii="Arial" w:cs="Arial" w:eastAsia="Arial" w:hAnsi="Arial"/>
                <w:sz w:val="18"/>
                <w:szCs w:val="18"/>
                <w:color w:val="auto"/>
                <w:w w:val="97"/>
              </w:rPr>
              <w:t>Large Accelerated Filer</w:t>
            </w:r>
          </w:p>
        </w:tc>
        <w:tc>
          <w:tcPr>
            <w:tcW w:w="2360" w:type="dxa"/>
            <w:vAlign w:val="bottom"/>
          </w:tcPr>
          <w:p>
            <w:pPr>
              <w:jc w:val="right"/>
              <w:ind w:right="1852"/>
              <w:spacing w:after="0"/>
              <w:rPr>
                <w:sz w:val="20"/>
                <w:szCs w:val="20"/>
                <w:color w:val="auto"/>
              </w:rPr>
            </w:pPr>
            <w:r>
              <w:rPr>
                <w:rFonts w:ascii="Arial" w:cs="Arial" w:eastAsia="Arial" w:hAnsi="Arial"/>
                <w:sz w:val="18"/>
                <w:szCs w:val="18"/>
                <w:color w:val="auto"/>
              </w:rPr>
              <w:t>[  ]</w:t>
            </w:r>
          </w:p>
        </w:tc>
        <w:tc>
          <w:tcPr>
            <w:tcW w:w="3940" w:type="dxa"/>
            <w:vAlign w:val="bottom"/>
          </w:tcPr>
          <w:p>
            <w:pPr>
              <w:ind w:left="1920"/>
              <w:spacing w:after="0"/>
              <w:rPr>
                <w:sz w:val="20"/>
                <w:szCs w:val="20"/>
                <w:color w:val="auto"/>
              </w:rPr>
            </w:pPr>
            <w:r>
              <w:rPr>
                <w:rFonts w:ascii="Arial" w:cs="Arial" w:eastAsia="Arial" w:hAnsi="Arial"/>
                <w:sz w:val="18"/>
                <w:szCs w:val="18"/>
                <w:color w:val="auto"/>
              </w:rPr>
              <w:t>Accelerated filer</w:t>
            </w:r>
          </w:p>
        </w:tc>
        <w:tc>
          <w:tcPr>
            <w:tcW w:w="340" w:type="dxa"/>
            <w:vAlign w:val="bottom"/>
          </w:tcPr>
          <w:p>
            <w:pPr>
              <w:ind w:left="80"/>
              <w:spacing w:after="0"/>
              <w:rPr>
                <w:sz w:val="20"/>
                <w:szCs w:val="20"/>
                <w:color w:val="auto"/>
              </w:rPr>
            </w:pPr>
            <w:r>
              <w:rPr>
                <w:rFonts w:ascii="Arial" w:cs="Arial" w:eastAsia="Arial" w:hAnsi="Arial"/>
                <w:sz w:val="18"/>
                <w:szCs w:val="18"/>
                <w:color w:val="auto"/>
              </w:rPr>
              <w:t>[  ]</w:t>
            </w:r>
          </w:p>
        </w:tc>
      </w:tr>
      <w:tr>
        <w:trPr>
          <w:trHeight w:val="216"/>
        </w:trPr>
        <w:tc>
          <w:tcPr>
            <w:tcW w:w="1840" w:type="dxa"/>
            <w:vAlign w:val="bottom"/>
          </w:tcPr>
          <w:p>
            <w:pPr>
              <w:spacing w:after="0"/>
              <w:rPr>
                <w:sz w:val="20"/>
                <w:szCs w:val="20"/>
                <w:color w:val="auto"/>
              </w:rPr>
            </w:pPr>
            <w:r>
              <w:rPr>
                <w:rFonts w:ascii="Arial" w:cs="Arial" w:eastAsia="Arial" w:hAnsi="Arial"/>
                <w:sz w:val="18"/>
                <w:szCs w:val="18"/>
                <w:color w:val="auto"/>
              </w:rPr>
              <w:t>Non-accelerated filer</w:t>
            </w:r>
          </w:p>
        </w:tc>
        <w:tc>
          <w:tcPr>
            <w:tcW w:w="2360" w:type="dxa"/>
            <w:vAlign w:val="bottom"/>
          </w:tcPr>
          <w:p>
            <w:pPr>
              <w:jc w:val="right"/>
              <w:ind w:right="1852"/>
              <w:spacing w:after="0"/>
              <w:rPr>
                <w:sz w:val="20"/>
                <w:szCs w:val="20"/>
                <w:color w:val="auto"/>
              </w:rPr>
            </w:pPr>
            <w:r>
              <w:rPr>
                <w:rFonts w:ascii="Arial" w:cs="Arial" w:eastAsia="Arial" w:hAnsi="Arial"/>
                <w:sz w:val="18"/>
                <w:szCs w:val="18"/>
                <w:color w:val="auto"/>
              </w:rPr>
              <w:t>[X]</w:t>
            </w:r>
          </w:p>
        </w:tc>
        <w:tc>
          <w:tcPr>
            <w:tcW w:w="3940" w:type="dxa"/>
            <w:vAlign w:val="bottom"/>
          </w:tcPr>
          <w:p>
            <w:pPr>
              <w:ind w:left="1920"/>
              <w:spacing w:after="0"/>
              <w:rPr>
                <w:sz w:val="20"/>
                <w:szCs w:val="20"/>
                <w:color w:val="auto"/>
              </w:rPr>
            </w:pPr>
            <w:r>
              <w:rPr>
                <w:rFonts w:ascii="Arial" w:cs="Arial" w:eastAsia="Arial" w:hAnsi="Arial"/>
                <w:sz w:val="18"/>
                <w:szCs w:val="18"/>
                <w:color w:val="auto"/>
                <w:w w:val="92"/>
              </w:rPr>
              <w:t>Smaller reporting company</w:t>
            </w:r>
          </w:p>
        </w:tc>
        <w:tc>
          <w:tcPr>
            <w:tcW w:w="340" w:type="dxa"/>
            <w:vAlign w:val="bottom"/>
          </w:tcPr>
          <w:p>
            <w:pPr>
              <w:ind w:left="80"/>
              <w:spacing w:after="0"/>
              <w:rPr>
                <w:sz w:val="20"/>
                <w:szCs w:val="20"/>
                <w:color w:val="auto"/>
              </w:rPr>
            </w:pPr>
            <w:r>
              <w:rPr>
                <w:rFonts w:ascii="Arial" w:cs="Arial" w:eastAsia="Arial" w:hAnsi="Arial"/>
                <w:sz w:val="18"/>
                <w:szCs w:val="18"/>
                <w:color w:val="auto"/>
              </w:rPr>
              <w:t>[X]</w:t>
            </w:r>
          </w:p>
        </w:tc>
      </w:tr>
      <w:tr>
        <w:trPr>
          <w:trHeight w:val="222"/>
        </w:trPr>
        <w:tc>
          <w:tcPr>
            <w:tcW w:w="184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3940" w:type="dxa"/>
            <w:vAlign w:val="bottom"/>
          </w:tcPr>
          <w:p>
            <w:pPr>
              <w:ind w:left="1920"/>
              <w:spacing w:after="0"/>
              <w:rPr>
                <w:sz w:val="20"/>
                <w:szCs w:val="20"/>
                <w:color w:val="auto"/>
              </w:rPr>
            </w:pPr>
            <w:r>
              <w:rPr>
                <w:rFonts w:ascii="Arial" w:cs="Arial" w:eastAsia="Arial" w:hAnsi="Arial"/>
                <w:sz w:val="18"/>
                <w:szCs w:val="18"/>
                <w:color w:val="auto"/>
                <w:w w:val="93"/>
              </w:rPr>
              <w:t>Emerging growth company</w:t>
            </w:r>
          </w:p>
        </w:tc>
        <w:tc>
          <w:tcPr>
            <w:tcW w:w="340" w:type="dxa"/>
            <w:vAlign w:val="bottom"/>
          </w:tcPr>
          <w:p>
            <w:pPr>
              <w:ind w:left="80"/>
              <w:spacing w:after="0"/>
              <w:rPr>
                <w:sz w:val="20"/>
                <w:szCs w:val="20"/>
                <w:color w:val="auto"/>
              </w:rPr>
            </w:pPr>
            <w:r>
              <w:rPr>
                <w:rFonts w:ascii="Arial" w:cs="Arial" w:eastAsia="Arial" w:hAnsi="Arial"/>
                <w:sz w:val="18"/>
                <w:szCs w:val="18"/>
                <w:color w:val="auto"/>
              </w:rPr>
              <w:t>[X]</w:t>
            </w:r>
          </w:p>
        </w:tc>
      </w:tr>
    </w:tbl>
    <w:p>
      <w:pPr>
        <w:spacing w:after="0" w:line="210"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186"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Act). Yes [ ] No [ X]</w:t>
      </w:r>
    </w:p>
    <w:p>
      <w:pPr>
        <w:spacing w:after="0" w:line="225" w:lineRule="exact"/>
        <w:rPr>
          <w:sz w:val="24"/>
          <w:szCs w:val="24"/>
          <w:color w:val="auto"/>
        </w:rPr>
      </w:pPr>
    </w:p>
    <w:p>
      <w:pPr>
        <w:spacing w:after="0"/>
        <w:rPr>
          <w:sz w:val="20"/>
          <w:szCs w:val="20"/>
          <w:color w:val="auto"/>
        </w:rPr>
      </w:pPr>
      <w:r>
        <w:rPr>
          <w:rFonts w:ascii="Arial" w:cs="Arial" w:eastAsia="Arial" w:hAnsi="Arial"/>
          <w:sz w:val="16"/>
          <w:szCs w:val="16"/>
          <w:color w:val="auto"/>
        </w:rPr>
        <w:t>As of July 29, 2020 a total of 36,548,050 shares of the Registrant’s common stock, par value $0.0001, (“</w:t>
      </w:r>
      <w:r>
        <w:rPr>
          <w:rFonts w:ascii="Arial" w:cs="Arial" w:eastAsia="Arial" w:hAnsi="Arial"/>
          <w:sz w:val="16"/>
          <w:szCs w:val="16"/>
          <w:i w:val="1"/>
          <w:iCs w:val="1"/>
          <w:color w:val="auto"/>
        </w:rPr>
        <w:t>Common Stock</w:t>
      </w:r>
      <w:r>
        <w:rPr>
          <w:rFonts w:ascii="Arial" w:cs="Arial" w:eastAsia="Arial" w:hAnsi="Arial"/>
          <w:sz w:val="16"/>
          <w:szCs w:val="16"/>
          <w:color w:val="auto"/>
        </w:rPr>
        <w:t>”) were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22"/>
        </w:trPr>
        <w:tc>
          <w:tcPr>
            <w:tcW w:w="10020" w:type="dxa"/>
            <w:vAlign w:val="bottom"/>
            <w:gridSpan w:val="6"/>
          </w:tcPr>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48"/>
        </w:trPr>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980" w:type="dxa"/>
            <w:vAlign w:val="bottom"/>
            <w:gridSpan w:val="2"/>
          </w:tcPr>
          <w:p>
            <w:pPr>
              <w:jc w:val="center"/>
              <w:ind w:right="800"/>
              <w:spacing w:after="0"/>
              <w:rPr>
                <w:sz w:val="20"/>
                <w:szCs w:val="20"/>
                <w:color w:val="auto"/>
              </w:rPr>
            </w:pPr>
            <w:r>
              <w:rPr>
                <w:rFonts w:ascii="Arial" w:cs="Arial" w:eastAsia="Arial" w:hAnsi="Arial"/>
                <w:sz w:val="18"/>
                <w:szCs w:val="18"/>
                <w:b w:val="1"/>
                <w:bCs w:val="1"/>
                <w:color w:val="auto"/>
                <w:w w:val="98"/>
              </w:rPr>
              <w:t>WRAP TECHNOLOGIES, INC.</w:t>
            </w: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980" w:type="dxa"/>
            <w:vAlign w:val="bottom"/>
            <w:gridSpan w:val="2"/>
          </w:tcPr>
          <w:p>
            <w:pPr>
              <w:jc w:val="center"/>
              <w:ind w:right="800"/>
              <w:spacing w:after="0"/>
              <w:rPr>
                <w:sz w:val="20"/>
                <w:szCs w:val="20"/>
                <w:color w:val="auto"/>
              </w:rPr>
            </w:pPr>
            <w:r>
              <w:rPr>
                <w:rFonts w:ascii="Arial" w:cs="Arial" w:eastAsia="Arial" w:hAnsi="Arial"/>
                <w:sz w:val="18"/>
                <w:szCs w:val="18"/>
                <w:color w:val="auto"/>
                <w:w w:val="98"/>
              </w:rPr>
              <w:t>INDEX</w:t>
            </w: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020" w:type="dxa"/>
            <w:vAlign w:val="bottom"/>
            <w:gridSpan w:val="6"/>
          </w:tcPr>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PART I. FINANCIAL INFORMATION</w:t>
              </w:r>
            </w:hyperlink>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0" w:type="dxa"/>
            <w:vAlign w:val="bottom"/>
          </w:tcPr>
          <w:p>
            <w:pPr>
              <w:ind w:left="18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Item 1.</w:t>
              </w:r>
            </w:hyperlink>
          </w:p>
        </w:tc>
        <w:tc>
          <w:tcPr>
            <w:tcW w:w="9160" w:type="dxa"/>
            <w:vAlign w:val="bottom"/>
            <w:gridSpan w:val="5"/>
          </w:tcPr>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Financial Statements:</w:t>
              </w:r>
            </w:hyperlink>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860" w:type="dxa"/>
            <w:vAlign w:val="bottom"/>
            <w:shd w:val="clear" w:color="auto" w:fill="CCEEFF"/>
          </w:tcPr>
          <w:p>
            <w:pPr>
              <w:spacing w:after="0"/>
              <w:rPr>
                <w:sz w:val="18"/>
                <w:szCs w:val="18"/>
                <w:color w:val="auto"/>
              </w:rPr>
            </w:pPr>
          </w:p>
        </w:tc>
        <w:tc>
          <w:tcPr>
            <w:tcW w:w="9160" w:type="dxa"/>
            <w:vAlign w:val="bottom"/>
            <w:gridSpan w:val="5"/>
            <w:shd w:val="clear" w:color="auto" w:fill="CCEEFF"/>
          </w:tcPr>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Condensed Balance Sheets as of June 30, 2020 (unaudited) and December 31, 2019</w:t>
              </w:r>
            </w:hyperlink>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9160" w:type="dxa"/>
            <w:vAlign w:val="bottom"/>
            <w:gridSpan w:val="5"/>
          </w:tcPr>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Condensed Statements of Operations for the three and six months ended June 30, 2020 and 2019 (unaudited)</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860" w:type="dxa"/>
            <w:vAlign w:val="bottom"/>
            <w:shd w:val="clear" w:color="auto" w:fill="CCEEFF"/>
          </w:tcPr>
          <w:p>
            <w:pPr>
              <w:spacing w:after="0"/>
              <w:rPr>
                <w:sz w:val="15"/>
                <w:szCs w:val="15"/>
                <w:color w:val="auto"/>
              </w:rPr>
            </w:pPr>
          </w:p>
        </w:tc>
        <w:tc>
          <w:tcPr>
            <w:tcW w:w="9160" w:type="dxa"/>
            <w:vAlign w:val="bottom"/>
            <w:gridSpan w:val="5"/>
            <w:shd w:val="clear" w:color="auto" w:fill="CCEEFF"/>
          </w:tcPr>
          <w:p>
            <w:pPr>
              <w:ind w:left="60"/>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Condensed Statements of Stockholders Equity for the three and six months ended June 30, 2020 and 2019</w:t>
              </w:r>
            </w:hyperlink>
          </w:p>
        </w:tc>
        <w:tc>
          <w:tcPr>
            <w:tcW w:w="12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060" w:type="dxa"/>
            <w:vAlign w:val="bottom"/>
            <w:tcBorders>
              <w:top w:val="single" w:sz="8" w:color="0000EE"/>
            </w:tcBorders>
            <w:gridSpan w:val="3"/>
            <w:shd w:val="clear" w:color="auto" w:fill="CCEEFF"/>
          </w:tcPr>
          <w:p>
            <w:pPr>
              <w:ind w:left="320"/>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(unaudited)</w:t>
              </w:r>
            </w:hyperlink>
          </w:p>
        </w:tc>
        <w:tc>
          <w:tcPr>
            <w:tcW w:w="104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8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0000EE"/>
            </w:tcBorders>
            <w:shd w:val="clear" w:color="auto" w:fill="CCEEFF"/>
          </w:tcPr>
          <w:p>
            <w:pPr>
              <w:spacing w:after="0" w:line="20" w:lineRule="exact"/>
              <w:rPr>
                <w:sz w:val="1"/>
                <w:szCs w:val="1"/>
                <w:color w:val="auto"/>
              </w:rPr>
            </w:pPr>
          </w:p>
        </w:tc>
        <w:tc>
          <w:tcPr>
            <w:tcW w:w="694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60" w:type="dxa"/>
            <w:vAlign w:val="bottom"/>
          </w:tcPr>
          <w:p>
            <w:pPr>
              <w:spacing w:after="0"/>
              <w:rPr>
                <w:sz w:val="18"/>
                <w:szCs w:val="18"/>
                <w:color w:val="auto"/>
              </w:rPr>
            </w:pPr>
          </w:p>
        </w:tc>
        <w:tc>
          <w:tcPr>
            <w:tcW w:w="9160" w:type="dxa"/>
            <w:vAlign w:val="bottom"/>
            <w:gridSpan w:val="5"/>
          </w:tcPr>
          <w:p>
            <w:pPr>
              <w:ind w:left="6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Condensed Statements of Cash Flows for the six months ended June 30, 2020 and 2019 (unaudited)</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shd w:val="clear" w:color="auto" w:fill="CCEEFF"/>
          </w:tcPr>
          <w:p>
            <w:pPr>
              <w:spacing w:after="0"/>
              <w:rPr>
                <w:sz w:val="18"/>
                <w:szCs w:val="18"/>
                <w:color w:val="auto"/>
              </w:rPr>
            </w:pPr>
          </w:p>
        </w:tc>
        <w:tc>
          <w:tcPr>
            <w:tcW w:w="9160" w:type="dxa"/>
            <w:vAlign w:val="bottom"/>
            <w:gridSpan w:val="5"/>
            <w:shd w:val="clear" w:color="auto" w:fill="CCEEFF"/>
          </w:tcPr>
          <w:p>
            <w:pPr>
              <w:ind w:left="6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Notes to Unaudited Condensed Interim Financial Statements</w:t>
              </w:r>
            </w:hyperlink>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ind w:left="180"/>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Item 2.</w:t>
              </w:r>
            </w:hyperlink>
          </w:p>
        </w:tc>
        <w:tc>
          <w:tcPr>
            <w:tcW w:w="9160" w:type="dxa"/>
            <w:vAlign w:val="bottom"/>
            <w:gridSpan w:val="5"/>
          </w:tcPr>
          <w:p>
            <w:pPr>
              <w:ind w:left="60"/>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Management’s Discussion and Analysis of Financial Condition and Results of Operations</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shd w:val="clear" w:color="auto" w:fill="CCEEFF"/>
          </w:tcPr>
          <w:p>
            <w:pPr>
              <w:ind w:left="180"/>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Item 3.</w:t>
              </w:r>
            </w:hyperlink>
          </w:p>
        </w:tc>
        <w:tc>
          <w:tcPr>
            <w:tcW w:w="9160" w:type="dxa"/>
            <w:vAlign w:val="bottom"/>
            <w:gridSpan w:val="5"/>
            <w:shd w:val="clear" w:color="auto" w:fill="CCEEFF"/>
          </w:tcPr>
          <w:p>
            <w:pPr>
              <w:ind w:left="60"/>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Quantitative and Qualitative Disclosures About Market Risk</w:t>
              </w:r>
            </w:hyperlink>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ind w:left="180"/>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Item 4.</w:t>
              </w:r>
            </w:hyperlink>
          </w:p>
        </w:tc>
        <w:tc>
          <w:tcPr>
            <w:tcW w:w="9160" w:type="dxa"/>
            <w:vAlign w:val="bottom"/>
            <w:gridSpan w:val="5"/>
          </w:tcPr>
          <w:p>
            <w:pPr>
              <w:ind w:left="60"/>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Controls and Procedures</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gridSpan w:val="2"/>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9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gridSpan w:val="6"/>
          </w:tcPr>
          <w:p>
            <w:pPr>
              <w:spacing w:after="0"/>
              <w:rPr>
                <w:rFonts w:ascii="Arial" w:cs="Arial" w:eastAsia="Arial" w:hAnsi="Arial"/>
                <w:sz w:val="18"/>
                <w:szCs w:val="18"/>
                <w:b w:val="1"/>
                <w:bCs w:val="1"/>
                <w:u w:val="single" w:color="auto"/>
                <w:color w:val="0000EE"/>
              </w:rPr>
            </w:pPr>
            <w:hyperlink w:anchor="page26">
              <w:r>
                <w:rPr>
                  <w:rFonts w:ascii="Arial" w:cs="Arial" w:eastAsia="Arial" w:hAnsi="Arial"/>
                  <w:sz w:val="18"/>
                  <w:szCs w:val="18"/>
                  <w:b w:val="1"/>
                  <w:bCs w:val="1"/>
                  <w:u w:val="single" w:color="auto"/>
                  <w:color w:val="0000EE"/>
                </w:rPr>
                <w:t>PART II. OTHER INFORMATION</w:t>
              </w:r>
            </w:hyperlink>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9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ind w:left="18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Item 1.</w:t>
              </w:r>
            </w:hyperlink>
          </w:p>
        </w:tc>
        <w:tc>
          <w:tcPr>
            <w:tcW w:w="9160" w:type="dxa"/>
            <w:vAlign w:val="bottom"/>
            <w:gridSpan w:val="5"/>
          </w:tcPr>
          <w:p>
            <w:pPr>
              <w:ind w:left="6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Legal Proceedings</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shd w:val="clear" w:color="auto" w:fill="CCEEFF"/>
          </w:tcPr>
          <w:p>
            <w:pPr>
              <w:ind w:left="180"/>
              <w:spacing w:after="0"/>
              <w:rPr>
                <w:rFonts w:ascii="Arial" w:cs="Arial" w:eastAsia="Arial" w:hAnsi="Arial"/>
                <w:sz w:val="18"/>
                <w:szCs w:val="18"/>
                <w:u w:val="single" w:color="auto"/>
                <w:color w:val="0000EE"/>
                <w:w w:val="98"/>
              </w:rPr>
            </w:pPr>
            <w:hyperlink w:anchor="page26">
              <w:r>
                <w:rPr>
                  <w:rFonts w:ascii="Arial" w:cs="Arial" w:eastAsia="Arial" w:hAnsi="Arial"/>
                  <w:sz w:val="18"/>
                  <w:szCs w:val="18"/>
                  <w:u w:val="single" w:color="auto"/>
                  <w:color w:val="0000EE"/>
                  <w:w w:val="98"/>
                </w:rPr>
                <w:t>Item 1A.</w:t>
              </w:r>
            </w:hyperlink>
          </w:p>
        </w:tc>
        <w:tc>
          <w:tcPr>
            <w:tcW w:w="9160" w:type="dxa"/>
            <w:vAlign w:val="bottom"/>
            <w:gridSpan w:val="5"/>
            <w:shd w:val="clear" w:color="auto" w:fill="CCEEFF"/>
          </w:tcPr>
          <w:p>
            <w:pPr>
              <w:ind w:left="6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Risk Factors</w:t>
              </w:r>
            </w:hyperlink>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ind w:left="18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Item 2.</w:t>
              </w:r>
            </w:hyperlink>
          </w:p>
        </w:tc>
        <w:tc>
          <w:tcPr>
            <w:tcW w:w="9160" w:type="dxa"/>
            <w:vAlign w:val="bottom"/>
            <w:gridSpan w:val="5"/>
          </w:tcPr>
          <w:p>
            <w:pPr>
              <w:ind w:left="6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Unregistered Sales of Equity Securities and Use of Proceeds</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shd w:val="clear" w:color="auto" w:fill="CCEEFF"/>
          </w:tcPr>
          <w:p>
            <w:pPr>
              <w:ind w:left="18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Item 3.</w:t>
              </w:r>
            </w:hyperlink>
          </w:p>
        </w:tc>
        <w:tc>
          <w:tcPr>
            <w:tcW w:w="9160" w:type="dxa"/>
            <w:vAlign w:val="bottom"/>
            <w:gridSpan w:val="5"/>
            <w:shd w:val="clear" w:color="auto" w:fill="CCEEFF"/>
          </w:tcPr>
          <w:p>
            <w:pPr>
              <w:ind w:left="6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Defaults Upon Senior Securities</w:t>
              </w:r>
            </w:hyperlink>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ind w:left="18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Item 4.</w:t>
              </w:r>
            </w:hyperlink>
          </w:p>
        </w:tc>
        <w:tc>
          <w:tcPr>
            <w:tcW w:w="9160" w:type="dxa"/>
            <w:vAlign w:val="bottom"/>
            <w:gridSpan w:val="5"/>
          </w:tcPr>
          <w:p>
            <w:pPr>
              <w:ind w:left="6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Mine Safety Disclosures</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shd w:val="clear" w:color="auto" w:fill="CCEEFF"/>
          </w:tcPr>
          <w:p>
            <w:pPr>
              <w:ind w:left="18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Item 5.</w:t>
              </w:r>
            </w:hyperlink>
          </w:p>
        </w:tc>
        <w:tc>
          <w:tcPr>
            <w:tcW w:w="9160" w:type="dxa"/>
            <w:vAlign w:val="bottom"/>
            <w:gridSpan w:val="5"/>
            <w:shd w:val="clear" w:color="auto" w:fill="CCEEFF"/>
          </w:tcPr>
          <w:p>
            <w:pPr>
              <w:ind w:left="6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Other Information</w:t>
              </w:r>
            </w:hyperlink>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ind w:left="18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Item 6.</w:t>
              </w:r>
            </w:hyperlink>
          </w:p>
        </w:tc>
        <w:tc>
          <w:tcPr>
            <w:tcW w:w="9160" w:type="dxa"/>
            <w:vAlign w:val="bottom"/>
            <w:gridSpan w:val="5"/>
          </w:tcPr>
          <w:p>
            <w:pPr>
              <w:ind w:left="6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Exhibits</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gridSpan w:val="2"/>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9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0020" w:type="dxa"/>
            <w:vAlign w:val="bottom"/>
            <w:gridSpan w:val="6"/>
          </w:tcPr>
          <w:p>
            <w:pPr>
              <w:spacing w:after="0"/>
              <w:rPr>
                <w:rFonts w:ascii="Arial" w:cs="Arial" w:eastAsia="Arial" w:hAnsi="Arial"/>
                <w:sz w:val="18"/>
                <w:szCs w:val="18"/>
                <w:b w:val="1"/>
                <w:bCs w:val="1"/>
                <w:u w:val="single" w:color="auto"/>
                <w:color w:val="0000EE"/>
              </w:rPr>
            </w:pPr>
            <w:hyperlink w:anchor="page27">
              <w:r>
                <w:rPr>
                  <w:rFonts w:ascii="Arial" w:cs="Arial" w:eastAsia="Arial" w:hAnsi="Arial"/>
                  <w:sz w:val="18"/>
                  <w:szCs w:val="18"/>
                  <w:b w:val="1"/>
                  <w:bCs w:val="1"/>
                  <w:u w:val="single" w:color="auto"/>
                  <w:color w:val="0000EE"/>
                </w:rPr>
                <w:t>SIGNATURES</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2"/>
        </w:trPr>
        <w:tc>
          <w:tcPr>
            <w:tcW w:w="8680" w:type="dxa"/>
            <w:vAlign w:val="bottom"/>
          </w:tcPr>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636"/>
        </w:trPr>
        <w:tc>
          <w:tcPr>
            <w:tcW w:w="8680" w:type="dxa"/>
            <w:vAlign w:val="bottom"/>
          </w:tcPr>
          <w:p>
            <w:pPr>
              <w:spacing w:after="0"/>
              <w:rPr>
                <w:sz w:val="20"/>
                <w:szCs w:val="20"/>
                <w:color w:val="auto"/>
              </w:rPr>
            </w:pPr>
            <w:r>
              <w:rPr>
                <w:rFonts w:ascii="Arial" w:cs="Arial" w:eastAsia="Arial" w:hAnsi="Arial"/>
                <w:sz w:val="18"/>
                <w:szCs w:val="18"/>
                <w:b w:val="1"/>
                <w:bCs w:val="1"/>
                <w:color w:val="auto"/>
              </w:rPr>
              <w:t>PART I. FINANCIAL INFORMATION</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28"/>
        </w:trPr>
        <w:tc>
          <w:tcPr>
            <w:tcW w:w="8680" w:type="dxa"/>
            <w:vAlign w:val="bottom"/>
          </w:tcPr>
          <w:p>
            <w:pPr>
              <w:spacing w:after="0"/>
              <w:rPr>
                <w:sz w:val="20"/>
                <w:szCs w:val="20"/>
                <w:color w:val="auto"/>
              </w:rPr>
            </w:pPr>
            <w:r>
              <w:rPr>
                <w:rFonts w:ascii="Arial" w:cs="Arial" w:eastAsia="Arial" w:hAnsi="Arial"/>
                <w:sz w:val="18"/>
                <w:szCs w:val="18"/>
                <w:b w:val="1"/>
                <w:bCs w:val="1"/>
                <w:color w:val="auto"/>
              </w:rPr>
              <w:t>Item 1. Financial Statements</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420"/>
        </w:trPr>
        <w:tc>
          <w:tcPr>
            <w:tcW w:w="8680" w:type="dxa"/>
            <w:vAlign w:val="bottom"/>
          </w:tcPr>
          <w:p>
            <w:pPr>
              <w:ind w:left="4720"/>
              <w:spacing w:after="0"/>
              <w:rPr>
                <w:sz w:val="20"/>
                <w:szCs w:val="20"/>
                <w:color w:val="auto"/>
              </w:rPr>
            </w:pPr>
            <w:r>
              <w:rPr>
                <w:rFonts w:ascii="Arial" w:cs="Arial" w:eastAsia="Arial" w:hAnsi="Arial"/>
                <w:sz w:val="18"/>
                <w:szCs w:val="18"/>
                <w:b w:val="1"/>
                <w:bCs w:val="1"/>
                <w:color w:val="auto"/>
              </w:rPr>
              <w:t>Wrap Technologies, Inc.</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28"/>
        </w:trPr>
        <w:tc>
          <w:tcPr>
            <w:tcW w:w="8680" w:type="dxa"/>
            <w:vAlign w:val="bottom"/>
          </w:tcPr>
          <w:p>
            <w:pPr>
              <w:ind w:left="4620"/>
              <w:spacing w:after="0"/>
              <w:rPr>
                <w:sz w:val="20"/>
                <w:szCs w:val="20"/>
                <w:color w:val="auto"/>
              </w:rPr>
            </w:pPr>
            <w:r>
              <w:rPr>
                <w:rFonts w:ascii="Arial" w:cs="Arial" w:eastAsia="Arial" w:hAnsi="Arial"/>
                <w:sz w:val="18"/>
                <w:szCs w:val="18"/>
                <w:b w:val="1"/>
                <w:bCs w:val="1"/>
                <w:color w:val="auto"/>
              </w:rPr>
              <w:t>Condensed Balance Sheets</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486"/>
        </w:trPr>
        <w:tc>
          <w:tcPr>
            <w:tcW w:w="8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5"/>
              </w:rPr>
              <w:t>June 30,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43"/>
        </w:trPr>
        <w:tc>
          <w:tcPr>
            <w:tcW w:w="8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84"/>
              </w:rPr>
              <w:t>2020</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7"/>
              </w:rPr>
              <w:t>December 31,</w:t>
            </w:r>
          </w:p>
        </w:tc>
      </w:tr>
      <w:tr>
        <w:trPr>
          <w:trHeight w:val="252"/>
        </w:trPr>
        <w:tc>
          <w:tcPr>
            <w:tcW w:w="8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(unaudited)</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jc w:val="right"/>
              <w:ind w:right="272"/>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21"/>
                <w:szCs w:val="21"/>
                <w:color w:val="auto"/>
              </w:rPr>
            </w:pPr>
          </w:p>
        </w:tc>
      </w:tr>
      <w:tr>
        <w:trPr>
          <w:trHeight w:val="241"/>
        </w:trPr>
        <w:tc>
          <w:tcPr>
            <w:tcW w:w="868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r>
      <w:tr>
        <w:trPr>
          <w:trHeight w:val="244"/>
        </w:trPr>
        <w:tc>
          <w:tcPr>
            <w:tcW w:w="868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17"/>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35,385,246</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16,983,864</w:t>
            </w: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Accounts receivable, net</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492,186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195,347</w:t>
            </w: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Inventories, net</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2,086,505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2,244,541</w:t>
            </w: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280,270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250,947</w:t>
            </w:r>
          </w:p>
        </w:tc>
      </w:tr>
      <w:tr>
        <w:trPr>
          <w:trHeight w:val="27"/>
        </w:trPr>
        <w:tc>
          <w:tcPr>
            <w:tcW w:w="8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38,244,207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19,674,699</w:t>
            </w: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Property and equipment, net</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264,170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242,876</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lease right-of-use asset, net</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201,131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260,931</w:t>
            </w: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Intangible assets, net</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306,990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230,283</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assets, net</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12,681</w:t>
            </w:r>
          </w:p>
        </w:tc>
      </w:tr>
      <w:tr>
        <w:trPr>
          <w:trHeight w:val="27"/>
        </w:trPr>
        <w:tc>
          <w:tcPr>
            <w:tcW w:w="86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39,029,179</w:t>
            </w:r>
          </w:p>
        </w:tc>
        <w:tc>
          <w:tcPr>
            <w:tcW w:w="18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20,421,470</w:t>
            </w:r>
          </w:p>
        </w:tc>
      </w:tr>
      <w:tr>
        <w:trPr>
          <w:trHeight w:val="21"/>
        </w:trPr>
        <w:tc>
          <w:tcPr>
            <w:tcW w:w="8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9"/>
        </w:trPr>
        <w:tc>
          <w:tcPr>
            <w:tcW w:w="8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783,289</w:t>
            </w:r>
          </w:p>
        </w:tc>
        <w:tc>
          <w:tcPr>
            <w:tcW w:w="18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406,967</w:t>
            </w: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liabilities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345,115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194,294</w:t>
            </w: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Customer deposits</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183,537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343,724</w:t>
            </w: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revenue</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2,684</w:t>
            </w: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Operating lease liability - short term</w:t>
            </w:r>
          </w:p>
        </w:tc>
        <w:tc>
          <w:tcPr>
            <w:tcW w:w="10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113,954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128,131</w:t>
            </w: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Note payable to bank - short term</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159,815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7"/>
        </w:trPr>
        <w:tc>
          <w:tcPr>
            <w:tcW w:w="86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Total current liabilities</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1,588,194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1,075,800</w:t>
            </w:r>
          </w:p>
        </w:tc>
      </w:tr>
      <w:tr>
        <w:trPr>
          <w:trHeight w:val="216"/>
        </w:trPr>
        <w:tc>
          <w:tcPr>
            <w:tcW w:w="8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Long-term liabilities:</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Lease Liability - long term</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101,826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150,018</w:t>
            </w: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Note payable to bank - long term</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255,228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7"/>
        </w:trPr>
        <w:tc>
          <w:tcPr>
            <w:tcW w:w="8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long-term liabilities</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357,054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150,018</w:t>
            </w:r>
          </w:p>
        </w:tc>
      </w:tr>
      <w:tr>
        <w:trPr>
          <w:trHeight w:val="27"/>
        </w:trPr>
        <w:tc>
          <w:tcPr>
            <w:tcW w:w="86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1,945,248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1,225,818</w:t>
            </w:r>
          </w:p>
        </w:tc>
      </w:tr>
      <w:tr>
        <w:trPr>
          <w:trHeight w:val="216"/>
        </w:trPr>
        <w:tc>
          <w:tcPr>
            <w:tcW w:w="86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Commitments and contingencies (Note 11)</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Preferred stock - 5,000,000 authorized; par value $0.0001 per share; none issued and outstanding</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08"/>
        </w:trPr>
        <w:tc>
          <w:tcPr>
            <w:tcW w:w="8680" w:type="dxa"/>
            <w:vAlign w:val="bottom"/>
          </w:tcPr>
          <w:p>
            <w:pPr>
              <w:ind w:left="340"/>
              <w:spacing w:after="0"/>
              <w:rPr>
                <w:sz w:val="20"/>
                <w:szCs w:val="20"/>
                <w:color w:val="auto"/>
              </w:rPr>
            </w:pPr>
            <w:r>
              <w:rPr>
                <w:rFonts w:ascii="Arial" w:cs="Arial" w:eastAsia="Arial" w:hAnsi="Arial"/>
                <w:sz w:val="18"/>
                <w:szCs w:val="18"/>
                <w:color w:val="auto"/>
                <w:w w:val="88"/>
              </w:rPr>
              <w:t>Common stock - 150,000,000 authorized; par value $0.0001 per share; 34,361,591 and 29,829,916 shares issued and</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3"/>
        </w:trPr>
        <w:tc>
          <w:tcPr>
            <w:tcW w:w="8680" w:type="dxa"/>
            <w:vAlign w:val="bottom"/>
          </w:tcPr>
          <w:p>
            <w:pPr>
              <w:ind w:left="340"/>
              <w:spacing w:after="0"/>
              <w:rPr>
                <w:sz w:val="20"/>
                <w:szCs w:val="20"/>
                <w:color w:val="auto"/>
              </w:rPr>
            </w:pPr>
            <w:r>
              <w:rPr>
                <w:rFonts w:ascii="Arial" w:cs="Arial" w:eastAsia="Arial" w:hAnsi="Arial"/>
                <w:sz w:val="18"/>
                <w:szCs w:val="18"/>
                <w:color w:val="auto"/>
              </w:rPr>
              <w:t>outstanding each period, respectively</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3,436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2,983</w:t>
            </w:r>
          </w:p>
        </w:tc>
      </w:tr>
      <w:tr>
        <w:trPr>
          <w:trHeight w:val="217"/>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54,972,797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31,922,493</w:t>
            </w: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(17,892,302)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(12,729,824)</w:t>
            </w:r>
          </w:p>
        </w:tc>
      </w:tr>
      <w:tr>
        <w:trPr>
          <w:trHeight w:val="27"/>
        </w:trPr>
        <w:tc>
          <w:tcPr>
            <w:tcW w:w="8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stockholders' equity</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37,083,931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19,195,652</w:t>
            </w:r>
          </w:p>
        </w:tc>
      </w:tr>
      <w:tr>
        <w:trPr>
          <w:trHeight w:val="27"/>
        </w:trPr>
        <w:tc>
          <w:tcPr>
            <w:tcW w:w="86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39,029,179</w:t>
            </w:r>
          </w:p>
        </w:tc>
        <w:tc>
          <w:tcPr>
            <w:tcW w:w="18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20,421,470</w:t>
            </w:r>
          </w:p>
        </w:tc>
      </w:tr>
      <w:tr>
        <w:trPr>
          <w:trHeight w:val="20"/>
        </w:trPr>
        <w:tc>
          <w:tcPr>
            <w:tcW w:w="8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35"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See accompanying notes to condensed interim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2"/>
        </w:trPr>
        <w:tc>
          <w:tcPr>
            <w:tcW w:w="3380" w:type="dxa"/>
            <w:vAlign w:val="bottom"/>
          </w:tcPr>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tc>
        <w:tc>
          <w:tcPr>
            <w:tcW w:w="2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636"/>
        </w:trPr>
        <w:tc>
          <w:tcPr>
            <w:tcW w:w="3380" w:type="dxa"/>
            <w:vAlign w:val="bottom"/>
          </w:tcPr>
          <w:p>
            <w:pPr>
              <w:spacing w:after="0"/>
              <w:rPr>
                <w:sz w:val="24"/>
                <w:szCs w:val="24"/>
                <w:color w:val="auto"/>
              </w:rPr>
            </w:pPr>
          </w:p>
        </w:tc>
        <w:tc>
          <w:tcPr>
            <w:tcW w:w="3860" w:type="dxa"/>
            <w:vAlign w:val="bottom"/>
            <w:gridSpan w:val="4"/>
          </w:tcPr>
          <w:p>
            <w:pPr>
              <w:jc w:val="center"/>
              <w:ind w:left="532"/>
              <w:spacing w:after="0"/>
              <w:rPr>
                <w:sz w:val="20"/>
                <w:szCs w:val="20"/>
                <w:color w:val="auto"/>
              </w:rPr>
            </w:pPr>
            <w:r>
              <w:rPr>
                <w:rFonts w:ascii="Arial" w:cs="Arial" w:eastAsia="Arial" w:hAnsi="Arial"/>
                <w:sz w:val="18"/>
                <w:szCs w:val="18"/>
                <w:b w:val="1"/>
                <w:bCs w:val="1"/>
                <w:color w:val="auto"/>
                <w:w w:val="86"/>
              </w:rPr>
              <w:t>Wrap Technologies, Inc.</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6"/>
        </w:trPr>
        <w:tc>
          <w:tcPr>
            <w:tcW w:w="3380" w:type="dxa"/>
            <w:vAlign w:val="bottom"/>
          </w:tcPr>
          <w:p>
            <w:pPr>
              <w:spacing w:after="0"/>
              <w:rPr>
                <w:sz w:val="18"/>
                <w:szCs w:val="18"/>
                <w:color w:val="auto"/>
              </w:rPr>
            </w:pPr>
          </w:p>
        </w:tc>
        <w:tc>
          <w:tcPr>
            <w:tcW w:w="3860" w:type="dxa"/>
            <w:vAlign w:val="bottom"/>
            <w:gridSpan w:val="4"/>
          </w:tcPr>
          <w:p>
            <w:pPr>
              <w:jc w:val="center"/>
              <w:ind w:left="552"/>
              <w:spacing w:after="0"/>
              <w:rPr>
                <w:sz w:val="20"/>
                <w:szCs w:val="20"/>
                <w:color w:val="auto"/>
              </w:rPr>
            </w:pPr>
            <w:r>
              <w:rPr>
                <w:rFonts w:ascii="Arial" w:cs="Arial" w:eastAsia="Arial" w:hAnsi="Arial"/>
                <w:sz w:val="18"/>
                <w:szCs w:val="18"/>
                <w:b w:val="1"/>
                <w:bCs w:val="1"/>
                <w:color w:val="auto"/>
                <w:w w:val="86"/>
              </w:rPr>
              <w:t>Condensed Statements of Operations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8"/>
        </w:trPr>
        <w:tc>
          <w:tcPr>
            <w:tcW w:w="3380" w:type="dxa"/>
            <w:vAlign w:val="bottom"/>
          </w:tcPr>
          <w:p>
            <w:pPr>
              <w:spacing w:after="0"/>
              <w:rPr>
                <w:sz w:val="19"/>
                <w:szCs w:val="19"/>
                <w:color w:val="auto"/>
              </w:rPr>
            </w:pPr>
          </w:p>
        </w:tc>
        <w:tc>
          <w:tcPr>
            <w:tcW w:w="2800" w:type="dxa"/>
            <w:vAlign w:val="bottom"/>
            <w:gridSpan w:val="2"/>
          </w:tcPr>
          <w:p>
            <w:pPr>
              <w:jc w:val="center"/>
              <w:ind w:left="1592"/>
              <w:spacing w:after="0"/>
              <w:rPr>
                <w:sz w:val="20"/>
                <w:szCs w:val="20"/>
                <w:color w:val="auto"/>
              </w:rPr>
            </w:pPr>
            <w:r>
              <w:rPr>
                <w:rFonts w:ascii="Arial" w:cs="Arial" w:eastAsia="Arial" w:hAnsi="Arial"/>
                <w:sz w:val="18"/>
                <w:szCs w:val="18"/>
                <w:b w:val="1"/>
                <w:bCs w:val="1"/>
                <w:color w:val="auto"/>
                <w:w w:val="89"/>
              </w:rPr>
              <w:t>(unaudited)</w:t>
            </w: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486"/>
        </w:trPr>
        <w:tc>
          <w:tcPr>
            <w:tcW w:w="338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0" w:type="dxa"/>
            <w:vAlign w:val="bottom"/>
            <w:gridSpan w:val="6"/>
          </w:tcPr>
          <w:p>
            <w:pPr>
              <w:jc w:val="right"/>
              <w:ind w:right="840"/>
              <w:spacing w:after="0"/>
              <w:rPr>
                <w:sz w:val="20"/>
                <w:szCs w:val="20"/>
                <w:color w:val="auto"/>
              </w:rPr>
            </w:pPr>
            <w:r>
              <w:rPr>
                <w:rFonts w:ascii="Arial" w:cs="Arial" w:eastAsia="Arial" w:hAnsi="Arial"/>
                <w:sz w:val="18"/>
                <w:szCs w:val="18"/>
                <w:b w:val="1"/>
                <w:bCs w:val="1"/>
                <w:color w:val="auto"/>
              </w:rPr>
              <w:t>Three Months</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60" w:type="dxa"/>
            <w:vAlign w:val="bottom"/>
            <w:gridSpan w:val="6"/>
          </w:tcPr>
          <w:p>
            <w:pPr>
              <w:jc w:val="right"/>
              <w:ind w:right="920"/>
              <w:spacing w:after="0"/>
              <w:rPr>
                <w:sz w:val="20"/>
                <w:szCs w:val="20"/>
                <w:color w:val="auto"/>
              </w:rPr>
            </w:pPr>
            <w:r>
              <w:rPr>
                <w:rFonts w:ascii="Arial" w:cs="Arial" w:eastAsia="Arial" w:hAnsi="Arial"/>
                <w:sz w:val="18"/>
                <w:szCs w:val="18"/>
                <w:b w:val="1"/>
                <w:bCs w:val="1"/>
                <w:color w:val="auto"/>
              </w:rPr>
              <w:t>Six Months</w:t>
            </w:r>
          </w:p>
        </w:tc>
      </w:tr>
      <w:tr>
        <w:trPr>
          <w:trHeight w:val="243"/>
        </w:trPr>
        <w:tc>
          <w:tcPr>
            <w:tcW w:w="3380" w:type="dxa"/>
            <w:vAlign w:val="bottom"/>
          </w:tcPr>
          <w:p>
            <w:pPr>
              <w:spacing w:after="0"/>
              <w:rPr>
                <w:sz w:val="21"/>
                <w:szCs w:val="21"/>
                <w:color w:val="auto"/>
              </w:rPr>
            </w:pPr>
          </w:p>
        </w:tc>
        <w:tc>
          <w:tcPr>
            <w:tcW w:w="2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0" w:type="dxa"/>
            <w:vAlign w:val="bottom"/>
            <w:gridSpan w:val="6"/>
          </w:tcPr>
          <w:p>
            <w:pPr>
              <w:jc w:val="right"/>
              <w:ind w:right="800"/>
              <w:spacing w:after="0"/>
              <w:rPr>
                <w:sz w:val="20"/>
                <w:szCs w:val="20"/>
                <w:color w:val="auto"/>
              </w:rPr>
            </w:pPr>
            <w:r>
              <w:rPr>
                <w:rFonts w:ascii="Arial" w:cs="Arial" w:eastAsia="Arial" w:hAnsi="Arial"/>
                <w:sz w:val="18"/>
                <w:szCs w:val="18"/>
                <w:b w:val="1"/>
                <w:bCs w:val="1"/>
                <w:color w:val="auto"/>
              </w:rPr>
              <w:t>Ended June 30,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360" w:type="dxa"/>
            <w:vAlign w:val="bottom"/>
            <w:gridSpan w:val="6"/>
          </w:tcPr>
          <w:p>
            <w:pPr>
              <w:jc w:val="right"/>
              <w:ind w:right="760"/>
              <w:spacing w:after="0"/>
              <w:rPr>
                <w:sz w:val="20"/>
                <w:szCs w:val="20"/>
                <w:color w:val="auto"/>
              </w:rPr>
            </w:pPr>
            <w:r>
              <w:rPr>
                <w:rFonts w:ascii="Arial" w:cs="Arial" w:eastAsia="Arial" w:hAnsi="Arial"/>
                <w:sz w:val="18"/>
                <w:szCs w:val="18"/>
                <w:b w:val="1"/>
                <w:bCs w:val="1"/>
                <w:color w:val="auto"/>
              </w:rPr>
              <w:t>Ended June 30,</w:t>
            </w:r>
          </w:p>
        </w:tc>
      </w:tr>
      <w:tr>
        <w:trPr>
          <w:trHeight w:val="252"/>
        </w:trPr>
        <w:tc>
          <w:tcPr>
            <w:tcW w:w="3380" w:type="dxa"/>
            <w:vAlign w:val="bottom"/>
          </w:tcPr>
          <w:p>
            <w:pPr>
              <w:spacing w:after="0"/>
              <w:rPr>
                <w:sz w:val="21"/>
                <w:szCs w:val="21"/>
                <w:color w:val="auto"/>
              </w:rPr>
            </w:pPr>
          </w:p>
        </w:tc>
        <w:tc>
          <w:tcPr>
            <w:tcW w:w="26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2020</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2020</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21"/>
                <w:szCs w:val="21"/>
                <w:color w:val="auto"/>
              </w:rPr>
            </w:pPr>
          </w:p>
        </w:tc>
      </w:tr>
      <w:tr>
        <w:trPr>
          <w:trHeight w:val="242"/>
        </w:trPr>
        <w:tc>
          <w:tcPr>
            <w:tcW w:w="3380" w:type="dxa"/>
            <w:vAlign w:val="bottom"/>
          </w:tcPr>
          <w:p>
            <w:pPr>
              <w:spacing w:after="0"/>
              <w:rPr>
                <w:sz w:val="20"/>
                <w:szCs w:val="20"/>
                <w:color w:val="auto"/>
              </w:rPr>
            </w:pPr>
            <w:r>
              <w:rPr>
                <w:rFonts w:ascii="Arial" w:cs="Arial" w:eastAsia="Arial" w:hAnsi="Arial"/>
                <w:sz w:val="18"/>
                <w:szCs w:val="18"/>
                <w:b w:val="1"/>
                <w:bCs w:val="1"/>
                <w:color w:val="auto"/>
              </w:rPr>
              <w:t>Revenues:</w:t>
            </w:r>
          </w:p>
        </w:tc>
        <w:tc>
          <w:tcPr>
            <w:tcW w:w="2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17"/>
        </w:trPr>
        <w:tc>
          <w:tcPr>
            <w:tcW w:w="3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Product sales</w:t>
            </w:r>
          </w:p>
        </w:tc>
        <w:tc>
          <w:tcPr>
            <w:tcW w:w="28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823,164</w:t>
            </w:r>
          </w:p>
        </w:tc>
        <w:tc>
          <w:tcPr>
            <w:tcW w:w="1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48,948</w:t>
            </w:r>
          </w:p>
        </w:tc>
        <w:tc>
          <w:tcPr>
            <w:tcW w:w="1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1,497,777</w:t>
            </w:r>
          </w:p>
        </w:tc>
        <w:tc>
          <w:tcPr>
            <w:tcW w:w="1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162,901</w:t>
            </w:r>
          </w:p>
        </w:tc>
      </w:tr>
      <w:tr>
        <w:trPr>
          <w:trHeight w:val="216"/>
        </w:trPr>
        <w:tc>
          <w:tcPr>
            <w:tcW w:w="3380" w:type="dxa"/>
            <w:vAlign w:val="bottom"/>
          </w:tcPr>
          <w:p>
            <w:pPr>
              <w:ind w:left="100"/>
              <w:spacing w:after="0"/>
              <w:rPr>
                <w:sz w:val="20"/>
                <w:szCs w:val="20"/>
                <w:color w:val="auto"/>
              </w:rPr>
            </w:pPr>
            <w:r>
              <w:rPr>
                <w:rFonts w:ascii="Arial" w:cs="Arial" w:eastAsia="Arial" w:hAnsi="Arial"/>
                <w:sz w:val="18"/>
                <w:szCs w:val="18"/>
                <w:color w:val="auto"/>
              </w:rPr>
              <w:t>Other revenue</w:t>
            </w:r>
          </w:p>
        </w:tc>
        <w:tc>
          <w:tcPr>
            <w:tcW w:w="2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9,428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10,496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24,252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14,354</w:t>
            </w:r>
          </w:p>
        </w:tc>
      </w:tr>
      <w:tr>
        <w:trPr>
          <w:trHeight w:val="27"/>
        </w:trPr>
        <w:tc>
          <w:tcPr>
            <w:tcW w:w="338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832,592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59,444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1,522,029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177,255</w:t>
            </w: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Cost of revenues</w:t>
            </w:r>
          </w:p>
        </w:tc>
        <w:tc>
          <w:tcPr>
            <w:tcW w:w="2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564,970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35,695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970,782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96,915</w:t>
            </w:r>
          </w:p>
        </w:tc>
      </w:tr>
      <w:tr>
        <w:trPr>
          <w:trHeight w:val="27"/>
        </w:trPr>
        <w:tc>
          <w:tcPr>
            <w:tcW w:w="338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23"/>
        </w:trPr>
        <w:tc>
          <w:tcPr>
            <w:tcW w:w="3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26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267,622</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23,749</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551,247</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80,340</w:t>
            </w:r>
          </w:p>
        </w:tc>
      </w:tr>
      <w:tr>
        <w:trPr>
          <w:trHeight w:val="216"/>
        </w:trPr>
        <w:tc>
          <w:tcPr>
            <w:tcW w:w="3380" w:type="dxa"/>
            <w:vAlign w:val="bottom"/>
            <w:tcBorders>
              <w:top w:val="single" w:sz="8" w:color="CCEEFF"/>
            </w:tcBorders>
          </w:tcPr>
          <w:p>
            <w:pPr>
              <w:spacing w:after="0"/>
              <w:rPr>
                <w:sz w:val="18"/>
                <w:szCs w:val="18"/>
                <w:color w:val="auto"/>
              </w:rPr>
            </w:pPr>
          </w:p>
        </w:tc>
        <w:tc>
          <w:tcPr>
            <w:tcW w:w="26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2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3380" w:type="dxa"/>
            <w:vAlign w:val="bottom"/>
          </w:tcPr>
          <w:p>
            <w:pPr>
              <w:ind w:left="100"/>
              <w:spacing w:after="0"/>
              <w:rPr>
                <w:sz w:val="20"/>
                <w:szCs w:val="20"/>
                <w:color w:val="auto"/>
              </w:rPr>
            </w:pPr>
            <w:r>
              <w:rPr>
                <w:rFonts w:ascii="Arial" w:cs="Arial" w:eastAsia="Arial" w:hAnsi="Arial"/>
                <w:sz w:val="18"/>
                <w:szCs w:val="18"/>
                <w:color w:val="auto"/>
              </w:rPr>
              <w:t>Selling, general and administrative</w:t>
            </w:r>
          </w:p>
        </w:tc>
        <w:tc>
          <w:tcPr>
            <w:tcW w:w="2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2,537,547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1,481,187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4,677,797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2,669,063</w:t>
            </w:r>
          </w:p>
        </w:tc>
      </w:tr>
      <w:tr>
        <w:trPr>
          <w:trHeight w:val="216"/>
        </w:trPr>
        <w:tc>
          <w:tcPr>
            <w:tcW w:w="3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Research and development</w:t>
            </w:r>
          </w:p>
        </w:tc>
        <w:tc>
          <w:tcPr>
            <w:tcW w:w="2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577,478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516,213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1,110,956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891,032</w:t>
            </w:r>
          </w:p>
        </w:tc>
      </w:tr>
      <w:tr>
        <w:trPr>
          <w:trHeight w:val="27"/>
        </w:trPr>
        <w:tc>
          <w:tcPr>
            <w:tcW w:w="3380" w:type="dxa"/>
            <w:vAlign w:val="bottom"/>
            <w:shd w:val="clear" w:color="auto" w:fill="CCEEFF"/>
          </w:tcPr>
          <w:p>
            <w:pPr>
              <w:spacing w:after="0"/>
              <w:rPr>
                <w:sz w:val="2"/>
                <w:szCs w:val="2"/>
                <w:color w:val="auto"/>
              </w:rPr>
            </w:pPr>
          </w:p>
        </w:tc>
        <w:tc>
          <w:tcPr>
            <w:tcW w:w="26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2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3,115,025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1,997,400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5,788,753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3,560,095</w:t>
            </w:r>
          </w:p>
        </w:tc>
      </w:tr>
      <w:tr>
        <w:trPr>
          <w:trHeight w:val="27"/>
        </w:trPr>
        <w:tc>
          <w:tcPr>
            <w:tcW w:w="338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23"/>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6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(2,847,403)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(1,973,651)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(5,237,506)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(3,479,755)</w:t>
            </w:r>
          </w:p>
        </w:tc>
      </w:tr>
      <w:tr>
        <w:trPr>
          <w:trHeight w:val="216"/>
        </w:trPr>
        <w:tc>
          <w:tcPr>
            <w:tcW w:w="3380" w:type="dxa"/>
            <w:vAlign w:val="bottom"/>
            <w:tcBorders>
              <w:top w:val="single" w:sz="8" w:color="CCEEFF"/>
            </w:tcBorders>
          </w:tcPr>
          <w:p>
            <w:pPr>
              <w:spacing w:after="0"/>
              <w:rPr>
                <w:sz w:val="18"/>
                <w:szCs w:val="18"/>
                <w:color w:val="auto"/>
              </w:rPr>
            </w:pPr>
          </w:p>
        </w:tc>
        <w:tc>
          <w:tcPr>
            <w:tcW w:w="26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 (expense):</w:t>
            </w:r>
          </w:p>
        </w:tc>
        <w:tc>
          <w:tcPr>
            <w:tcW w:w="2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3380" w:type="dxa"/>
            <w:vAlign w:val="bottom"/>
          </w:tcPr>
          <w:p>
            <w:pPr>
              <w:ind w:left="100"/>
              <w:spacing w:after="0"/>
              <w:rPr>
                <w:sz w:val="20"/>
                <w:szCs w:val="20"/>
                <w:color w:val="auto"/>
              </w:rPr>
            </w:pPr>
            <w:r>
              <w:rPr>
                <w:rFonts w:ascii="Arial" w:cs="Arial" w:eastAsia="Arial" w:hAnsi="Arial"/>
                <w:sz w:val="18"/>
                <w:szCs w:val="18"/>
                <w:color w:val="auto"/>
              </w:rPr>
              <w:t>Interest income</w:t>
            </w:r>
          </w:p>
        </w:tc>
        <w:tc>
          <w:tcPr>
            <w:tcW w:w="2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30,578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61,777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75,096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87,187</w:t>
            </w:r>
          </w:p>
        </w:tc>
      </w:tr>
      <w:tr>
        <w:trPr>
          <w:trHeight w:val="216"/>
        </w:trPr>
        <w:tc>
          <w:tcPr>
            <w:tcW w:w="3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w:t>
            </w:r>
          </w:p>
        </w:tc>
        <w:tc>
          <w:tcPr>
            <w:tcW w:w="2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(2,287)</w:t>
            </w:r>
          </w:p>
        </w:tc>
      </w:tr>
      <w:tr>
        <w:trPr>
          <w:trHeight w:val="27"/>
        </w:trPr>
        <w:tc>
          <w:tcPr>
            <w:tcW w:w="3380" w:type="dxa"/>
            <w:vAlign w:val="bottom"/>
            <w:shd w:val="clear" w:color="auto" w:fill="CCEEFF"/>
          </w:tcPr>
          <w:p>
            <w:pPr>
              <w:spacing w:after="0"/>
              <w:rPr>
                <w:sz w:val="2"/>
                <w:szCs w:val="2"/>
                <w:color w:val="auto"/>
              </w:rPr>
            </w:pPr>
          </w:p>
        </w:tc>
        <w:tc>
          <w:tcPr>
            <w:tcW w:w="26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16"/>
        </w:trPr>
        <w:tc>
          <w:tcPr>
            <w:tcW w:w="33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30,900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59,577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75,028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84,900</w:t>
            </w:r>
          </w:p>
        </w:tc>
      </w:tr>
      <w:tr>
        <w:trPr>
          <w:trHeight w:val="27"/>
        </w:trPr>
        <w:tc>
          <w:tcPr>
            <w:tcW w:w="338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56"/>
        </w:trPr>
        <w:tc>
          <w:tcPr>
            <w:tcW w:w="3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26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(2,816,503)</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(1,914,074)</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(5,162,478)</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(3,394,855)</w:t>
            </w:r>
          </w:p>
        </w:tc>
      </w:tr>
      <w:tr>
        <w:trPr>
          <w:trHeight w:val="210"/>
        </w:trPr>
        <w:tc>
          <w:tcPr>
            <w:tcW w:w="3380" w:type="dxa"/>
            <w:vAlign w:val="bottom"/>
            <w:tcBorders>
              <w:top w:val="single" w:sz="8" w:color="CCEEFF"/>
            </w:tcBorders>
          </w:tcPr>
          <w:p>
            <w:pPr>
              <w:spacing w:after="0"/>
              <w:rPr>
                <w:sz w:val="18"/>
                <w:szCs w:val="18"/>
                <w:color w:val="auto"/>
              </w:rPr>
            </w:pPr>
          </w:p>
        </w:tc>
        <w:tc>
          <w:tcPr>
            <w:tcW w:w="26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r>
      <w:tr>
        <w:trPr>
          <w:trHeight w:val="25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Net loss per basic common share</w:t>
            </w:r>
          </w:p>
        </w:tc>
        <w:tc>
          <w:tcPr>
            <w:tcW w:w="26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(0.09)</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(0.07)</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(0.17)</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(0.12)</w:t>
            </w:r>
          </w:p>
        </w:tc>
      </w:tr>
      <w:tr>
        <w:trPr>
          <w:trHeight w:val="201"/>
        </w:trPr>
        <w:tc>
          <w:tcPr>
            <w:tcW w:w="5980" w:type="dxa"/>
            <w:vAlign w:val="bottom"/>
            <w:tcBorders>
              <w:top w:val="single" w:sz="8" w:color="CCEEFF"/>
            </w:tcBorders>
            <w:gridSpan w:val="2"/>
          </w:tcPr>
          <w:p>
            <w:pPr>
              <w:spacing w:after="0" w:line="201" w:lineRule="exact"/>
              <w:rPr>
                <w:sz w:val="20"/>
                <w:szCs w:val="20"/>
                <w:color w:val="auto"/>
              </w:rPr>
            </w:pPr>
            <w:r>
              <w:rPr>
                <w:rFonts w:ascii="Arial" w:cs="Arial" w:eastAsia="Arial" w:hAnsi="Arial"/>
                <w:sz w:val="18"/>
                <w:szCs w:val="18"/>
                <w:color w:val="auto"/>
                <w:w w:val="93"/>
              </w:rPr>
              <w:t>Weighted average common shares used to compute net loss per basic common</w:t>
            </w:r>
          </w:p>
        </w:tc>
        <w:tc>
          <w:tcPr>
            <w:tcW w:w="2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r>
      <w:tr>
        <w:trPr>
          <w:trHeight w:val="223"/>
        </w:trPr>
        <w:tc>
          <w:tcPr>
            <w:tcW w:w="3380" w:type="dxa"/>
            <w:vAlign w:val="bottom"/>
          </w:tcPr>
          <w:p>
            <w:pPr>
              <w:spacing w:after="0"/>
              <w:rPr>
                <w:sz w:val="20"/>
                <w:szCs w:val="20"/>
                <w:color w:val="auto"/>
              </w:rPr>
            </w:pPr>
            <w:r>
              <w:rPr>
                <w:rFonts w:ascii="Arial" w:cs="Arial" w:eastAsia="Arial" w:hAnsi="Arial"/>
                <w:sz w:val="18"/>
                <w:szCs w:val="18"/>
                <w:color w:val="auto"/>
              </w:rPr>
              <w:t>share</w:t>
            </w:r>
          </w:p>
        </w:tc>
        <w:tc>
          <w:tcPr>
            <w:tcW w:w="2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31,241,470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27,848,421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30,749,532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27,606,514</w:t>
            </w:r>
          </w:p>
        </w:tc>
      </w:tr>
      <w:tr>
        <w:trPr>
          <w:trHeight w:val="22"/>
        </w:trPr>
        <w:tc>
          <w:tcPr>
            <w:tcW w:w="33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See accompanying notes to condensed interim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22"/>
        </w:trPr>
        <w:tc>
          <w:tcPr>
            <w:tcW w:w="4640" w:type="dxa"/>
            <w:vAlign w:val="bottom"/>
          </w:tcPr>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6"/>
        </w:trPr>
        <w:tc>
          <w:tcPr>
            <w:tcW w:w="4640" w:type="dxa"/>
            <w:vAlign w:val="bottom"/>
          </w:tcPr>
          <w:p>
            <w:pPr>
              <w:spacing w:after="0"/>
              <w:rPr>
                <w:sz w:val="24"/>
                <w:szCs w:val="24"/>
                <w:color w:val="auto"/>
              </w:rPr>
            </w:pPr>
          </w:p>
        </w:tc>
        <w:tc>
          <w:tcPr>
            <w:tcW w:w="2560" w:type="dxa"/>
            <w:vAlign w:val="bottom"/>
            <w:gridSpan w:val="6"/>
          </w:tcPr>
          <w:p>
            <w:pPr>
              <w:jc w:val="center"/>
              <w:ind w:right="600"/>
              <w:spacing w:after="0"/>
              <w:rPr>
                <w:sz w:val="20"/>
                <w:szCs w:val="20"/>
                <w:color w:val="auto"/>
              </w:rPr>
            </w:pPr>
            <w:r>
              <w:rPr>
                <w:rFonts w:ascii="Arial" w:cs="Arial" w:eastAsia="Arial" w:hAnsi="Arial"/>
                <w:sz w:val="18"/>
                <w:szCs w:val="18"/>
                <w:b w:val="1"/>
                <w:bCs w:val="1"/>
                <w:color w:val="auto"/>
                <w:w w:val="86"/>
              </w:rPr>
              <w:t>Wrap Technologies, Inc.</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200" w:type="dxa"/>
            <w:vAlign w:val="bottom"/>
            <w:gridSpan w:val="7"/>
          </w:tcPr>
          <w:p>
            <w:pPr>
              <w:jc w:val="center"/>
              <w:ind w:left="3952"/>
              <w:spacing w:after="0"/>
              <w:rPr>
                <w:sz w:val="20"/>
                <w:szCs w:val="20"/>
                <w:color w:val="auto"/>
              </w:rPr>
            </w:pPr>
            <w:r>
              <w:rPr>
                <w:rFonts w:ascii="Arial" w:cs="Arial" w:eastAsia="Arial" w:hAnsi="Arial"/>
                <w:sz w:val="18"/>
                <w:szCs w:val="18"/>
                <w:b w:val="1"/>
                <w:bCs w:val="1"/>
                <w:color w:val="auto"/>
                <w:w w:val="87"/>
              </w:rPr>
              <w:t>Statements of Stockholders' Equity</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640" w:type="dxa"/>
            <w:vAlign w:val="bottom"/>
          </w:tcPr>
          <w:p>
            <w:pPr>
              <w:spacing w:after="0"/>
              <w:rPr>
                <w:sz w:val="19"/>
                <w:szCs w:val="19"/>
                <w:color w:val="auto"/>
              </w:rPr>
            </w:pPr>
          </w:p>
        </w:tc>
        <w:tc>
          <w:tcPr>
            <w:tcW w:w="1500" w:type="dxa"/>
            <w:vAlign w:val="bottom"/>
            <w:gridSpan w:val="4"/>
          </w:tcPr>
          <w:p>
            <w:pPr>
              <w:jc w:val="center"/>
              <w:ind w:left="372"/>
              <w:spacing w:after="0"/>
              <w:rPr>
                <w:sz w:val="20"/>
                <w:szCs w:val="20"/>
                <w:color w:val="auto"/>
              </w:rPr>
            </w:pPr>
            <w:r>
              <w:rPr>
                <w:rFonts w:ascii="Arial" w:cs="Arial" w:eastAsia="Arial" w:hAnsi="Arial"/>
                <w:sz w:val="18"/>
                <w:szCs w:val="18"/>
                <w:b w:val="1"/>
                <w:bCs w:val="1"/>
                <w:color w:val="auto"/>
                <w:w w:val="89"/>
              </w:rPr>
              <w:t>(unaudited)</w:t>
            </w: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5"/>
        </w:trPr>
        <w:tc>
          <w:tcPr>
            <w:tcW w:w="464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gridSpan w:val="10"/>
          </w:tcPr>
          <w:p>
            <w:pPr>
              <w:jc w:val="center"/>
              <w:ind w:right="340"/>
              <w:spacing w:after="0"/>
              <w:rPr>
                <w:sz w:val="20"/>
                <w:szCs w:val="20"/>
                <w:color w:val="auto"/>
              </w:rPr>
            </w:pPr>
            <w:r>
              <w:rPr>
                <w:rFonts w:ascii="Arial" w:cs="Arial" w:eastAsia="Arial" w:hAnsi="Arial"/>
                <w:sz w:val="18"/>
                <w:szCs w:val="18"/>
                <w:b w:val="1"/>
                <w:bCs w:val="1"/>
                <w:color w:val="auto"/>
                <w:w w:val="88"/>
              </w:rPr>
              <w:t>Three Months Ended June 30, 2020</w:t>
            </w: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4640" w:type="dxa"/>
            <w:vAlign w:val="bottom"/>
          </w:tcPr>
          <w:p>
            <w:pPr>
              <w:spacing w:after="0"/>
              <w:rPr>
                <w:sz w:val="20"/>
                <w:szCs w:val="20"/>
                <w:color w:val="auto"/>
              </w:rPr>
            </w:pPr>
          </w:p>
        </w:tc>
        <w:tc>
          <w:tcPr>
            <w:tcW w:w="122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87"/>
              </w:rPr>
              <w:t>Common</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Additional</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204"/>
        </w:trPr>
        <w:tc>
          <w:tcPr>
            <w:tcW w:w="464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640" w:type="dxa"/>
            <w:vAlign w:val="bottom"/>
          </w:tcPr>
          <w:p>
            <w:pPr>
              <w:spacing w:after="0"/>
              <w:rPr>
                <w:sz w:val="19"/>
                <w:szCs w:val="19"/>
                <w:color w:val="auto"/>
              </w:rPr>
            </w:pPr>
          </w:p>
        </w:tc>
        <w:tc>
          <w:tcPr>
            <w:tcW w:w="12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5"/>
              </w:rPr>
              <w:t>Stock</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Paid-In</w:t>
            </w:r>
          </w:p>
        </w:tc>
        <w:tc>
          <w:tcPr>
            <w:tcW w:w="100" w:type="dxa"/>
            <w:vAlign w:val="bottom"/>
          </w:tcPr>
          <w:p>
            <w:pPr>
              <w:spacing w:after="0"/>
              <w:rPr>
                <w:sz w:val="19"/>
                <w:szCs w:val="19"/>
                <w:color w:val="auto"/>
              </w:rPr>
            </w:pPr>
          </w:p>
        </w:tc>
        <w:tc>
          <w:tcPr>
            <w:tcW w:w="126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6"/>
              </w:rPr>
              <w:t>Accumulated</w:t>
            </w:r>
          </w:p>
        </w:tc>
        <w:tc>
          <w:tcPr>
            <w:tcW w:w="100" w:type="dxa"/>
            <w:vAlign w:val="bottom"/>
          </w:tcPr>
          <w:p>
            <w:pPr>
              <w:spacing w:after="0"/>
              <w:rPr>
                <w:sz w:val="19"/>
                <w:szCs w:val="19"/>
                <w:color w:val="auto"/>
              </w:rPr>
            </w:pPr>
          </w:p>
        </w:tc>
        <w:tc>
          <w:tcPr>
            <w:tcW w:w="120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6"/>
              </w:rPr>
              <w:t>Stockholders'</w:t>
            </w:r>
          </w:p>
        </w:tc>
        <w:tc>
          <w:tcPr>
            <w:tcW w:w="0" w:type="dxa"/>
            <w:vAlign w:val="bottom"/>
          </w:tcPr>
          <w:p>
            <w:pPr>
              <w:spacing w:after="0"/>
              <w:rPr>
                <w:sz w:val="1"/>
                <w:szCs w:val="1"/>
                <w:color w:val="auto"/>
              </w:rPr>
            </w:pPr>
          </w:p>
        </w:tc>
      </w:tr>
      <w:tr>
        <w:trPr>
          <w:trHeight w:val="252"/>
        </w:trPr>
        <w:tc>
          <w:tcPr>
            <w:tcW w:w="4640" w:type="dxa"/>
            <w:vAlign w:val="bottom"/>
          </w:tcPr>
          <w:p>
            <w:pPr>
              <w:spacing w:after="0"/>
              <w:rPr>
                <w:sz w:val="21"/>
                <w:szCs w:val="21"/>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Shares</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w w:val="99"/>
              </w:rPr>
              <w:t>Amount</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b w:val="1"/>
                <w:bCs w:val="1"/>
                <w:color w:val="auto"/>
                <w:w w:val="93"/>
              </w:rPr>
              <w:t>Capital</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center"/>
              <w:ind w:right="52"/>
              <w:spacing w:after="0"/>
              <w:rPr>
                <w:sz w:val="20"/>
                <w:szCs w:val="20"/>
                <w:color w:val="auto"/>
              </w:rPr>
            </w:pPr>
            <w:r>
              <w:rPr>
                <w:rFonts w:ascii="Arial" w:cs="Arial" w:eastAsia="Arial" w:hAnsi="Arial"/>
                <w:sz w:val="18"/>
                <w:szCs w:val="18"/>
                <w:b w:val="1"/>
                <w:bCs w:val="1"/>
                <w:color w:val="auto"/>
                <w:w w:val="90"/>
              </w:rPr>
              <w:t>Deficit</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center"/>
              <w:ind w:right="92"/>
              <w:spacing w:after="0"/>
              <w:rPr>
                <w:sz w:val="20"/>
                <w:szCs w:val="20"/>
                <w:color w:val="auto"/>
              </w:rPr>
            </w:pPr>
            <w:r>
              <w:rPr>
                <w:rFonts w:ascii="Arial" w:cs="Arial" w:eastAsia="Arial" w:hAnsi="Arial"/>
                <w:sz w:val="18"/>
                <w:szCs w:val="18"/>
                <w:b w:val="1"/>
                <w:bCs w:val="1"/>
                <w:color w:val="auto"/>
                <w:w w:val="90"/>
              </w:rPr>
              <w:t>Equity</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Balance at March 31, 2020</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30,073,724</w:t>
            </w:r>
          </w:p>
        </w:tc>
        <w:tc>
          <w:tcPr>
            <w:tcW w:w="1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3,007</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33,191,001</w:t>
            </w: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(15,075,799)</w:t>
            </w:r>
          </w:p>
        </w:tc>
        <w:tc>
          <w:tcPr>
            <w:tcW w:w="2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18,118,209</w:t>
            </w:r>
          </w:p>
        </w:tc>
        <w:tc>
          <w:tcPr>
            <w:tcW w:w="0" w:type="dxa"/>
            <w:vAlign w:val="bottom"/>
          </w:tcPr>
          <w:p>
            <w:pPr>
              <w:spacing w:after="0"/>
              <w:rPr>
                <w:sz w:val="1"/>
                <w:szCs w:val="1"/>
                <w:color w:val="auto"/>
              </w:rPr>
            </w:pPr>
          </w:p>
        </w:tc>
      </w:tr>
      <w:tr>
        <w:trPr>
          <w:trHeight w:val="208"/>
        </w:trPr>
        <w:tc>
          <w:tcPr>
            <w:tcW w:w="4640" w:type="dxa"/>
            <w:vAlign w:val="bottom"/>
          </w:tcPr>
          <w:p>
            <w:pPr>
              <w:ind w:left="240"/>
              <w:spacing w:after="0"/>
              <w:rPr>
                <w:sz w:val="20"/>
                <w:szCs w:val="20"/>
                <w:color w:val="auto"/>
              </w:rPr>
            </w:pPr>
            <w:r>
              <w:rPr>
                <w:rFonts w:ascii="Arial" w:cs="Arial" w:eastAsia="Arial" w:hAnsi="Arial"/>
                <w:sz w:val="18"/>
                <w:szCs w:val="18"/>
                <w:color w:val="auto"/>
                <w:w w:val="95"/>
              </w:rPr>
              <w:t>Sale of common stock and warrants at $6.00 per share in</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40" w:type="dxa"/>
            <w:vAlign w:val="bottom"/>
          </w:tcPr>
          <w:p>
            <w:pPr>
              <w:ind w:left="180"/>
              <w:spacing w:after="0"/>
              <w:rPr>
                <w:sz w:val="20"/>
                <w:szCs w:val="20"/>
                <w:color w:val="auto"/>
              </w:rPr>
            </w:pPr>
            <w:r>
              <w:rPr>
                <w:rFonts w:ascii="Arial" w:cs="Arial" w:eastAsia="Arial" w:hAnsi="Arial"/>
                <w:sz w:val="18"/>
                <w:szCs w:val="18"/>
                <w:color w:val="auto"/>
              </w:rPr>
              <w:t>public offering, net of issuance costs</w:t>
            </w:r>
          </w:p>
        </w:tc>
        <w:tc>
          <w:tcPr>
            <w:tcW w:w="1080" w:type="dxa"/>
            <w:vAlign w:val="bottom"/>
          </w:tcPr>
          <w:p>
            <w:pPr>
              <w:jc w:val="right"/>
              <w:spacing w:after="0"/>
              <w:rPr>
                <w:sz w:val="20"/>
                <w:szCs w:val="20"/>
                <w:color w:val="auto"/>
              </w:rPr>
            </w:pPr>
            <w:r>
              <w:rPr>
                <w:rFonts w:ascii="Arial" w:cs="Arial" w:eastAsia="Arial" w:hAnsi="Arial"/>
                <w:sz w:val="18"/>
                <w:szCs w:val="18"/>
                <w:color w:val="auto"/>
              </w:rPr>
              <w:t>2,066,667</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207</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11,666,999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11,667,206</w:t>
            </w:r>
          </w:p>
        </w:tc>
        <w:tc>
          <w:tcPr>
            <w:tcW w:w="0" w:type="dxa"/>
            <w:vAlign w:val="bottom"/>
          </w:tcPr>
          <w:p>
            <w:pPr>
              <w:spacing w:after="0"/>
              <w:rPr>
                <w:sz w:val="1"/>
                <w:szCs w:val="1"/>
                <w:color w:val="auto"/>
              </w:rPr>
            </w:pPr>
          </w:p>
        </w:tc>
      </w:tr>
      <w:tr>
        <w:trPr>
          <w:trHeight w:val="209"/>
        </w:trPr>
        <w:tc>
          <w:tcPr>
            <w:tcW w:w="464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3"/>
              </w:rPr>
              <w:t>Common shares issued upon exercise of warrants at $3.00</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per share, net of issuance costs</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138,721</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404,625</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404,639</w:t>
            </w:r>
          </w:p>
        </w:tc>
        <w:tc>
          <w:tcPr>
            <w:tcW w:w="0" w:type="dxa"/>
            <w:vAlign w:val="bottom"/>
          </w:tcPr>
          <w:p>
            <w:pPr>
              <w:spacing w:after="0"/>
              <w:rPr>
                <w:sz w:val="1"/>
                <w:szCs w:val="1"/>
                <w:color w:val="auto"/>
              </w:rPr>
            </w:pPr>
          </w:p>
        </w:tc>
      </w:tr>
      <w:tr>
        <w:trPr>
          <w:trHeight w:val="208"/>
        </w:trPr>
        <w:tc>
          <w:tcPr>
            <w:tcW w:w="4640" w:type="dxa"/>
            <w:vAlign w:val="bottom"/>
          </w:tcPr>
          <w:p>
            <w:pPr>
              <w:ind w:left="240"/>
              <w:spacing w:after="0"/>
              <w:rPr>
                <w:sz w:val="20"/>
                <w:szCs w:val="20"/>
                <w:color w:val="auto"/>
              </w:rPr>
            </w:pPr>
            <w:r>
              <w:rPr>
                <w:rFonts w:ascii="Arial" w:cs="Arial" w:eastAsia="Arial" w:hAnsi="Arial"/>
                <w:sz w:val="18"/>
                <w:szCs w:val="18"/>
                <w:color w:val="auto"/>
                <w:w w:val="93"/>
              </w:rPr>
              <w:t>Common shares issued upon exercise of warrants at $5.00</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40" w:type="dxa"/>
            <w:vAlign w:val="bottom"/>
          </w:tcPr>
          <w:p>
            <w:pPr>
              <w:ind w:left="180"/>
              <w:spacing w:after="0"/>
              <w:rPr>
                <w:sz w:val="20"/>
                <w:szCs w:val="20"/>
                <w:color w:val="auto"/>
              </w:rPr>
            </w:pPr>
            <w:r>
              <w:rPr>
                <w:rFonts w:ascii="Arial" w:cs="Arial" w:eastAsia="Arial" w:hAnsi="Arial"/>
                <w:sz w:val="18"/>
                <w:szCs w:val="18"/>
                <w:color w:val="auto"/>
              </w:rPr>
              <w:t>per share, net of issuance costs</w:t>
            </w:r>
          </w:p>
        </w:tc>
        <w:tc>
          <w:tcPr>
            <w:tcW w:w="1080" w:type="dxa"/>
            <w:vAlign w:val="bottom"/>
          </w:tcPr>
          <w:p>
            <w:pPr>
              <w:jc w:val="right"/>
              <w:spacing w:after="0"/>
              <w:rPr>
                <w:sz w:val="20"/>
                <w:szCs w:val="20"/>
                <w:color w:val="auto"/>
              </w:rPr>
            </w:pPr>
            <w:r>
              <w:rPr>
                <w:rFonts w:ascii="Arial" w:cs="Arial" w:eastAsia="Arial" w:hAnsi="Arial"/>
                <w:sz w:val="18"/>
                <w:szCs w:val="18"/>
                <w:color w:val="auto"/>
              </w:rPr>
              <w:t>1,731,603</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173</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8,271,275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8,271,448</w:t>
            </w:r>
          </w:p>
        </w:tc>
        <w:tc>
          <w:tcPr>
            <w:tcW w:w="0" w:type="dxa"/>
            <w:vAlign w:val="bottom"/>
          </w:tcPr>
          <w:p>
            <w:pPr>
              <w:spacing w:after="0"/>
              <w:rPr>
                <w:sz w:val="1"/>
                <w:szCs w:val="1"/>
                <w:color w:val="auto"/>
              </w:rPr>
            </w:pPr>
          </w:p>
        </w:tc>
      </w:tr>
      <w:tr>
        <w:trPr>
          <w:trHeight w:val="209"/>
        </w:trPr>
        <w:tc>
          <w:tcPr>
            <w:tcW w:w="464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3"/>
              </w:rPr>
              <w:t>Common shares issued upon exercise of warrants at $6.50</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per share</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83,693</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543,997</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544,005</w:t>
            </w:r>
          </w:p>
        </w:tc>
        <w:tc>
          <w:tcPr>
            <w:tcW w:w="0" w:type="dxa"/>
            <w:vAlign w:val="bottom"/>
          </w:tcPr>
          <w:p>
            <w:pPr>
              <w:spacing w:after="0"/>
              <w:rPr>
                <w:sz w:val="1"/>
                <w:szCs w:val="1"/>
                <w:color w:val="auto"/>
              </w:rPr>
            </w:pPr>
          </w:p>
        </w:tc>
      </w:tr>
      <w:tr>
        <w:trPr>
          <w:trHeight w:val="216"/>
        </w:trPr>
        <w:tc>
          <w:tcPr>
            <w:tcW w:w="4640" w:type="dxa"/>
            <w:vAlign w:val="bottom"/>
          </w:tcPr>
          <w:p>
            <w:pPr>
              <w:ind w:left="220"/>
              <w:spacing w:after="0"/>
              <w:rPr>
                <w:sz w:val="20"/>
                <w:szCs w:val="20"/>
                <w:color w:val="auto"/>
              </w:rPr>
            </w:pPr>
            <w:r>
              <w:rPr>
                <w:rFonts w:ascii="Arial" w:cs="Arial" w:eastAsia="Arial" w:hAnsi="Arial"/>
                <w:sz w:val="18"/>
                <w:szCs w:val="18"/>
                <w:color w:val="auto"/>
              </w:rPr>
              <w:t>Common shares issued upon exercise of stock options</w:t>
            </w:r>
          </w:p>
        </w:tc>
        <w:tc>
          <w:tcPr>
            <w:tcW w:w="1080" w:type="dxa"/>
            <w:vAlign w:val="bottom"/>
          </w:tcPr>
          <w:p>
            <w:pPr>
              <w:jc w:val="right"/>
              <w:spacing w:after="0"/>
              <w:rPr>
                <w:sz w:val="20"/>
                <w:szCs w:val="20"/>
                <w:color w:val="auto"/>
              </w:rPr>
            </w:pPr>
            <w:r>
              <w:rPr>
                <w:rFonts w:ascii="Arial" w:cs="Arial" w:eastAsia="Arial" w:hAnsi="Arial"/>
                <w:sz w:val="18"/>
                <w:szCs w:val="18"/>
                <w:color w:val="auto"/>
              </w:rPr>
              <w:t>180,625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345,920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345,938</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0"/>
              </w:rPr>
              <w:t>Common shares issued upon vesting of restricted stock units</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86,558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40" w:type="dxa"/>
            <w:vAlign w:val="bottom"/>
          </w:tcPr>
          <w:p>
            <w:pPr>
              <w:ind w:left="220"/>
              <w:spacing w:after="0"/>
              <w:rPr>
                <w:sz w:val="20"/>
                <w:szCs w:val="20"/>
                <w:color w:val="auto"/>
              </w:rPr>
            </w:pPr>
            <w:r>
              <w:rPr>
                <w:rFonts w:ascii="Arial" w:cs="Arial" w:eastAsia="Arial" w:hAnsi="Arial"/>
                <w:sz w:val="18"/>
                <w:szCs w:val="18"/>
                <w:color w:val="auto"/>
              </w:rPr>
              <w:t>Stock-based compensation expense</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548,989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548,989</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loss for the period</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(2,816,503)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(2,816,503)</w:t>
            </w:r>
          </w:p>
        </w:tc>
        <w:tc>
          <w:tcPr>
            <w:tcW w:w="0" w:type="dxa"/>
            <w:vAlign w:val="bottom"/>
          </w:tcPr>
          <w:p>
            <w:pPr>
              <w:spacing w:after="0"/>
              <w:rPr>
                <w:sz w:val="1"/>
                <w:szCs w:val="1"/>
                <w:color w:val="auto"/>
              </w:rPr>
            </w:pPr>
          </w:p>
        </w:tc>
      </w:tr>
      <w:tr>
        <w:trPr>
          <w:trHeight w:val="27"/>
        </w:trPr>
        <w:tc>
          <w:tcPr>
            <w:tcW w:w="4640" w:type="dxa"/>
            <w:vAlign w:val="bottom"/>
            <w:shd w:val="clear" w:color="auto" w:fill="CCEEFF"/>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40" w:type="dxa"/>
            <w:vAlign w:val="bottom"/>
          </w:tcPr>
          <w:p>
            <w:pPr>
              <w:ind w:left="100"/>
              <w:spacing w:after="0"/>
              <w:rPr>
                <w:sz w:val="20"/>
                <w:szCs w:val="20"/>
                <w:color w:val="auto"/>
              </w:rPr>
            </w:pPr>
            <w:r>
              <w:rPr>
                <w:rFonts w:ascii="Arial" w:cs="Arial" w:eastAsia="Arial" w:hAnsi="Arial"/>
                <w:sz w:val="18"/>
                <w:szCs w:val="18"/>
                <w:b w:val="1"/>
                <w:bCs w:val="1"/>
                <w:color w:val="auto"/>
              </w:rPr>
              <w:t>Balance at June 30, 2020</w:t>
            </w:r>
          </w:p>
        </w:tc>
        <w:tc>
          <w:tcPr>
            <w:tcW w:w="1080" w:type="dxa"/>
            <w:vAlign w:val="bottom"/>
          </w:tcPr>
          <w:p>
            <w:pPr>
              <w:jc w:val="right"/>
              <w:spacing w:after="0"/>
              <w:rPr>
                <w:sz w:val="20"/>
                <w:szCs w:val="20"/>
                <w:color w:val="auto"/>
              </w:rPr>
            </w:pPr>
            <w:r>
              <w:rPr>
                <w:rFonts w:ascii="Arial" w:cs="Arial" w:eastAsia="Arial" w:hAnsi="Arial"/>
                <w:sz w:val="18"/>
                <w:szCs w:val="18"/>
                <w:color w:val="auto"/>
              </w:rPr>
              <w:t>34,361,591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3,436</w:t>
            </w:r>
          </w:p>
        </w:tc>
        <w:tc>
          <w:tcPr>
            <w:tcW w:w="140" w:type="dxa"/>
            <w:vAlign w:val="bottom"/>
          </w:tcPr>
          <w:p>
            <w:pPr>
              <w:spacing w:after="0"/>
              <w:rPr>
                <w:sz w:val="18"/>
                <w:szCs w:val="18"/>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54,972,797</w:t>
            </w:r>
          </w:p>
        </w:tc>
        <w:tc>
          <w:tcPr>
            <w:tcW w:w="16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(17,892,302)</w:t>
            </w:r>
          </w:p>
        </w:tc>
        <w:tc>
          <w:tcPr>
            <w:tcW w:w="28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37,083,931</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8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8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0"/>
        </w:trPr>
        <w:tc>
          <w:tcPr>
            <w:tcW w:w="464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gridSpan w:val="10"/>
          </w:tcPr>
          <w:p>
            <w:pPr>
              <w:jc w:val="center"/>
              <w:ind w:right="340"/>
              <w:spacing w:after="0"/>
              <w:rPr>
                <w:sz w:val="20"/>
                <w:szCs w:val="20"/>
                <w:color w:val="auto"/>
              </w:rPr>
            </w:pPr>
            <w:r>
              <w:rPr>
                <w:rFonts w:ascii="Arial" w:cs="Arial" w:eastAsia="Arial" w:hAnsi="Arial"/>
                <w:sz w:val="18"/>
                <w:szCs w:val="18"/>
                <w:b w:val="1"/>
                <w:bCs w:val="1"/>
                <w:color w:val="auto"/>
                <w:w w:val="88"/>
              </w:rPr>
              <w:t>Six Months Ended June 30, 2020</w:t>
            </w: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4640" w:type="dxa"/>
            <w:vAlign w:val="bottom"/>
          </w:tcPr>
          <w:p>
            <w:pPr>
              <w:spacing w:after="0"/>
              <w:rPr>
                <w:sz w:val="20"/>
                <w:szCs w:val="20"/>
                <w:color w:val="auto"/>
              </w:rPr>
            </w:pPr>
          </w:p>
        </w:tc>
        <w:tc>
          <w:tcPr>
            <w:tcW w:w="122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87"/>
              </w:rPr>
              <w:t>Common</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Additional</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204"/>
        </w:trPr>
        <w:tc>
          <w:tcPr>
            <w:tcW w:w="464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640" w:type="dxa"/>
            <w:vAlign w:val="bottom"/>
          </w:tcPr>
          <w:p>
            <w:pPr>
              <w:spacing w:after="0"/>
              <w:rPr>
                <w:sz w:val="19"/>
                <w:szCs w:val="19"/>
                <w:color w:val="auto"/>
              </w:rPr>
            </w:pPr>
          </w:p>
        </w:tc>
        <w:tc>
          <w:tcPr>
            <w:tcW w:w="12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5"/>
              </w:rPr>
              <w:t>Stock</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Paid-In</w:t>
            </w:r>
          </w:p>
        </w:tc>
        <w:tc>
          <w:tcPr>
            <w:tcW w:w="100" w:type="dxa"/>
            <w:vAlign w:val="bottom"/>
          </w:tcPr>
          <w:p>
            <w:pPr>
              <w:spacing w:after="0"/>
              <w:rPr>
                <w:sz w:val="19"/>
                <w:szCs w:val="19"/>
                <w:color w:val="auto"/>
              </w:rPr>
            </w:pPr>
          </w:p>
        </w:tc>
        <w:tc>
          <w:tcPr>
            <w:tcW w:w="126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6"/>
              </w:rPr>
              <w:t>Accumulated</w:t>
            </w:r>
          </w:p>
        </w:tc>
        <w:tc>
          <w:tcPr>
            <w:tcW w:w="100" w:type="dxa"/>
            <w:vAlign w:val="bottom"/>
          </w:tcPr>
          <w:p>
            <w:pPr>
              <w:spacing w:after="0"/>
              <w:rPr>
                <w:sz w:val="19"/>
                <w:szCs w:val="19"/>
                <w:color w:val="auto"/>
              </w:rPr>
            </w:pPr>
          </w:p>
        </w:tc>
        <w:tc>
          <w:tcPr>
            <w:tcW w:w="120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6"/>
              </w:rPr>
              <w:t>Stockholders'</w:t>
            </w:r>
          </w:p>
        </w:tc>
        <w:tc>
          <w:tcPr>
            <w:tcW w:w="0" w:type="dxa"/>
            <w:vAlign w:val="bottom"/>
          </w:tcPr>
          <w:p>
            <w:pPr>
              <w:spacing w:after="0"/>
              <w:rPr>
                <w:sz w:val="1"/>
                <w:szCs w:val="1"/>
                <w:color w:val="auto"/>
              </w:rPr>
            </w:pPr>
          </w:p>
        </w:tc>
      </w:tr>
      <w:tr>
        <w:trPr>
          <w:trHeight w:val="252"/>
        </w:trPr>
        <w:tc>
          <w:tcPr>
            <w:tcW w:w="4640" w:type="dxa"/>
            <w:vAlign w:val="bottom"/>
          </w:tcPr>
          <w:p>
            <w:pPr>
              <w:spacing w:after="0"/>
              <w:rPr>
                <w:sz w:val="21"/>
                <w:szCs w:val="21"/>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Shares</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w w:val="99"/>
              </w:rPr>
              <w:t>Amount</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b w:val="1"/>
                <w:bCs w:val="1"/>
                <w:color w:val="auto"/>
                <w:w w:val="93"/>
              </w:rPr>
              <w:t>Capital</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center"/>
              <w:ind w:right="52"/>
              <w:spacing w:after="0"/>
              <w:rPr>
                <w:sz w:val="20"/>
                <w:szCs w:val="20"/>
                <w:color w:val="auto"/>
              </w:rPr>
            </w:pPr>
            <w:r>
              <w:rPr>
                <w:rFonts w:ascii="Arial" w:cs="Arial" w:eastAsia="Arial" w:hAnsi="Arial"/>
                <w:sz w:val="18"/>
                <w:szCs w:val="18"/>
                <w:b w:val="1"/>
                <w:bCs w:val="1"/>
                <w:color w:val="auto"/>
                <w:w w:val="90"/>
              </w:rPr>
              <w:t>Deficit</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center"/>
              <w:ind w:right="92"/>
              <w:spacing w:after="0"/>
              <w:rPr>
                <w:sz w:val="20"/>
                <w:szCs w:val="20"/>
                <w:color w:val="auto"/>
              </w:rPr>
            </w:pPr>
            <w:r>
              <w:rPr>
                <w:rFonts w:ascii="Arial" w:cs="Arial" w:eastAsia="Arial" w:hAnsi="Arial"/>
                <w:sz w:val="18"/>
                <w:szCs w:val="18"/>
                <w:b w:val="1"/>
                <w:bCs w:val="1"/>
                <w:color w:val="auto"/>
                <w:w w:val="90"/>
              </w:rPr>
              <w:t>Equity</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Balance at December 31, 2019</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29,829,916</w:t>
            </w:r>
          </w:p>
        </w:tc>
        <w:tc>
          <w:tcPr>
            <w:tcW w:w="1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2,983</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31,922,493</w:t>
            </w: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(12,729,824)</w:t>
            </w:r>
          </w:p>
        </w:tc>
        <w:tc>
          <w:tcPr>
            <w:tcW w:w="2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19,195,652</w:t>
            </w:r>
          </w:p>
        </w:tc>
        <w:tc>
          <w:tcPr>
            <w:tcW w:w="0" w:type="dxa"/>
            <w:vAlign w:val="bottom"/>
          </w:tcPr>
          <w:p>
            <w:pPr>
              <w:spacing w:after="0"/>
              <w:rPr>
                <w:sz w:val="1"/>
                <w:szCs w:val="1"/>
                <w:color w:val="auto"/>
              </w:rPr>
            </w:pPr>
          </w:p>
        </w:tc>
      </w:tr>
      <w:tr>
        <w:trPr>
          <w:trHeight w:val="208"/>
        </w:trPr>
        <w:tc>
          <w:tcPr>
            <w:tcW w:w="4640" w:type="dxa"/>
            <w:vAlign w:val="bottom"/>
          </w:tcPr>
          <w:p>
            <w:pPr>
              <w:ind w:left="240"/>
              <w:spacing w:after="0"/>
              <w:rPr>
                <w:sz w:val="20"/>
                <w:szCs w:val="20"/>
                <w:color w:val="auto"/>
              </w:rPr>
            </w:pPr>
            <w:r>
              <w:rPr>
                <w:rFonts w:ascii="Arial" w:cs="Arial" w:eastAsia="Arial" w:hAnsi="Arial"/>
                <w:sz w:val="18"/>
                <w:szCs w:val="18"/>
                <w:color w:val="auto"/>
                <w:w w:val="95"/>
              </w:rPr>
              <w:t>Sale of common stock and warrants at $6.00 per share in</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40" w:type="dxa"/>
            <w:vAlign w:val="bottom"/>
          </w:tcPr>
          <w:p>
            <w:pPr>
              <w:ind w:left="180"/>
              <w:spacing w:after="0"/>
              <w:rPr>
                <w:sz w:val="20"/>
                <w:szCs w:val="20"/>
                <w:color w:val="auto"/>
              </w:rPr>
            </w:pPr>
            <w:r>
              <w:rPr>
                <w:rFonts w:ascii="Arial" w:cs="Arial" w:eastAsia="Arial" w:hAnsi="Arial"/>
                <w:sz w:val="18"/>
                <w:szCs w:val="18"/>
                <w:color w:val="auto"/>
              </w:rPr>
              <w:t>public offering, net of issuance costs</w:t>
            </w:r>
          </w:p>
        </w:tc>
        <w:tc>
          <w:tcPr>
            <w:tcW w:w="1080" w:type="dxa"/>
            <w:vAlign w:val="bottom"/>
          </w:tcPr>
          <w:p>
            <w:pPr>
              <w:jc w:val="right"/>
              <w:spacing w:after="0"/>
              <w:rPr>
                <w:sz w:val="20"/>
                <w:szCs w:val="20"/>
                <w:color w:val="auto"/>
              </w:rPr>
            </w:pPr>
            <w:r>
              <w:rPr>
                <w:rFonts w:ascii="Arial" w:cs="Arial" w:eastAsia="Arial" w:hAnsi="Arial"/>
                <w:sz w:val="18"/>
                <w:szCs w:val="18"/>
                <w:color w:val="auto"/>
              </w:rPr>
              <w:t>2,066,667</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207</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11,666,999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11,667,206</w:t>
            </w:r>
          </w:p>
        </w:tc>
        <w:tc>
          <w:tcPr>
            <w:tcW w:w="0" w:type="dxa"/>
            <w:vAlign w:val="bottom"/>
          </w:tcPr>
          <w:p>
            <w:pPr>
              <w:spacing w:after="0"/>
              <w:rPr>
                <w:sz w:val="1"/>
                <w:szCs w:val="1"/>
                <w:color w:val="auto"/>
              </w:rPr>
            </w:pPr>
          </w:p>
        </w:tc>
      </w:tr>
      <w:tr>
        <w:trPr>
          <w:trHeight w:val="209"/>
        </w:trPr>
        <w:tc>
          <w:tcPr>
            <w:tcW w:w="464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3"/>
              </w:rPr>
              <w:t>Common shares issued upon exercise of warrants at $3.00</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per share, net of issuance costs</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150,504</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439,973</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439,988</w:t>
            </w:r>
          </w:p>
        </w:tc>
        <w:tc>
          <w:tcPr>
            <w:tcW w:w="0" w:type="dxa"/>
            <w:vAlign w:val="bottom"/>
          </w:tcPr>
          <w:p>
            <w:pPr>
              <w:spacing w:after="0"/>
              <w:rPr>
                <w:sz w:val="1"/>
                <w:szCs w:val="1"/>
                <w:color w:val="auto"/>
              </w:rPr>
            </w:pPr>
          </w:p>
        </w:tc>
      </w:tr>
      <w:tr>
        <w:trPr>
          <w:trHeight w:val="208"/>
        </w:trPr>
        <w:tc>
          <w:tcPr>
            <w:tcW w:w="4640" w:type="dxa"/>
            <w:vAlign w:val="bottom"/>
          </w:tcPr>
          <w:p>
            <w:pPr>
              <w:ind w:left="240"/>
              <w:spacing w:after="0"/>
              <w:rPr>
                <w:sz w:val="20"/>
                <w:szCs w:val="20"/>
                <w:color w:val="auto"/>
              </w:rPr>
            </w:pPr>
            <w:r>
              <w:rPr>
                <w:rFonts w:ascii="Arial" w:cs="Arial" w:eastAsia="Arial" w:hAnsi="Arial"/>
                <w:sz w:val="18"/>
                <w:szCs w:val="18"/>
                <w:color w:val="auto"/>
                <w:w w:val="93"/>
              </w:rPr>
              <w:t>Common shares issued upon exercise of warrants at $5.00</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40" w:type="dxa"/>
            <w:vAlign w:val="bottom"/>
          </w:tcPr>
          <w:p>
            <w:pPr>
              <w:ind w:left="180"/>
              <w:spacing w:after="0"/>
              <w:rPr>
                <w:sz w:val="20"/>
                <w:szCs w:val="20"/>
                <w:color w:val="auto"/>
              </w:rPr>
            </w:pPr>
            <w:r>
              <w:rPr>
                <w:rFonts w:ascii="Arial" w:cs="Arial" w:eastAsia="Arial" w:hAnsi="Arial"/>
                <w:sz w:val="18"/>
                <w:szCs w:val="18"/>
                <w:color w:val="auto"/>
              </w:rPr>
              <w:t>per share, net of issuance costs</w:t>
            </w:r>
          </w:p>
        </w:tc>
        <w:tc>
          <w:tcPr>
            <w:tcW w:w="1080" w:type="dxa"/>
            <w:vAlign w:val="bottom"/>
          </w:tcPr>
          <w:p>
            <w:pPr>
              <w:jc w:val="right"/>
              <w:spacing w:after="0"/>
              <w:rPr>
                <w:sz w:val="20"/>
                <w:szCs w:val="20"/>
                <w:color w:val="auto"/>
              </w:rPr>
            </w:pPr>
            <w:r>
              <w:rPr>
                <w:rFonts w:ascii="Arial" w:cs="Arial" w:eastAsia="Arial" w:hAnsi="Arial"/>
                <w:sz w:val="18"/>
                <w:szCs w:val="18"/>
                <w:color w:val="auto"/>
              </w:rPr>
              <w:t>1,851,003</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185</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8,868,263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8,868,448</w:t>
            </w:r>
          </w:p>
        </w:tc>
        <w:tc>
          <w:tcPr>
            <w:tcW w:w="0" w:type="dxa"/>
            <w:vAlign w:val="bottom"/>
          </w:tcPr>
          <w:p>
            <w:pPr>
              <w:spacing w:after="0"/>
              <w:rPr>
                <w:sz w:val="1"/>
                <w:szCs w:val="1"/>
                <w:color w:val="auto"/>
              </w:rPr>
            </w:pPr>
          </w:p>
        </w:tc>
      </w:tr>
      <w:tr>
        <w:trPr>
          <w:trHeight w:val="209"/>
        </w:trPr>
        <w:tc>
          <w:tcPr>
            <w:tcW w:w="464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3"/>
              </w:rPr>
              <w:t>Common shares issued upon exercise of warrants at $6.50</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per share</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83,693</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543,997</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544,005</w:t>
            </w:r>
          </w:p>
        </w:tc>
        <w:tc>
          <w:tcPr>
            <w:tcW w:w="0" w:type="dxa"/>
            <w:vAlign w:val="bottom"/>
          </w:tcPr>
          <w:p>
            <w:pPr>
              <w:spacing w:after="0"/>
              <w:rPr>
                <w:sz w:val="1"/>
                <w:szCs w:val="1"/>
                <w:color w:val="auto"/>
              </w:rPr>
            </w:pPr>
          </w:p>
        </w:tc>
      </w:tr>
      <w:tr>
        <w:trPr>
          <w:trHeight w:val="216"/>
        </w:trPr>
        <w:tc>
          <w:tcPr>
            <w:tcW w:w="4640" w:type="dxa"/>
            <w:vAlign w:val="bottom"/>
          </w:tcPr>
          <w:p>
            <w:pPr>
              <w:ind w:left="220"/>
              <w:spacing w:after="0"/>
              <w:rPr>
                <w:sz w:val="20"/>
                <w:szCs w:val="20"/>
                <w:color w:val="auto"/>
              </w:rPr>
            </w:pPr>
            <w:r>
              <w:rPr>
                <w:rFonts w:ascii="Arial" w:cs="Arial" w:eastAsia="Arial" w:hAnsi="Arial"/>
                <w:sz w:val="18"/>
                <w:szCs w:val="18"/>
                <w:color w:val="auto"/>
              </w:rPr>
              <w:t>Common shares issued upon exercise of stock options</w:t>
            </w:r>
          </w:p>
        </w:tc>
        <w:tc>
          <w:tcPr>
            <w:tcW w:w="1080" w:type="dxa"/>
            <w:vAlign w:val="bottom"/>
          </w:tcPr>
          <w:p>
            <w:pPr>
              <w:jc w:val="right"/>
              <w:spacing w:after="0"/>
              <w:rPr>
                <w:sz w:val="20"/>
                <w:szCs w:val="20"/>
                <w:color w:val="auto"/>
              </w:rPr>
            </w:pPr>
            <w:r>
              <w:rPr>
                <w:rFonts w:ascii="Arial" w:cs="Arial" w:eastAsia="Arial" w:hAnsi="Arial"/>
                <w:sz w:val="18"/>
                <w:szCs w:val="18"/>
                <w:color w:val="auto"/>
              </w:rPr>
              <w:t>293,250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514,846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514,875</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0"/>
              </w:rPr>
              <w:t>Common shares issued upon vesting of restricted stock units</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86,558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40" w:type="dxa"/>
            <w:vAlign w:val="bottom"/>
          </w:tcPr>
          <w:p>
            <w:pPr>
              <w:ind w:left="220"/>
              <w:spacing w:after="0"/>
              <w:rPr>
                <w:sz w:val="20"/>
                <w:szCs w:val="20"/>
                <w:color w:val="auto"/>
              </w:rPr>
            </w:pPr>
            <w:r>
              <w:rPr>
                <w:rFonts w:ascii="Arial" w:cs="Arial" w:eastAsia="Arial" w:hAnsi="Arial"/>
                <w:sz w:val="18"/>
                <w:szCs w:val="18"/>
                <w:color w:val="auto"/>
              </w:rPr>
              <w:t>Share-based compensation expense</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1,016,235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1,016,235</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loss for the period</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(5,162,478)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(5,162,478)</w:t>
            </w:r>
          </w:p>
        </w:tc>
        <w:tc>
          <w:tcPr>
            <w:tcW w:w="0" w:type="dxa"/>
            <w:vAlign w:val="bottom"/>
          </w:tcPr>
          <w:p>
            <w:pPr>
              <w:spacing w:after="0"/>
              <w:rPr>
                <w:sz w:val="1"/>
                <w:szCs w:val="1"/>
                <w:color w:val="auto"/>
              </w:rPr>
            </w:pPr>
          </w:p>
        </w:tc>
      </w:tr>
      <w:tr>
        <w:trPr>
          <w:trHeight w:val="27"/>
        </w:trPr>
        <w:tc>
          <w:tcPr>
            <w:tcW w:w="4640" w:type="dxa"/>
            <w:vAlign w:val="bottom"/>
            <w:shd w:val="clear" w:color="auto" w:fill="CCEEFF"/>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40" w:type="dxa"/>
            <w:vAlign w:val="bottom"/>
          </w:tcPr>
          <w:p>
            <w:pPr>
              <w:ind w:left="100"/>
              <w:spacing w:after="0"/>
              <w:rPr>
                <w:sz w:val="20"/>
                <w:szCs w:val="20"/>
                <w:color w:val="auto"/>
              </w:rPr>
            </w:pPr>
            <w:r>
              <w:rPr>
                <w:rFonts w:ascii="Arial" w:cs="Arial" w:eastAsia="Arial" w:hAnsi="Arial"/>
                <w:sz w:val="18"/>
                <w:szCs w:val="18"/>
                <w:b w:val="1"/>
                <w:bCs w:val="1"/>
                <w:color w:val="auto"/>
              </w:rPr>
              <w:t>Balance at June 30, 2020</w:t>
            </w:r>
          </w:p>
        </w:tc>
        <w:tc>
          <w:tcPr>
            <w:tcW w:w="1080" w:type="dxa"/>
            <w:vAlign w:val="bottom"/>
          </w:tcPr>
          <w:p>
            <w:pPr>
              <w:jc w:val="right"/>
              <w:spacing w:after="0"/>
              <w:rPr>
                <w:sz w:val="20"/>
                <w:szCs w:val="20"/>
                <w:color w:val="auto"/>
              </w:rPr>
            </w:pPr>
            <w:r>
              <w:rPr>
                <w:rFonts w:ascii="Arial" w:cs="Arial" w:eastAsia="Arial" w:hAnsi="Arial"/>
                <w:sz w:val="18"/>
                <w:szCs w:val="18"/>
                <w:color w:val="auto"/>
              </w:rPr>
              <w:t>34,361,591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3,436</w:t>
            </w:r>
          </w:p>
        </w:tc>
        <w:tc>
          <w:tcPr>
            <w:tcW w:w="140" w:type="dxa"/>
            <w:vAlign w:val="bottom"/>
          </w:tcPr>
          <w:p>
            <w:pPr>
              <w:spacing w:after="0"/>
              <w:rPr>
                <w:sz w:val="18"/>
                <w:szCs w:val="18"/>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54,972,797</w:t>
            </w:r>
          </w:p>
        </w:tc>
        <w:tc>
          <w:tcPr>
            <w:tcW w:w="16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(17,892,302)</w:t>
            </w:r>
          </w:p>
        </w:tc>
        <w:tc>
          <w:tcPr>
            <w:tcW w:w="28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37,083,931</w:t>
            </w:r>
          </w:p>
        </w:tc>
        <w:tc>
          <w:tcPr>
            <w:tcW w:w="0" w:type="dxa"/>
            <w:vAlign w:val="bottom"/>
          </w:tcPr>
          <w:p>
            <w:pPr>
              <w:spacing w:after="0"/>
              <w:rPr>
                <w:sz w:val="1"/>
                <w:szCs w:val="1"/>
                <w:color w:val="auto"/>
              </w:rPr>
            </w:pPr>
          </w:p>
        </w:tc>
      </w:tr>
      <w:tr>
        <w:trPr>
          <w:trHeight w:val="21"/>
        </w:trPr>
        <w:tc>
          <w:tcPr>
            <w:tcW w:w="46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6"/>
        </w:trPr>
        <w:tc>
          <w:tcPr>
            <w:tcW w:w="46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center"/>
              <w:ind w:left="792"/>
              <w:spacing w:after="0"/>
              <w:rPr>
                <w:sz w:val="20"/>
                <w:szCs w:val="20"/>
                <w:color w:val="auto"/>
              </w:rPr>
            </w:pPr>
            <w:r>
              <w:rPr>
                <w:rFonts w:ascii="Arial" w:cs="Arial" w:eastAsia="Arial" w:hAnsi="Arial"/>
                <w:sz w:val="18"/>
                <w:szCs w:val="18"/>
                <w:color w:val="auto"/>
                <w:w w:val="79"/>
              </w:rPr>
              <w:t>3</w:t>
            </w: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31" w:right="33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640" w:type="dxa"/>
            <w:vAlign w:val="bottom"/>
          </w:tcPr>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84"/>
        </w:trPr>
        <w:tc>
          <w:tcPr>
            <w:tcW w:w="464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gridSpan w:val="10"/>
          </w:tcPr>
          <w:p>
            <w:pPr>
              <w:jc w:val="center"/>
              <w:ind w:right="340"/>
              <w:spacing w:after="0"/>
              <w:rPr>
                <w:sz w:val="20"/>
                <w:szCs w:val="20"/>
                <w:color w:val="auto"/>
              </w:rPr>
            </w:pPr>
            <w:r>
              <w:rPr>
                <w:rFonts w:ascii="Arial" w:cs="Arial" w:eastAsia="Arial" w:hAnsi="Arial"/>
                <w:sz w:val="18"/>
                <w:szCs w:val="18"/>
                <w:b w:val="1"/>
                <w:bCs w:val="1"/>
                <w:color w:val="auto"/>
                <w:w w:val="88"/>
              </w:rPr>
              <w:t>Three Months Ended June 30, 2019</w:t>
            </w: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4640" w:type="dxa"/>
            <w:vAlign w:val="bottom"/>
          </w:tcPr>
          <w:p>
            <w:pPr>
              <w:spacing w:after="0"/>
              <w:rPr>
                <w:sz w:val="20"/>
                <w:szCs w:val="20"/>
                <w:color w:val="auto"/>
              </w:rPr>
            </w:pPr>
          </w:p>
        </w:tc>
        <w:tc>
          <w:tcPr>
            <w:tcW w:w="122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87"/>
              </w:rPr>
              <w:t>Common</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Additional</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204"/>
        </w:trPr>
        <w:tc>
          <w:tcPr>
            <w:tcW w:w="464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640" w:type="dxa"/>
            <w:vAlign w:val="bottom"/>
          </w:tcPr>
          <w:p>
            <w:pPr>
              <w:spacing w:after="0"/>
              <w:rPr>
                <w:sz w:val="19"/>
                <w:szCs w:val="19"/>
                <w:color w:val="auto"/>
              </w:rPr>
            </w:pPr>
          </w:p>
        </w:tc>
        <w:tc>
          <w:tcPr>
            <w:tcW w:w="12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5"/>
              </w:rPr>
              <w:t>Stock</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Paid-In</w:t>
            </w:r>
          </w:p>
        </w:tc>
        <w:tc>
          <w:tcPr>
            <w:tcW w:w="120" w:type="dxa"/>
            <w:vAlign w:val="bottom"/>
          </w:tcPr>
          <w:p>
            <w:pPr>
              <w:spacing w:after="0"/>
              <w:rPr>
                <w:sz w:val="19"/>
                <w:szCs w:val="19"/>
                <w:color w:val="auto"/>
              </w:rPr>
            </w:pPr>
          </w:p>
        </w:tc>
        <w:tc>
          <w:tcPr>
            <w:tcW w:w="126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6"/>
              </w:rPr>
              <w:t>Accumulated</w:t>
            </w:r>
          </w:p>
        </w:tc>
        <w:tc>
          <w:tcPr>
            <w:tcW w:w="100" w:type="dxa"/>
            <w:vAlign w:val="bottom"/>
          </w:tcPr>
          <w:p>
            <w:pPr>
              <w:spacing w:after="0"/>
              <w:rPr>
                <w:sz w:val="19"/>
                <w:szCs w:val="19"/>
                <w:color w:val="auto"/>
              </w:rPr>
            </w:pPr>
          </w:p>
        </w:tc>
        <w:tc>
          <w:tcPr>
            <w:tcW w:w="120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6"/>
              </w:rPr>
              <w:t>Stockholders'</w:t>
            </w:r>
          </w:p>
        </w:tc>
        <w:tc>
          <w:tcPr>
            <w:tcW w:w="0" w:type="dxa"/>
            <w:vAlign w:val="bottom"/>
          </w:tcPr>
          <w:p>
            <w:pPr>
              <w:spacing w:after="0"/>
              <w:rPr>
                <w:sz w:val="1"/>
                <w:szCs w:val="1"/>
                <w:color w:val="auto"/>
              </w:rPr>
            </w:pPr>
          </w:p>
        </w:tc>
      </w:tr>
      <w:tr>
        <w:trPr>
          <w:trHeight w:val="252"/>
        </w:trPr>
        <w:tc>
          <w:tcPr>
            <w:tcW w:w="4640" w:type="dxa"/>
            <w:vAlign w:val="bottom"/>
          </w:tcPr>
          <w:p>
            <w:pPr>
              <w:spacing w:after="0"/>
              <w:rPr>
                <w:sz w:val="21"/>
                <w:szCs w:val="21"/>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Shares</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w w:val="99"/>
              </w:rPr>
              <w:t>Amount</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b w:val="1"/>
                <w:bCs w:val="1"/>
                <w:color w:val="auto"/>
                <w:w w:val="93"/>
              </w:rPr>
              <w:t>Capital</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center"/>
              <w:ind w:right="92"/>
              <w:spacing w:after="0"/>
              <w:rPr>
                <w:sz w:val="20"/>
                <w:szCs w:val="20"/>
                <w:color w:val="auto"/>
              </w:rPr>
            </w:pPr>
            <w:r>
              <w:rPr>
                <w:rFonts w:ascii="Arial" w:cs="Arial" w:eastAsia="Arial" w:hAnsi="Arial"/>
                <w:sz w:val="18"/>
                <w:szCs w:val="18"/>
                <w:b w:val="1"/>
                <w:bCs w:val="1"/>
                <w:color w:val="auto"/>
                <w:w w:val="90"/>
              </w:rPr>
              <w:t>Deficit</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center"/>
              <w:ind w:right="92"/>
              <w:spacing w:after="0"/>
              <w:rPr>
                <w:sz w:val="20"/>
                <w:szCs w:val="20"/>
                <w:color w:val="auto"/>
              </w:rPr>
            </w:pPr>
            <w:r>
              <w:rPr>
                <w:rFonts w:ascii="Arial" w:cs="Arial" w:eastAsia="Arial" w:hAnsi="Arial"/>
                <w:sz w:val="18"/>
                <w:szCs w:val="18"/>
                <w:b w:val="1"/>
                <w:bCs w:val="1"/>
                <w:color w:val="auto"/>
                <w:w w:val="90"/>
              </w:rPr>
              <w:t>Equity</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Balance at March 31, 2019</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27,364,607</w:t>
            </w:r>
          </w:p>
        </w:tc>
        <w:tc>
          <w:tcPr>
            <w:tcW w:w="1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2,736</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17,018,301</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(5,885,117)</w:t>
            </w:r>
          </w:p>
        </w:tc>
        <w:tc>
          <w:tcPr>
            <w:tcW w:w="2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11,135,920</w:t>
            </w:r>
          </w:p>
        </w:tc>
        <w:tc>
          <w:tcPr>
            <w:tcW w:w="0" w:type="dxa"/>
            <w:vAlign w:val="bottom"/>
          </w:tcPr>
          <w:p>
            <w:pPr>
              <w:spacing w:after="0"/>
              <w:rPr>
                <w:sz w:val="1"/>
                <w:szCs w:val="1"/>
                <w:color w:val="auto"/>
              </w:rPr>
            </w:pPr>
          </w:p>
        </w:tc>
      </w:tr>
      <w:tr>
        <w:trPr>
          <w:trHeight w:val="208"/>
        </w:trPr>
        <w:tc>
          <w:tcPr>
            <w:tcW w:w="4640" w:type="dxa"/>
            <w:vAlign w:val="bottom"/>
          </w:tcPr>
          <w:p>
            <w:pPr>
              <w:ind w:left="240"/>
              <w:spacing w:after="0"/>
              <w:rPr>
                <w:sz w:val="20"/>
                <w:szCs w:val="20"/>
                <w:color w:val="auto"/>
              </w:rPr>
            </w:pPr>
            <w:r>
              <w:rPr>
                <w:rFonts w:ascii="Arial" w:cs="Arial" w:eastAsia="Arial" w:hAnsi="Arial"/>
                <w:sz w:val="18"/>
                <w:szCs w:val="18"/>
                <w:color w:val="auto"/>
                <w:w w:val="92"/>
              </w:rPr>
              <w:t>Sale of common stock and warrants at $6.50 per share and</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180"/>
              <w:spacing w:after="0"/>
              <w:rPr>
                <w:sz w:val="20"/>
                <w:szCs w:val="20"/>
                <w:color w:val="auto"/>
              </w:rPr>
            </w:pPr>
            <w:r>
              <w:rPr>
                <w:rFonts w:ascii="Arial" w:cs="Arial" w:eastAsia="Arial" w:hAnsi="Arial"/>
                <w:sz w:val="18"/>
                <w:szCs w:val="18"/>
                <w:color w:val="auto"/>
                <w:w w:val="93"/>
              </w:rPr>
              <w:t>placement agent warrants in public offering, net of issuance</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40" w:type="dxa"/>
            <w:vAlign w:val="bottom"/>
          </w:tcPr>
          <w:p>
            <w:pPr>
              <w:ind w:left="180"/>
              <w:spacing w:after="0"/>
              <w:rPr>
                <w:sz w:val="20"/>
                <w:szCs w:val="20"/>
                <w:color w:val="auto"/>
              </w:rPr>
            </w:pPr>
            <w:r>
              <w:rPr>
                <w:rFonts w:ascii="Arial" w:cs="Arial" w:eastAsia="Arial" w:hAnsi="Arial"/>
                <w:sz w:val="18"/>
                <w:szCs w:val="18"/>
                <w:color w:val="auto"/>
              </w:rPr>
              <w:t>costs</w:t>
            </w:r>
          </w:p>
        </w:tc>
        <w:tc>
          <w:tcPr>
            <w:tcW w:w="1080" w:type="dxa"/>
            <w:vAlign w:val="bottom"/>
          </w:tcPr>
          <w:p>
            <w:pPr>
              <w:jc w:val="right"/>
              <w:spacing w:after="0"/>
              <w:rPr>
                <w:sz w:val="20"/>
                <w:szCs w:val="20"/>
                <w:color w:val="auto"/>
              </w:rPr>
            </w:pPr>
            <w:r>
              <w:rPr>
                <w:rFonts w:ascii="Arial" w:cs="Arial" w:eastAsia="Arial" w:hAnsi="Arial"/>
                <w:sz w:val="18"/>
                <w:szCs w:val="18"/>
                <w:color w:val="auto"/>
              </w:rPr>
              <w:t>1,923,076</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192</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11,351,022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11,351,214</w:t>
            </w:r>
          </w:p>
        </w:tc>
        <w:tc>
          <w:tcPr>
            <w:tcW w:w="0" w:type="dxa"/>
            <w:vAlign w:val="bottom"/>
          </w:tcPr>
          <w:p>
            <w:pPr>
              <w:spacing w:after="0"/>
              <w:rPr>
                <w:sz w:val="1"/>
                <w:szCs w:val="1"/>
                <w:color w:val="auto"/>
              </w:rPr>
            </w:pPr>
          </w:p>
        </w:tc>
      </w:tr>
      <w:tr>
        <w:trPr>
          <w:trHeight w:val="209"/>
        </w:trPr>
        <w:tc>
          <w:tcPr>
            <w:tcW w:w="464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3"/>
              </w:rPr>
              <w:t>Common shares issued upon exercise of warrants at $3.00</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per share</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62,150</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186,444</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186,450</w:t>
            </w:r>
          </w:p>
        </w:tc>
        <w:tc>
          <w:tcPr>
            <w:tcW w:w="0" w:type="dxa"/>
            <w:vAlign w:val="bottom"/>
          </w:tcPr>
          <w:p>
            <w:pPr>
              <w:spacing w:after="0"/>
              <w:rPr>
                <w:sz w:val="1"/>
                <w:szCs w:val="1"/>
                <w:color w:val="auto"/>
              </w:rPr>
            </w:pPr>
          </w:p>
        </w:tc>
      </w:tr>
      <w:tr>
        <w:trPr>
          <w:trHeight w:val="208"/>
        </w:trPr>
        <w:tc>
          <w:tcPr>
            <w:tcW w:w="4640" w:type="dxa"/>
            <w:vAlign w:val="bottom"/>
          </w:tcPr>
          <w:p>
            <w:pPr>
              <w:ind w:left="240"/>
              <w:spacing w:after="0"/>
              <w:rPr>
                <w:sz w:val="20"/>
                <w:szCs w:val="20"/>
                <w:color w:val="auto"/>
              </w:rPr>
            </w:pPr>
            <w:r>
              <w:rPr>
                <w:rFonts w:ascii="Arial" w:cs="Arial" w:eastAsia="Arial" w:hAnsi="Arial"/>
                <w:sz w:val="18"/>
                <w:szCs w:val="18"/>
                <w:color w:val="auto"/>
                <w:w w:val="93"/>
              </w:rPr>
              <w:t>Common shares issued upon exercise of warrants at $5.00</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40" w:type="dxa"/>
            <w:vAlign w:val="bottom"/>
          </w:tcPr>
          <w:p>
            <w:pPr>
              <w:ind w:left="180"/>
              <w:spacing w:after="0"/>
              <w:rPr>
                <w:sz w:val="20"/>
                <w:szCs w:val="20"/>
                <w:color w:val="auto"/>
              </w:rPr>
            </w:pPr>
            <w:r>
              <w:rPr>
                <w:rFonts w:ascii="Arial" w:cs="Arial" w:eastAsia="Arial" w:hAnsi="Arial"/>
                <w:sz w:val="18"/>
                <w:szCs w:val="18"/>
                <w:color w:val="auto"/>
              </w:rPr>
              <w:t>per share</w:t>
            </w:r>
          </w:p>
        </w:tc>
        <w:tc>
          <w:tcPr>
            <w:tcW w:w="1080" w:type="dxa"/>
            <w:vAlign w:val="bottom"/>
          </w:tcPr>
          <w:p>
            <w:pPr>
              <w:jc w:val="right"/>
              <w:spacing w:after="0"/>
              <w:rPr>
                <w:sz w:val="20"/>
                <w:szCs w:val="20"/>
                <w:color w:val="auto"/>
              </w:rPr>
            </w:pPr>
            <w:r>
              <w:rPr>
                <w:rFonts w:ascii="Arial" w:cs="Arial" w:eastAsia="Arial" w:hAnsi="Arial"/>
                <w:sz w:val="18"/>
                <w:szCs w:val="18"/>
                <w:color w:val="auto"/>
              </w:rPr>
              <w:t>274,167</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1,370,807</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1,370,835</w:t>
            </w:r>
          </w:p>
        </w:tc>
        <w:tc>
          <w:tcPr>
            <w:tcW w:w="0" w:type="dxa"/>
            <w:vAlign w:val="bottom"/>
          </w:tcPr>
          <w:p>
            <w:pPr>
              <w:spacing w:after="0"/>
              <w:rPr>
                <w:sz w:val="1"/>
                <w:szCs w:val="1"/>
                <w:color w:val="auto"/>
              </w:rPr>
            </w:pPr>
          </w:p>
        </w:tc>
      </w:tr>
      <w:tr>
        <w:trPr>
          <w:trHeight w:val="217"/>
        </w:trPr>
        <w:tc>
          <w:tcPr>
            <w:tcW w:w="4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Common shares issued upon exercise of stock options</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16,250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24,373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24,375</w:t>
            </w:r>
          </w:p>
        </w:tc>
        <w:tc>
          <w:tcPr>
            <w:tcW w:w="0" w:type="dxa"/>
            <w:vAlign w:val="bottom"/>
          </w:tcPr>
          <w:p>
            <w:pPr>
              <w:spacing w:after="0"/>
              <w:rPr>
                <w:sz w:val="1"/>
                <w:szCs w:val="1"/>
                <w:color w:val="auto"/>
              </w:rPr>
            </w:pPr>
          </w:p>
        </w:tc>
      </w:tr>
      <w:tr>
        <w:trPr>
          <w:trHeight w:val="216"/>
        </w:trPr>
        <w:tc>
          <w:tcPr>
            <w:tcW w:w="4640" w:type="dxa"/>
            <w:vAlign w:val="bottom"/>
          </w:tcPr>
          <w:p>
            <w:pPr>
              <w:ind w:left="220"/>
              <w:spacing w:after="0"/>
              <w:rPr>
                <w:sz w:val="20"/>
                <w:szCs w:val="20"/>
                <w:color w:val="auto"/>
              </w:rPr>
            </w:pPr>
            <w:r>
              <w:rPr>
                <w:rFonts w:ascii="Arial" w:cs="Arial" w:eastAsia="Arial" w:hAnsi="Arial"/>
                <w:sz w:val="18"/>
                <w:szCs w:val="18"/>
                <w:color w:val="auto"/>
              </w:rPr>
              <w:t>Share-based compensation expense</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373,851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373,851</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loss for the period</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(1,914,074)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(1,914,074)</w:t>
            </w:r>
          </w:p>
        </w:tc>
        <w:tc>
          <w:tcPr>
            <w:tcW w:w="0" w:type="dxa"/>
            <w:vAlign w:val="bottom"/>
          </w:tcPr>
          <w:p>
            <w:pPr>
              <w:spacing w:after="0"/>
              <w:rPr>
                <w:sz w:val="1"/>
                <w:szCs w:val="1"/>
                <w:color w:val="auto"/>
              </w:rPr>
            </w:pPr>
          </w:p>
        </w:tc>
      </w:tr>
      <w:tr>
        <w:trPr>
          <w:trHeight w:val="27"/>
        </w:trPr>
        <w:tc>
          <w:tcPr>
            <w:tcW w:w="4640" w:type="dxa"/>
            <w:vAlign w:val="bottom"/>
            <w:shd w:val="clear" w:color="auto" w:fill="CCEEFF"/>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40" w:type="dxa"/>
            <w:vAlign w:val="bottom"/>
          </w:tcPr>
          <w:p>
            <w:pPr>
              <w:ind w:left="100"/>
              <w:spacing w:after="0"/>
              <w:rPr>
                <w:sz w:val="20"/>
                <w:szCs w:val="20"/>
                <w:color w:val="auto"/>
              </w:rPr>
            </w:pPr>
            <w:r>
              <w:rPr>
                <w:rFonts w:ascii="Arial" w:cs="Arial" w:eastAsia="Arial" w:hAnsi="Arial"/>
                <w:sz w:val="18"/>
                <w:szCs w:val="18"/>
                <w:b w:val="1"/>
                <w:bCs w:val="1"/>
                <w:color w:val="auto"/>
              </w:rPr>
              <w:t>Balance at June 30, 2019</w:t>
            </w:r>
          </w:p>
        </w:tc>
        <w:tc>
          <w:tcPr>
            <w:tcW w:w="1080" w:type="dxa"/>
            <w:vAlign w:val="bottom"/>
          </w:tcPr>
          <w:p>
            <w:pPr>
              <w:jc w:val="right"/>
              <w:spacing w:after="0"/>
              <w:rPr>
                <w:sz w:val="20"/>
                <w:szCs w:val="20"/>
                <w:color w:val="auto"/>
              </w:rPr>
            </w:pPr>
            <w:r>
              <w:rPr>
                <w:rFonts w:ascii="Arial" w:cs="Arial" w:eastAsia="Arial" w:hAnsi="Arial"/>
                <w:sz w:val="18"/>
                <w:szCs w:val="18"/>
                <w:color w:val="auto"/>
              </w:rPr>
              <w:t>29,640,250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2,964</w:t>
            </w:r>
          </w:p>
        </w:tc>
        <w:tc>
          <w:tcPr>
            <w:tcW w:w="140" w:type="dxa"/>
            <w:vAlign w:val="bottom"/>
          </w:tcPr>
          <w:p>
            <w:pPr>
              <w:spacing w:after="0"/>
              <w:rPr>
                <w:sz w:val="18"/>
                <w:szCs w:val="18"/>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30,324,798</w:t>
            </w:r>
          </w:p>
        </w:tc>
        <w:tc>
          <w:tcPr>
            <w:tcW w:w="140" w:type="dxa"/>
            <w:vAlign w:val="bottom"/>
          </w:tcPr>
          <w:p>
            <w:pPr>
              <w:spacing w:after="0"/>
              <w:rPr>
                <w:sz w:val="18"/>
                <w:szCs w:val="18"/>
                <w:color w:val="auto"/>
              </w:rPr>
            </w:pPr>
          </w:p>
        </w:tc>
        <w:tc>
          <w:tcPr>
            <w:tcW w:w="32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(7,799,191)</w:t>
            </w:r>
          </w:p>
        </w:tc>
        <w:tc>
          <w:tcPr>
            <w:tcW w:w="28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22,528,571</w:t>
            </w:r>
          </w:p>
        </w:tc>
        <w:tc>
          <w:tcPr>
            <w:tcW w:w="0" w:type="dxa"/>
            <w:vAlign w:val="bottom"/>
          </w:tcPr>
          <w:p>
            <w:pPr>
              <w:spacing w:after="0"/>
              <w:rPr>
                <w:sz w:val="1"/>
                <w:szCs w:val="1"/>
                <w:color w:val="auto"/>
              </w:rPr>
            </w:pPr>
          </w:p>
        </w:tc>
      </w:tr>
      <w:tr>
        <w:trPr>
          <w:trHeight w:val="21"/>
        </w:trPr>
        <w:tc>
          <w:tcPr>
            <w:tcW w:w="46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8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8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9"/>
        </w:trPr>
        <w:tc>
          <w:tcPr>
            <w:tcW w:w="464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gridSpan w:val="10"/>
          </w:tcPr>
          <w:p>
            <w:pPr>
              <w:jc w:val="center"/>
              <w:ind w:right="340"/>
              <w:spacing w:after="0"/>
              <w:rPr>
                <w:sz w:val="20"/>
                <w:szCs w:val="20"/>
                <w:color w:val="auto"/>
              </w:rPr>
            </w:pPr>
            <w:r>
              <w:rPr>
                <w:rFonts w:ascii="Arial" w:cs="Arial" w:eastAsia="Arial" w:hAnsi="Arial"/>
                <w:sz w:val="18"/>
                <w:szCs w:val="18"/>
                <w:b w:val="1"/>
                <w:bCs w:val="1"/>
                <w:color w:val="auto"/>
                <w:w w:val="88"/>
              </w:rPr>
              <w:t>Six Months Ended June 30, 2019</w:t>
            </w: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4640" w:type="dxa"/>
            <w:vAlign w:val="bottom"/>
          </w:tcPr>
          <w:p>
            <w:pPr>
              <w:spacing w:after="0"/>
              <w:rPr>
                <w:sz w:val="20"/>
                <w:szCs w:val="20"/>
                <w:color w:val="auto"/>
              </w:rPr>
            </w:pPr>
          </w:p>
        </w:tc>
        <w:tc>
          <w:tcPr>
            <w:tcW w:w="122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87"/>
              </w:rPr>
              <w:t>Common</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Additional</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204"/>
        </w:trPr>
        <w:tc>
          <w:tcPr>
            <w:tcW w:w="464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640" w:type="dxa"/>
            <w:vAlign w:val="bottom"/>
          </w:tcPr>
          <w:p>
            <w:pPr>
              <w:spacing w:after="0"/>
              <w:rPr>
                <w:sz w:val="19"/>
                <w:szCs w:val="19"/>
                <w:color w:val="auto"/>
              </w:rPr>
            </w:pPr>
          </w:p>
        </w:tc>
        <w:tc>
          <w:tcPr>
            <w:tcW w:w="12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5"/>
              </w:rPr>
              <w:t>Stock</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Paid-In</w:t>
            </w:r>
          </w:p>
        </w:tc>
        <w:tc>
          <w:tcPr>
            <w:tcW w:w="120" w:type="dxa"/>
            <w:vAlign w:val="bottom"/>
          </w:tcPr>
          <w:p>
            <w:pPr>
              <w:spacing w:after="0"/>
              <w:rPr>
                <w:sz w:val="19"/>
                <w:szCs w:val="19"/>
                <w:color w:val="auto"/>
              </w:rPr>
            </w:pPr>
          </w:p>
        </w:tc>
        <w:tc>
          <w:tcPr>
            <w:tcW w:w="126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6"/>
              </w:rPr>
              <w:t>Accumulated</w:t>
            </w:r>
          </w:p>
        </w:tc>
        <w:tc>
          <w:tcPr>
            <w:tcW w:w="100" w:type="dxa"/>
            <w:vAlign w:val="bottom"/>
          </w:tcPr>
          <w:p>
            <w:pPr>
              <w:spacing w:after="0"/>
              <w:rPr>
                <w:sz w:val="19"/>
                <w:szCs w:val="19"/>
                <w:color w:val="auto"/>
              </w:rPr>
            </w:pPr>
          </w:p>
        </w:tc>
        <w:tc>
          <w:tcPr>
            <w:tcW w:w="120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6"/>
              </w:rPr>
              <w:t>Stockholders'</w:t>
            </w:r>
          </w:p>
        </w:tc>
        <w:tc>
          <w:tcPr>
            <w:tcW w:w="0" w:type="dxa"/>
            <w:vAlign w:val="bottom"/>
          </w:tcPr>
          <w:p>
            <w:pPr>
              <w:spacing w:after="0"/>
              <w:rPr>
                <w:sz w:val="1"/>
                <w:szCs w:val="1"/>
                <w:color w:val="auto"/>
              </w:rPr>
            </w:pPr>
          </w:p>
        </w:tc>
      </w:tr>
      <w:tr>
        <w:trPr>
          <w:trHeight w:val="252"/>
        </w:trPr>
        <w:tc>
          <w:tcPr>
            <w:tcW w:w="4640" w:type="dxa"/>
            <w:vAlign w:val="bottom"/>
          </w:tcPr>
          <w:p>
            <w:pPr>
              <w:spacing w:after="0"/>
              <w:rPr>
                <w:sz w:val="21"/>
                <w:szCs w:val="21"/>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Shares</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w w:val="99"/>
              </w:rPr>
              <w:t>Amount</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b w:val="1"/>
                <w:bCs w:val="1"/>
                <w:color w:val="auto"/>
                <w:w w:val="93"/>
              </w:rPr>
              <w:t>Capital</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center"/>
              <w:ind w:right="92"/>
              <w:spacing w:after="0"/>
              <w:rPr>
                <w:sz w:val="20"/>
                <w:szCs w:val="20"/>
                <w:color w:val="auto"/>
              </w:rPr>
            </w:pPr>
            <w:r>
              <w:rPr>
                <w:rFonts w:ascii="Arial" w:cs="Arial" w:eastAsia="Arial" w:hAnsi="Arial"/>
                <w:sz w:val="18"/>
                <w:szCs w:val="18"/>
                <w:b w:val="1"/>
                <w:bCs w:val="1"/>
                <w:color w:val="auto"/>
                <w:w w:val="90"/>
              </w:rPr>
              <w:t>Deficit</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center"/>
              <w:ind w:right="92"/>
              <w:spacing w:after="0"/>
              <w:rPr>
                <w:sz w:val="20"/>
                <w:szCs w:val="20"/>
                <w:color w:val="auto"/>
              </w:rPr>
            </w:pPr>
            <w:r>
              <w:rPr>
                <w:rFonts w:ascii="Arial" w:cs="Arial" w:eastAsia="Arial" w:hAnsi="Arial"/>
                <w:sz w:val="18"/>
                <w:szCs w:val="18"/>
                <w:b w:val="1"/>
                <w:bCs w:val="1"/>
                <w:color w:val="auto"/>
                <w:w w:val="90"/>
              </w:rPr>
              <w:t>Equity</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Balance at December 31, 2018</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27,364,607</w:t>
            </w:r>
          </w:p>
        </w:tc>
        <w:tc>
          <w:tcPr>
            <w:tcW w:w="1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2,736</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16,791,254</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(4,404,336)</w:t>
            </w:r>
          </w:p>
        </w:tc>
        <w:tc>
          <w:tcPr>
            <w:tcW w:w="2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12,389,654</w:t>
            </w:r>
          </w:p>
        </w:tc>
        <w:tc>
          <w:tcPr>
            <w:tcW w:w="0" w:type="dxa"/>
            <w:vAlign w:val="bottom"/>
          </w:tcPr>
          <w:p>
            <w:pPr>
              <w:spacing w:after="0"/>
              <w:rPr>
                <w:sz w:val="1"/>
                <w:szCs w:val="1"/>
                <w:color w:val="auto"/>
              </w:rPr>
            </w:pPr>
          </w:p>
        </w:tc>
      </w:tr>
      <w:tr>
        <w:trPr>
          <w:trHeight w:val="208"/>
        </w:trPr>
        <w:tc>
          <w:tcPr>
            <w:tcW w:w="4640" w:type="dxa"/>
            <w:vAlign w:val="bottom"/>
          </w:tcPr>
          <w:p>
            <w:pPr>
              <w:ind w:left="240"/>
              <w:spacing w:after="0"/>
              <w:rPr>
                <w:sz w:val="20"/>
                <w:szCs w:val="20"/>
                <w:color w:val="auto"/>
              </w:rPr>
            </w:pPr>
            <w:r>
              <w:rPr>
                <w:rFonts w:ascii="Arial" w:cs="Arial" w:eastAsia="Arial" w:hAnsi="Arial"/>
                <w:sz w:val="18"/>
                <w:szCs w:val="18"/>
                <w:color w:val="auto"/>
                <w:w w:val="92"/>
              </w:rPr>
              <w:t>Sale of common stock and warrants at $6.50 per share and</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180"/>
              <w:spacing w:after="0"/>
              <w:rPr>
                <w:sz w:val="20"/>
                <w:szCs w:val="20"/>
                <w:color w:val="auto"/>
              </w:rPr>
            </w:pPr>
            <w:r>
              <w:rPr>
                <w:rFonts w:ascii="Arial" w:cs="Arial" w:eastAsia="Arial" w:hAnsi="Arial"/>
                <w:sz w:val="18"/>
                <w:szCs w:val="18"/>
                <w:color w:val="auto"/>
                <w:w w:val="93"/>
              </w:rPr>
              <w:t>placement agent warrants in public offering, net of issuance</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40" w:type="dxa"/>
            <w:vAlign w:val="bottom"/>
          </w:tcPr>
          <w:p>
            <w:pPr>
              <w:ind w:left="180"/>
              <w:spacing w:after="0"/>
              <w:rPr>
                <w:sz w:val="20"/>
                <w:szCs w:val="20"/>
                <w:color w:val="auto"/>
              </w:rPr>
            </w:pPr>
            <w:r>
              <w:rPr>
                <w:rFonts w:ascii="Arial" w:cs="Arial" w:eastAsia="Arial" w:hAnsi="Arial"/>
                <w:sz w:val="18"/>
                <w:szCs w:val="18"/>
                <w:color w:val="auto"/>
              </w:rPr>
              <w:t>costs</w:t>
            </w:r>
          </w:p>
        </w:tc>
        <w:tc>
          <w:tcPr>
            <w:tcW w:w="1080" w:type="dxa"/>
            <w:vAlign w:val="bottom"/>
          </w:tcPr>
          <w:p>
            <w:pPr>
              <w:jc w:val="right"/>
              <w:spacing w:after="0"/>
              <w:rPr>
                <w:sz w:val="20"/>
                <w:szCs w:val="20"/>
                <w:color w:val="auto"/>
              </w:rPr>
            </w:pPr>
            <w:r>
              <w:rPr>
                <w:rFonts w:ascii="Arial" w:cs="Arial" w:eastAsia="Arial" w:hAnsi="Arial"/>
                <w:sz w:val="18"/>
                <w:szCs w:val="18"/>
                <w:color w:val="auto"/>
              </w:rPr>
              <w:t>1,923,076</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192</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11,351,022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11,351,214</w:t>
            </w:r>
          </w:p>
        </w:tc>
        <w:tc>
          <w:tcPr>
            <w:tcW w:w="0" w:type="dxa"/>
            <w:vAlign w:val="bottom"/>
          </w:tcPr>
          <w:p>
            <w:pPr>
              <w:spacing w:after="0"/>
              <w:rPr>
                <w:sz w:val="1"/>
                <w:szCs w:val="1"/>
                <w:color w:val="auto"/>
              </w:rPr>
            </w:pPr>
          </w:p>
        </w:tc>
      </w:tr>
      <w:tr>
        <w:trPr>
          <w:trHeight w:val="209"/>
        </w:trPr>
        <w:tc>
          <w:tcPr>
            <w:tcW w:w="464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3"/>
              </w:rPr>
              <w:t>Common shares issued upon exercise of warrants at $3.00</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per share</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62,150</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186,444</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186,450</w:t>
            </w:r>
          </w:p>
        </w:tc>
        <w:tc>
          <w:tcPr>
            <w:tcW w:w="0" w:type="dxa"/>
            <w:vAlign w:val="bottom"/>
          </w:tcPr>
          <w:p>
            <w:pPr>
              <w:spacing w:after="0"/>
              <w:rPr>
                <w:sz w:val="1"/>
                <w:szCs w:val="1"/>
                <w:color w:val="auto"/>
              </w:rPr>
            </w:pPr>
          </w:p>
        </w:tc>
      </w:tr>
      <w:tr>
        <w:trPr>
          <w:trHeight w:val="208"/>
        </w:trPr>
        <w:tc>
          <w:tcPr>
            <w:tcW w:w="4640" w:type="dxa"/>
            <w:vAlign w:val="bottom"/>
          </w:tcPr>
          <w:p>
            <w:pPr>
              <w:ind w:left="240"/>
              <w:spacing w:after="0"/>
              <w:rPr>
                <w:sz w:val="20"/>
                <w:szCs w:val="20"/>
                <w:color w:val="auto"/>
              </w:rPr>
            </w:pPr>
            <w:r>
              <w:rPr>
                <w:rFonts w:ascii="Arial" w:cs="Arial" w:eastAsia="Arial" w:hAnsi="Arial"/>
                <w:sz w:val="18"/>
                <w:szCs w:val="18"/>
                <w:color w:val="auto"/>
                <w:w w:val="93"/>
              </w:rPr>
              <w:t>Common shares issued upon exercise of warrants at $5.00</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40" w:type="dxa"/>
            <w:vAlign w:val="bottom"/>
          </w:tcPr>
          <w:p>
            <w:pPr>
              <w:ind w:left="180"/>
              <w:spacing w:after="0"/>
              <w:rPr>
                <w:sz w:val="20"/>
                <w:szCs w:val="20"/>
                <w:color w:val="auto"/>
              </w:rPr>
            </w:pPr>
            <w:r>
              <w:rPr>
                <w:rFonts w:ascii="Arial" w:cs="Arial" w:eastAsia="Arial" w:hAnsi="Arial"/>
                <w:sz w:val="18"/>
                <w:szCs w:val="18"/>
                <w:color w:val="auto"/>
              </w:rPr>
              <w:t>per share</w:t>
            </w:r>
          </w:p>
        </w:tc>
        <w:tc>
          <w:tcPr>
            <w:tcW w:w="1080" w:type="dxa"/>
            <w:vAlign w:val="bottom"/>
          </w:tcPr>
          <w:p>
            <w:pPr>
              <w:jc w:val="right"/>
              <w:spacing w:after="0"/>
              <w:rPr>
                <w:sz w:val="20"/>
                <w:szCs w:val="20"/>
                <w:color w:val="auto"/>
              </w:rPr>
            </w:pPr>
            <w:r>
              <w:rPr>
                <w:rFonts w:ascii="Arial" w:cs="Arial" w:eastAsia="Arial" w:hAnsi="Arial"/>
                <w:sz w:val="18"/>
                <w:szCs w:val="18"/>
                <w:color w:val="auto"/>
              </w:rPr>
              <w:t>274,167</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1,370,807</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1,370,835</w:t>
            </w:r>
          </w:p>
        </w:tc>
        <w:tc>
          <w:tcPr>
            <w:tcW w:w="0" w:type="dxa"/>
            <w:vAlign w:val="bottom"/>
          </w:tcPr>
          <w:p>
            <w:pPr>
              <w:spacing w:after="0"/>
              <w:rPr>
                <w:sz w:val="1"/>
                <w:szCs w:val="1"/>
                <w:color w:val="auto"/>
              </w:rPr>
            </w:pPr>
          </w:p>
        </w:tc>
      </w:tr>
      <w:tr>
        <w:trPr>
          <w:trHeight w:val="217"/>
        </w:trPr>
        <w:tc>
          <w:tcPr>
            <w:tcW w:w="4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Common shares issued upon exercise of stock options</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16,250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24,373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24,375</w:t>
            </w:r>
          </w:p>
        </w:tc>
        <w:tc>
          <w:tcPr>
            <w:tcW w:w="0" w:type="dxa"/>
            <w:vAlign w:val="bottom"/>
          </w:tcPr>
          <w:p>
            <w:pPr>
              <w:spacing w:after="0"/>
              <w:rPr>
                <w:sz w:val="1"/>
                <w:szCs w:val="1"/>
                <w:color w:val="auto"/>
              </w:rPr>
            </w:pPr>
          </w:p>
        </w:tc>
      </w:tr>
      <w:tr>
        <w:trPr>
          <w:trHeight w:val="216"/>
        </w:trPr>
        <w:tc>
          <w:tcPr>
            <w:tcW w:w="4640" w:type="dxa"/>
            <w:vAlign w:val="bottom"/>
          </w:tcPr>
          <w:p>
            <w:pPr>
              <w:ind w:left="220"/>
              <w:spacing w:after="0"/>
              <w:rPr>
                <w:sz w:val="20"/>
                <w:szCs w:val="20"/>
                <w:color w:val="auto"/>
              </w:rPr>
            </w:pPr>
            <w:r>
              <w:rPr>
                <w:rFonts w:ascii="Arial" w:cs="Arial" w:eastAsia="Arial" w:hAnsi="Arial"/>
                <w:sz w:val="18"/>
                <w:szCs w:val="18"/>
                <w:color w:val="auto"/>
              </w:rPr>
              <w:t>Share-based compensation expense</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600,898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600,898</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loss for the period</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(3,394,855)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(3,394,855)</w:t>
            </w:r>
          </w:p>
        </w:tc>
        <w:tc>
          <w:tcPr>
            <w:tcW w:w="0" w:type="dxa"/>
            <w:vAlign w:val="bottom"/>
          </w:tcPr>
          <w:p>
            <w:pPr>
              <w:spacing w:after="0"/>
              <w:rPr>
                <w:sz w:val="1"/>
                <w:szCs w:val="1"/>
                <w:color w:val="auto"/>
              </w:rPr>
            </w:pPr>
          </w:p>
        </w:tc>
      </w:tr>
      <w:tr>
        <w:trPr>
          <w:trHeight w:val="27"/>
        </w:trPr>
        <w:tc>
          <w:tcPr>
            <w:tcW w:w="4640" w:type="dxa"/>
            <w:vAlign w:val="bottom"/>
            <w:shd w:val="clear" w:color="auto" w:fill="CCEEFF"/>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40" w:type="dxa"/>
            <w:vAlign w:val="bottom"/>
          </w:tcPr>
          <w:p>
            <w:pPr>
              <w:ind w:left="100"/>
              <w:spacing w:after="0"/>
              <w:rPr>
                <w:sz w:val="20"/>
                <w:szCs w:val="20"/>
                <w:color w:val="auto"/>
              </w:rPr>
            </w:pPr>
            <w:r>
              <w:rPr>
                <w:rFonts w:ascii="Arial" w:cs="Arial" w:eastAsia="Arial" w:hAnsi="Arial"/>
                <w:sz w:val="18"/>
                <w:szCs w:val="18"/>
                <w:b w:val="1"/>
                <w:bCs w:val="1"/>
                <w:color w:val="auto"/>
              </w:rPr>
              <w:t>Balance at June 30, 2019</w:t>
            </w:r>
          </w:p>
        </w:tc>
        <w:tc>
          <w:tcPr>
            <w:tcW w:w="1080" w:type="dxa"/>
            <w:vAlign w:val="bottom"/>
          </w:tcPr>
          <w:p>
            <w:pPr>
              <w:jc w:val="right"/>
              <w:spacing w:after="0"/>
              <w:rPr>
                <w:sz w:val="20"/>
                <w:szCs w:val="20"/>
                <w:color w:val="auto"/>
              </w:rPr>
            </w:pPr>
            <w:r>
              <w:rPr>
                <w:rFonts w:ascii="Arial" w:cs="Arial" w:eastAsia="Arial" w:hAnsi="Arial"/>
                <w:sz w:val="18"/>
                <w:szCs w:val="18"/>
                <w:color w:val="auto"/>
              </w:rPr>
              <w:t>29,640,250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2,964</w:t>
            </w:r>
          </w:p>
        </w:tc>
        <w:tc>
          <w:tcPr>
            <w:tcW w:w="140" w:type="dxa"/>
            <w:vAlign w:val="bottom"/>
          </w:tcPr>
          <w:p>
            <w:pPr>
              <w:spacing w:after="0"/>
              <w:rPr>
                <w:sz w:val="18"/>
                <w:szCs w:val="18"/>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30,324,798</w:t>
            </w:r>
          </w:p>
        </w:tc>
        <w:tc>
          <w:tcPr>
            <w:tcW w:w="140" w:type="dxa"/>
            <w:vAlign w:val="bottom"/>
          </w:tcPr>
          <w:p>
            <w:pPr>
              <w:spacing w:after="0"/>
              <w:rPr>
                <w:sz w:val="18"/>
                <w:szCs w:val="18"/>
                <w:color w:val="auto"/>
              </w:rPr>
            </w:pPr>
          </w:p>
        </w:tc>
        <w:tc>
          <w:tcPr>
            <w:tcW w:w="32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(7,799,191)</w:t>
            </w:r>
          </w:p>
        </w:tc>
        <w:tc>
          <w:tcPr>
            <w:tcW w:w="28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22,528,571</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1"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See accompanying notes to condensed interim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22"/>
        </w:trPr>
        <w:tc>
          <w:tcPr>
            <w:tcW w:w="7640" w:type="dxa"/>
            <w:vAlign w:val="bottom"/>
          </w:tcPr>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636"/>
        </w:trPr>
        <w:tc>
          <w:tcPr>
            <w:tcW w:w="7640" w:type="dxa"/>
            <w:vAlign w:val="bottom"/>
          </w:tcPr>
          <w:p>
            <w:pPr>
              <w:jc w:val="center"/>
              <w:ind w:left="3512"/>
              <w:spacing w:after="0"/>
              <w:rPr>
                <w:sz w:val="20"/>
                <w:szCs w:val="20"/>
                <w:color w:val="auto"/>
              </w:rPr>
            </w:pPr>
            <w:r>
              <w:rPr>
                <w:rFonts w:ascii="Arial" w:cs="Arial" w:eastAsia="Arial" w:hAnsi="Arial"/>
                <w:sz w:val="18"/>
                <w:szCs w:val="18"/>
                <w:b w:val="1"/>
                <w:bCs w:val="1"/>
                <w:color w:val="auto"/>
                <w:w w:val="86"/>
              </w:rPr>
              <w:t>Wrap Technologies, Inc.</w:t>
            </w: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6"/>
        </w:trPr>
        <w:tc>
          <w:tcPr>
            <w:tcW w:w="7640" w:type="dxa"/>
            <w:vAlign w:val="bottom"/>
          </w:tcPr>
          <w:p>
            <w:pPr>
              <w:jc w:val="center"/>
              <w:ind w:left="3512"/>
              <w:spacing w:after="0"/>
              <w:rPr>
                <w:sz w:val="20"/>
                <w:szCs w:val="20"/>
                <w:color w:val="auto"/>
              </w:rPr>
            </w:pPr>
            <w:r>
              <w:rPr>
                <w:rFonts w:ascii="Arial" w:cs="Arial" w:eastAsia="Arial" w:hAnsi="Arial"/>
                <w:sz w:val="18"/>
                <w:szCs w:val="18"/>
                <w:b w:val="1"/>
                <w:bCs w:val="1"/>
                <w:color w:val="auto"/>
                <w:w w:val="85"/>
              </w:rPr>
              <w:t>Statements of Cash Flows</w:t>
            </w: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8"/>
        </w:trPr>
        <w:tc>
          <w:tcPr>
            <w:tcW w:w="7640" w:type="dxa"/>
            <w:vAlign w:val="bottom"/>
          </w:tcPr>
          <w:p>
            <w:pPr>
              <w:jc w:val="center"/>
              <w:ind w:left="3512"/>
              <w:spacing w:after="0"/>
              <w:rPr>
                <w:sz w:val="20"/>
                <w:szCs w:val="20"/>
                <w:color w:val="auto"/>
              </w:rPr>
            </w:pPr>
            <w:r>
              <w:rPr>
                <w:rFonts w:ascii="Arial" w:cs="Arial" w:eastAsia="Arial" w:hAnsi="Arial"/>
                <w:sz w:val="18"/>
                <w:szCs w:val="18"/>
                <w:b w:val="1"/>
                <w:bCs w:val="1"/>
                <w:color w:val="auto"/>
                <w:w w:val="89"/>
              </w:rPr>
              <w:t>(unaudited)</w:t>
            </w: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486"/>
        </w:trPr>
        <w:tc>
          <w:tcPr>
            <w:tcW w:w="76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60" w:type="dxa"/>
            <w:vAlign w:val="bottom"/>
            <w:gridSpan w:val="6"/>
          </w:tcPr>
          <w:p>
            <w:pPr>
              <w:jc w:val="right"/>
              <w:ind w:right="620"/>
              <w:spacing w:after="0"/>
              <w:rPr>
                <w:sz w:val="20"/>
                <w:szCs w:val="20"/>
                <w:color w:val="auto"/>
              </w:rPr>
            </w:pPr>
            <w:r>
              <w:rPr>
                <w:rFonts w:ascii="Arial" w:cs="Arial" w:eastAsia="Arial" w:hAnsi="Arial"/>
                <w:sz w:val="18"/>
                <w:szCs w:val="18"/>
                <w:b w:val="1"/>
                <w:bCs w:val="1"/>
                <w:color w:val="auto"/>
              </w:rPr>
              <w:t>For the Six Months</w:t>
            </w:r>
          </w:p>
        </w:tc>
      </w:tr>
      <w:tr>
        <w:trPr>
          <w:trHeight w:val="243"/>
        </w:trPr>
        <w:tc>
          <w:tcPr>
            <w:tcW w:w="76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360" w:type="dxa"/>
            <w:vAlign w:val="bottom"/>
            <w:gridSpan w:val="6"/>
          </w:tcPr>
          <w:p>
            <w:pPr>
              <w:jc w:val="right"/>
              <w:ind w:right="760"/>
              <w:spacing w:after="0"/>
              <w:rPr>
                <w:sz w:val="20"/>
                <w:szCs w:val="20"/>
                <w:color w:val="auto"/>
              </w:rPr>
            </w:pPr>
            <w:r>
              <w:rPr>
                <w:rFonts w:ascii="Arial" w:cs="Arial" w:eastAsia="Arial" w:hAnsi="Arial"/>
                <w:sz w:val="18"/>
                <w:szCs w:val="18"/>
                <w:b w:val="1"/>
                <w:bCs w:val="1"/>
                <w:color w:val="auto"/>
              </w:rPr>
              <w:t>Ended June 30,</w:t>
            </w:r>
          </w:p>
        </w:tc>
      </w:tr>
      <w:tr>
        <w:trPr>
          <w:trHeight w:val="252"/>
        </w:trPr>
        <w:tc>
          <w:tcPr>
            <w:tcW w:w="76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2020</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21"/>
                <w:szCs w:val="21"/>
                <w:color w:val="auto"/>
              </w:rPr>
            </w:pPr>
          </w:p>
        </w:tc>
      </w:tr>
      <w:tr>
        <w:trPr>
          <w:trHeight w:val="242"/>
        </w:trPr>
        <w:tc>
          <w:tcPr>
            <w:tcW w:w="7640" w:type="dxa"/>
            <w:vAlign w:val="bottom"/>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0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17"/>
        </w:trPr>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24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(5,162,478)</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(3,394,855)</w:t>
            </w:r>
          </w:p>
        </w:tc>
      </w:tr>
      <w:tr>
        <w:trPr>
          <w:trHeight w:val="216"/>
        </w:trPr>
        <w:tc>
          <w:tcPr>
            <w:tcW w:w="7640" w:type="dxa"/>
            <w:vAlign w:val="bottom"/>
          </w:tcPr>
          <w:p>
            <w:pPr>
              <w:spacing w:after="0"/>
              <w:rPr>
                <w:sz w:val="20"/>
                <w:szCs w:val="20"/>
                <w:color w:val="auto"/>
              </w:rPr>
            </w:pPr>
            <w:r>
              <w:rPr>
                <w:rFonts w:ascii="Arial" w:cs="Arial" w:eastAsia="Arial" w:hAnsi="Arial"/>
                <w:sz w:val="18"/>
                <w:szCs w:val="18"/>
                <w:color w:val="auto"/>
              </w:rPr>
              <w:t>Adjustments to reconcile net loss to net cash</w:t>
            </w: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7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used in operating activities:</w:t>
            </w: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764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52,586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12,573</w:t>
            </w:r>
          </w:p>
        </w:tc>
      </w:tr>
      <w:tr>
        <w:trPr>
          <w:trHeight w:val="216"/>
        </w:trPr>
        <w:tc>
          <w:tcPr>
            <w:tcW w:w="7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Warranty provision</w:t>
            </w: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18,909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3,503</w:t>
            </w:r>
          </w:p>
        </w:tc>
      </w:tr>
      <w:tr>
        <w:trPr>
          <w:trHeight w:val="216"/>
        </w:trPr>
        <w:tc>
          <w:tcPr>
            <w:tcW w:w="7640" w:type="dxa"/>
            <w:vAlign w:val="bottom"/>
          </w:tcPr>
          <w:p>
            <w:pPr>
              <w:ind w:left="140"/>
              <w:spacing w:after="0"/>
              <w:rPr>
                <w:sz w:val="20"/>
                <w:szCs w:val="20"/>
                <w:color w:val="auto"/>
              </w:rPr>
            </w:pPr>
            <w:r>
              <w:rPr>
                <w:rFonts w:ascii="Arial" w:cs="Arial" w:eastAsia="Arial" w:hAnsi="Arial"/>
                <w:sz w:val="18"/>
                <w:szCs w:val="18"/>
                <w:color w:val="auto"/>
              </w:rPr>
              <w:t>Inventory obsolescence</w:t>
            </w: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(48,000)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(65,012)</w:t>
            </w:r>
          </w:p>
        </w:tc>
      </w:tr>
      <w:tr>
        <w:trPr>
          <w:trHeight w:val="216"/>
        </w:trPr>
        <w:tc>
          <w:tcPr>
            <w:tcW w:w="7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Non-cash lease expense</w:t>
            </w: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22,211</w:t>
            </w:r>
          </w:p>
        </w:tc>
      </w:tr>
      <w:tr>
        <w:trPr>
          <w:trHeight w:val="216"/>
        </w:trPr>
        <w:tc>
          <w:tcPr>
            <w:tcW w:w="7640" w:type="dxa"/>
            <w:vAlign w:val="bottom"/>
          </w:tcPr>
          <w:p>
            <w:pPr>
              <w:ind w:left="140"/>
              <w:spacing w:after="0"/>
              <w:rPr>
                <w:sz w:val="20"/>
                <w:szCs w:val="20"/>
                <w:color w:val="auto"/>
              </w:rPr>
            </w:pPr>
            <w:r>
              <w:rPr>
                <w:rFonts w:ascii="Arial" w:cs="Arial" w:eastAsia="Arial" w:hAnsi="Arial"/>
                <w:sz w:val="18"/>
                <w:szCs w:val="18"/>
                <w:color w:val="auto"/>
              </w:rPr>
              <w:t>Share-based compensation</w:t>
            </w: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1,016,235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600,898</w:t>
            </w:r>
          </w:p>
        </w:tc>
      </w:tr>
      <w:tr>
        <w:trPr>
          <w:trHeight w:val="216"/>
        </w:trPr>
        <w:tc>
          <w:tcPr>
            <w:tcW w:w="7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Provision for doubtful accounts</w:t>
            </w: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7640" w:type="dxa"/>
            <w:vAlign w:val="bottom"/>
          </w:tcPr>
          <w:p>
            <w:pPr>
              <w:ind w:left="140"/>
              <w:spacing w:after="0"/>
              <w:rPr>
                <w:sz w:val="20"/>
                <w:szCs w:val="20"/>
                <w:color w:val="auto"/>
              </w:rPr>
            </w:pPr>
            <w:r>
              <w:rPr>
                <w:rFonts w:ascii="Arial" w:cs="Arial" w:eastAsia="Arial" w:hAnsi="Arial"/>
                <w:sz w:val="18"/>
                <w:szCs w:val="18"/>
                <w:color w:val="auto"/>
              </w:rPr>
              <w:t>Changes in assets and liabilities:</w:t>
            </w: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7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receivable</w:t>
            </w: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(306,979)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(26,863)</w:t>
            </w:r>
          </w:p>
        </w:tc>
      </w:tr>
      <w:tr>
        <w:trPr>
          <w:trHeight w:val="216"/>
        </w:trPr>
        <w:tc>
          <w:tcPr>
            <w:tcW w:w="7640" w:type="dxa"/>
            <w:vAlign w:val="bottom"/>
          </w:tcPr>
          <w:p>
            <w:pPr>
              <w:ind w:left="220"/>
              <w:spacing w:after="0"/>
              <w:rPr>
                <w:sz w:val="20"/>
                <w:szCs w:val="20"/>
                <w:color w:val="auto"/>
              </w:rPr>
            </w:pPr>
            <w:r>
              <w:rPr>
                <w:rFonts w:ascii="Arial" w:cs="Arial" w:eastAsia="Arial" w:hAnsi="Arial"/>
                <w:sz w:val="18"/>
                <w:szCs w:val="18"/>
                <w:color w:val="auto"/>
              </w:rPr>
              <w:t>Inventories</w:t>
            </w: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206,036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(1,032,308)</w:t>
            </w:r>
          </w:p>
        </w:tc>
      </w:tr>
      <w:tr>
        <w:trPr>
          <w:trHeight w:val="216"/>
        </w:trPr>
        <w:tc>
          <w:tcPr>
            <w:tcW w:w="7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(29,323)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(71,182)</w:t>
            </w:r>
          </w:p>
        </w:tc>
      </w:tr>
      <w:tr>
        <w:trPr>
          <w:trHeight w:val="216"/>
        </w:trPr>
        <w:tc>
          <w:tcPr>
            <w:tcW w:w="7640" w:type="dxa"/>
            <w:vAlign w:val="bottom"/>
          </w:tcPr>
          <w:p>
            <w:pPr>
              <w:ind w:left="220"/>
              <w:spacing w:after="0"/>
              <w:rPr>
                <w:sz w:val="20"/>
                <w:szCs w:val="20"/>
                <w:color w:val="auto"/>
              </w:rPr>
            </w:pPr>
            <w:r>
              <w:rPr>
                <w:rFonts w:ascii="Arial" w:cs="Arial" w:eastAsia="Arial" w:hAnsi="Arial"/>
                <w:sz w:val="18"/>
                <w:szCs w:val="18"/>
                <w:color w:val="auto"/>
              </w:rPr>
              <w:t>Accounts payable</w:t>
            </w: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376,322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183,478</w:t>
            </w:r>
          </w:p>
        </w:tc>
      </w:tr>
      <w:tr>
        <w:trPr>
          <w:trHeight w:val="216"/>
        </w:trPr>
        <w:tc>
          <w:tcPr>
            <w:tcW w:w="7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lease liability</w:t>
            </w: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(62,369)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(20,893)</w:t>
            </w:r>
          </w:p>
        </w:tc>
      </w:tr>
      <w:tr>
        <w:trPr>
          <w:trHeight w:val="216"/>
        </w:trPr>
        <w:tc>
          <w:tcPr>
            <w:tcW w:w="7640" w:type="dxa"/>
            <w:vAlign w:val="bottom"/>
          </w:tcPr>
          <w:p>
            <w:pPr>
              <w:ind w:left="220"/>
              <w:spacing w:after="0"/>
              <w:rPr>
                <w:sz w:val="20"/>
                <w:szCs w:val="20"/>
                <w:color w:val="auto"/>
              </w:rPr>
            </w:pPr>
            <w:r>
              <w:rPr>
                <w:rFonts w:ascii="Arial" w:cs="Arial" w:eastAsia="Arial" w:hAnsi="Arial"/>
                <w:sz w:val="18"/>
                <w:szCs w:val="18"/>
                <w:color w:val="auto"/>
              </w:rPr>
              <w:t>Customer deposits</w:t>
            </w: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(193,019)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7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liabilities and other</w:t>
            </w: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165,425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59,416</w:t>
            </w:r>
          </w:p>
        </w:tc>
      </w:tr>
      <w:tr>
        <w:trPr>
          <w:trHeight w:val="216"/>
        </w:trPr>
        <w:tc>
          <w:tcPr>
            <w:tcW w:w="7640" w:type="dxa"/>
            <w:vAlign w:val="bottom"/>
          </w:tcPr>
          <w:p>
            <w:pPr>
              <w:ind w:left="220"/>
              <w:spacing w:after="0"/>
              <w:rPr>
                <w:sz w:val="20"/>
                <w:szCs w:val="20"/>
                <w:color w:val="auto"/>
              </w:rPr>
            </w:pPr>
            <w:r>
              <w:rPr>
                <w:rFonts w:ascii="Arial" w:cs="Arial" w:eastAsia="Arial" w:hAnsi="Arial"/>
                <w:sz w:val="18"/>
                <w:szCs w:val="18"/>
                <w:color w:val="auto"/>
              </w:rPr>
              <w:t>Deferred revenue</w:t>
            </w: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3,357</w:t>
            </w:r>
          </w:p>
        </w:tc>
      </w:tr>
      <w:tr>
        <w:trPr>
          <w:trHeight w:val="27"/>
        </w:trPr>
        <w:tc>
          <w:tcPr>
            <w:tcW w:w="76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23"/>
        </w:trPr>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0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(3,896,915)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(3,725,677)</w:t>
            </w:r>
          </w:p>
        </w:tc>
      </w:tr>
      <w:tr>
        <w:trPr>
          <w:trHeight w:val="216"/>
        </w:trPr>
        <w:tc>
          <w:tcPr>
            <w:tcW w:w="764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r>
      <w:tr>
        <w:trPr>
          <w:trHeight w:val="216"/>
        </w:trPr>
        <w:tc>
          <w:tcPr>
            <w:tcW w:w="7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7640" w:type="dxa"/>
            <w:vAlign w:val="bottom"/>
          </w:tcPr>
          <w:p>
            <w:pPr>
              <w:spacing w:after="0"/>
              <w:rPr>
                <w:sz w:val="20"/>
                <w:szCs w:val="20"/>
                <w:color w:val="auto"/>
              </w:rPr>
            </w:pPr>
            <w:r>
              <w:rPr>
                <w:rFonts w:ascii="Arial" w:cs="Arial" w:eastAsia="Arial" w:hAnsi="Arial"/>
                <w:sz w:val="18"/>
                <w:szCs w:val="18"/>
                <w:color w:val="auto"/>
              </w:rPr>
              <w:t>Capital expenditures for property and equipment</w:t>
            </w: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(68,584)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(108,616)</w:t>
            </w:r>
          </w:p>
        </w:tc>
      </w:tr>
      <w:tr>
        <w:trPr>
          <w:trHeight w:val="216"/>
        </w:trPr>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Investment in patents and trademarks</w:t>
            </w: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(82,003)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(68,501)</w:t>
            </w:r>
          </w:p>
        </w:tc>
      </w:tr>
      <w:tr>
        <w:trPr>
          <w:trHeight w:val="216"/>
        </w:trPr>
        <w:tc>
          <w:tcPr>
            <w:tcW w:w="7640" w:type="dxa"/>
            <w:vAlign w:val="bottom"/>
          </w:tcPr>
          <w:p>
            <w:pPr>
              <w:spacing w:after="0"/>
              <w:rPr>
                <w:sz w:val="20"/>
                <w:szCs w:val="20"/>
                <w:color w:val="auto"/>
              </w:rPr>
            </w:pPr>
            <w:r>
              <w:rPr>
                <w:rFonts w:ascii="Arial" w:cs="Arial" w:eastAsia="Arial" w:hAnsi="Arial"/>
                <w:sz w:val="18"/>
                <w:szCs w:val="18"/>
                <w:color w:val="auto"/>
              </w:rPr>
              <w:t>Long-term deposits</w:t>
            </w: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(11,169)</w:t>
            </w:r>
          </w:p>
        </w:tc>
      </w:tr>
      <w:tr>
        <w:trPr>
          <w:trHeight w:val="27"/>
        </w:trPr>
        <w:tc>
          <w:tcPr>
            <w:tcW w:w="76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23"/>
        </w:trPr>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0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(150,587)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(188,286)</w:t>
            </w:r>
          </w:p>
        </w:tc>
      </w:tr>
      <w:tr>
        <w:trPr>
          <w:trHeight w:val="216"/>
        </w:trPr>
        <w:tc>
          <w:tcPr>
            <w:tcW w:w="764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r>
      <w:tr>
        <w:trPr>
          <w:trHeight w:val="216"/>
        </w:trPr>
        <w:tc>
          <w:tcPr>
            <w:tcW w:w="7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7640" w:type="dxa"/>
            <w:vAlign w:val="bottom"/>
          </w:tcPr>
          <w:p>
            <w:pPr>
              <w:spacing w:after="0"/>
              <w:rPr>
                <w:sz w:val="20"/>
                <w:szCs w:val="20"/>
                <w:color w:val="auto"/>
              </w:rPr>
            </w:pPr>
            <w:r>
              <w:rPr>
                <w:rFonts w:ascii="Arial" w:cs="Arial" w:eastAsia="Arial" w:hAnsi="Arial"/>
                <w:sz w:val="18"/>
                <w:szCs w:val="18"/>
                <w:color w:val="auto"/>
              </w:rPr>
              <w:t>Sale of common stock and warrants</w:t>
            </w: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12,400,002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12,499,994</w:t>
            </w:r>
          </w:p>
        </w:tc>
      </w:tr>
      <w:tr>
        <w:trPr>
          <w:trHeight w:val="216"/>
        </w:trPr>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Offering costs paid on sale of common stock and warrants</w:t>
            </w: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(732,796)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(1,148,780)</w:t>
            </w:r>
          </w:p>
        </w:tc>
      </w:tr>
      <w:tr>
        <w:trPr>
          <w:trHeight w:val="216"/>
        </w:trPr>
        <w:tc>
          <w:tcPr>
            <w:tcW w:w="7640" w:type="dxa"/>
            <w:vAlign w:val="bottom"/>
          </w:tcPr>
          <w:p>
            <w:pPr>
              <w:spacing w:after="0"/>
              <w:rPr>
                <w:sz w:val="20"/>
                <w:szCs w:val="20"/>
                <w:color w:val="auto"/>
              </w:rPr>
            </w:pPr>
            <w:r>
              <w:rPr>
                <w:rFonts w:ascii="Arial" w:cs="Arial" w:eastAsia="Arial" w:hAnsi="Arial"/>
                <w:sz w:val="18"/>
                <w:szCs w:val="18"/>
                <w:color w:val="auto"/>
              </w:rPr>
              <w:t>Proceeds from exercise of warrants</w:t>
            </w: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10,250,532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1,557,285</w:t>
            </w:r>
          </w:p>
        </w:tc>
      </w:tr>
      <w:tr>
        <w:trPr>
          <w:trHeight w:val="216"/>
        </w:trPr>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Offering costs paid on exercise of warrants</w:t>
            </w: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(398,091)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7640" w:type="dxa"/>
            <w:vAlign w:val="bottom"/>
          </w:tcPr>
          <w:p>
            <w:pPr>
              <w:spacing w:after="0"/>
              <w:rPr>
                <w:sz w:val="20"/>
                <w:szCs w:val="20"/>
                <w:color w:val="auto"/>
              </w:rPr>
            </w:pPr>
            <w:r>
              <w:rPr>
                <w:rFonts w:ascii="Arial" w:cs="Arial" w:eastAsia="Arial" w:hAnsi="Arial"/>
                <w:sz w:val="18"/>
                <w:szCs w:val="18"/>
                <w:color w:val="auto"/>
              </w:rPr>
              <w:t>Proceeds from exercise of stock options</w:t>
            </w: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514,875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24,375</w:t>
            </w:r>
          </w:p>
        </w:tc>
      </w:tr>
      <w:tr>
        <w:trPr>
          <w:trHeight w:val="216"/>
        </w:trPr>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bank note</w:t>
            </w: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414,362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7"/>
        </w:trPr>
        <w:tc>
          <w:tcPr>
            <w:tcW w:w="76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23"/>
        </w:trPr>
        <w:tc>
          <w:tcPr>
            <w:tcW w:w="7640" w:type="dxa"/>
            <w:vAlign w:val="bottom"/>
          </w:tcPr>
          <w:p>
            <w:pPr>
              <w:spacing w:after="0"/>
              <w:rPr>
                <w:sz w:val="20"/>
                <w:szCs w:val="20"/>
                <w:color w:val="auto"/>
              </w:rPr>
            </w:pPr>
            <w:r>
              <w:rPr>
                <w:rFonts w:ascii="Arial" w:cs="Arial" w:eastAsia="Arial" w:hAnsi="Arial"/>
                <w:sz w:val="18"/>
                <w:szCs w:val="18"/>
                <w:color w:val="auto"/>
              </w:rPr>
              <w:t>Net cash provided by financing activities</w:t>
            </w: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22,448,884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12,932,874</w:t>
            </w:r>
          </w:p>
        </w:tc>
      </w:tr>
      <w:tr>
        <w:trPr>
          <w:trHeight w:val="216"/>
        </w:trPr>
        <w:tc>
          <w:tcPr>
            <w:tcW w:w="76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7640" w:type="dxa"/>
            <w:vAlign w:val="bottom"/>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18,401,382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9,018,911</w:t>
            </w:r>
          </w:p>
        </w:tc>
      </w:tr>
      <w:tr>
        <w:trPr>
          <w:trHeight w:val="216"/>
        </w:trPr>
        <w:tc>
          <w:tcPr>
            <w:tcW w:w="7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beginning of period</w:t>
            </w: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16,983,864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12,358,896</w:t>
            </w:r>
          </w:p>
        </w:tc>
      </w:tr>
      <w:tr>
        <w:trPr>
          <w:trHeight w:val="27"/>
        </w:trPr>
        <w:tc>
          <w:tcPr>
            <w:tcW w:w="76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16"/>
        </w:trPr>
        <w:tc>
          <w:tcPr>
            <w:tcW w:w="7640" w:type="dxa"/>
            <w:vAlign w:val="bottom"/>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1040" w:type="dxa"/>
            <w:vAlign w:val="bottom"/>
          </w:tcPr>
          <w:p>
            <w:pPr>
              <w:spacing w:after="0"/>
              <w:rPr>
                <w:sz w:val="18"/>
                <w:szCs w:val="18"/>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35,385,246</w:t>
            </w:r>
          </w:p>
        </w:tc>
        <w:tc>
          <w:tcPr>
            <w:tcW w:w="180" w:type="dxa"/>
            <w:vAlign w:val="bottom"/>
          </w:tcPr>
          <w:p>
            <w:pPr>
              <w:spacing w:after="0"/>
              <w:rPr>
                <w:sz w:val="18"/>
                <w:szCs w:val="18"/>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21,377,807</w:t>
            </w:r>
          </w:p>
        </w:tc>
      </w:tr>
      <w:tr>
        <w:trPr>
          <w:trHeight w:val="20"/>
        </w:trPr>
        <w:tc>
          <w:tcPr>
            <w:tcW w:w="76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76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7640" w:type="dxa"/>
            <w:vAlign w:val="bottom"/>
          </w:tcPr>
          <w:p>
            <w:pPr>
              <w:spacing w:after="0"/>
              <w:rPr>
                <w:sz w:val="20"/>
                <w:szCs w:val="20"/>
                <w:color w:val="auto"/>
              </w:rPr>
            </w:pPr>
            <w:r>
              <w:rPr>
                <w:rFonts w:ascii="Arial" w:cs="Arial" w:eastAsia="Arial" w:hAnsi="Arial"/>
                <w:sz w:val="18"/>
                <w:szCs w:val="18"/>
                <w:b w:val="1"/>
                <w:bCs w:val="1"/>
                <w:color w:val="auto"/>
              </w:rPr>
              <w:t>Supplemental Disclosure of Non-Cash Investing</w:t>
            </w: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7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and Financing Activities:</w:t>
            </w: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7640" w:type="dxa"/>
            <w:vAlign w:val="bottom"/>
          </w:tcPr>
          <w:p>
            <w:pPr>
              <w:spacing w:after="0"/>
              <w:rPr>
                <w:sz w:val="20"/>
                <w:szCs w:val="20"/>
                <w:color w:val="auto"/>
              </w:rPr>
            </w:pPr>
            <w:r>
              <w:rPr>
                <w:rFonts w:ascii="Arial" w:cs="Arial" w:eastAsia="Arial" w:hAnsi="Arial"/>
                <w:sz w:val="18"/>
                <w:szCs w:val="18"/>
                <w:color w:val="auto"/>
              </w:rPr>
              <w:t>Right-of-use assets and liabilites recorded during period</w:t>
            </w:r>
          </w:p>
        </w:tc>
        <w:tc>
          <w:tcPr>
            <w:tcW w:w="124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341,000</w:t>
            </w:r>
          </w:p>
        </w:tc>
      </w:tr>
      <w:tr>
        <w:trPr>
          <w:trHeight w:val="216"/>
        </w:trPr>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Issuance costs relating to warrants issued to public offering selling agent</w:t>
            </w:r>
          </w:p>
        </w:tc>
        <w:tc>
          <w:tcPr>
            <w:tcW w:w="124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205,894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See accompanying notes to condensed interim financial statements.</w:t>
      </w:r>
    </w:p>
    <w:p>
      <w:pPr>
        <w:sectPr>
          <w:pgSz w:w="11900" w:h="16838" w:orient="portrait"/>
          <w:cols w:equalWidth="0" w:num="1">
            <w:col w:w="11240"/>
          </w:cols>
          <w:pgMar w:left="320" w:top="131"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type w:val="continuous"/>
        </w:sectPr>
      </w:pPr>
    </w:p>
    <w:bookmarkStart w:id="7" w:name="page8"/>
    <w:bookmarkEnd w:id="7"/>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Wrap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Interim Financial Statements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60" w:hanging="452"/>
        <w:spacing w:after="0"/>
        <w:tabs>
          <w:tab w:leader="none" w:pos="4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SUMMARY OF SIGNIFICANT ACCOUNTING POLICIES</w:t>
      </w:r>
    </w:p>
    <w:p>
      <w:pPr>
        <w:spacing w:after="0" w:line="231" w:lineRule="exact"/>
        <w:rPr>
          <w:sz w:val="20"/>
          <w:szCs w:val="20"/>
          <w:color w:val="auto"/>
        </w:rPr>
      </w:pPr>
    </w:p>
    <w:p>
      <w:pPr>
        <w:ind w:left="180"/>
        <w:spacing w:after="0"/>
        <w:rPr>
          <w:sz w:val="20"/>
          <w:szCs w:val="20"/>
          <w:color w:val="auto"/>
        </w:rPr>
      </w:pPr>
      <w:r>
        <w:rPr>
          <w:rFonts w:ascii="Arial" w:cs="Arial" w:eastAsia="Arial" w:hAnsi="Arial"/>
          <w:sz w:val="18"/>
          <w:szCs w:val="18"/>
          <w:u w:val="single" w:color="auto"/>
          <w:color w:val="auto"/>
        </w:rPr>
        <w:t>Organization and Business Description</w:t>
      </w:r>
    </w:p>
    <w:p>
      <w:pPr>
        <w:spacing w:after="0" w:line="225" w:lineRule="exact"/>
        <w:rPr>
          <w:sz w:val="20"/>
          <w:szCs w:val="20"/>
          <w:color w:val="auto"/>
        </w:rPr>
      </w:pPr>
    </w:p>
    <w:p>
      <w:pPr>
        <w:jc w:val="both"/>
        <w:ind w:left="180"/>
        <w:spacing w:after="0" w:line="298" w:lineRule="auto"/>
        <w:rPr>
          <w:sz w:val="20"/>
          <w:szCs w:val="20"/>
          <w:color w:val="auto"/>
        </w:rPr>
      </w:pPr>
      <w:r>
        <w:rPr>
          <w:rFonts w:ascii="Arial" w:cs="Arial" w:eastAsia="Arial" w:hAnsi="Arial"/>
          <w:sz w:val="16"/>
          <w:szCs w:val="16"/>
          <w:color w:val="auto"/>
        </w:rPr>
        <w:t>Wrap Technologies, Inc., a Delaware corporation (the “</w:t>
      </w:r>
      <w:r>
        <w:rPr>
          <w:rFonts w:ascii="Arial" w:cs="Arial" w:eastAsia="Arial" w:hAnsi="Arial"/>
          <w:sz w:val="16"/>
          <w:szCs w:val="16"/>
          <w:i w:val="1"/>
          <w:iCs w:val="1"/>
          <w:color w:val="auto"/>
        </w:rPr>
        <w:t>Company</w:t>
      </w:r>
      <w:r>
        <w:rPr>
          <w:rFonts w:ascii="Arial" w:cs="Arial" w:eastAsia="Arial" w:hAnsi="Arial"/>
          <w:sz w:val="16"/>
          <w:szCs w:val="16"/>
          <w:color w:val="auto"/>
        </w:rPr>
        <w:t>”), is a publicly traded company listed on the Nasdaq Capital Market (“</w:t>
      </w:r>
      <w:r>
        <w:rPr>
          <w:rFonts w:ascii="Arial" w:cs="Arial" w:eastAsia="Arial" w:hAnsi="Arial"/>
          <w:sz w:val="16"/>
          <w:szCs w:val="16"/>
          <w:i w:val="1"/>
          <w:iCs w:val="1"/>
          <w:color w:val="auto"/>
        </w:rPr>
        <w:t>Nasdaq</w:t>
      </w:r>
      <w:r>
        <w:rPr>
          <w:rFonts w:ascii="Arial" w:cs="Arial" w:eastAsia="Arial" w:hAnsi="Arial"/>
          <w:sz w:val="16"/>
          <w:szCs w:val="16"/>
          <w:color w:val="auto"/>
        </w:rPr>
        <w:t>”) under the trading symbol “WRTC”. The Company is a developer of security products designed for use by law enforcement and security personnel. The Company’s first product is the BolaWrap® 100 remote restraint device that discharges an eight-foot bola style Kevlar® tether to entangle a subject at a range of 10-25 feet. The principal markets for the Company’s proprietary products are in North and South America, Europe, Middle East and Asia.</w:t>
      </w:r>
    </w:p>
    <w:p>
      <w:pPr>
        <w:spacing w:after="0" w:line="166" w:lineRule="exact"/>
        <w:rPr>
          <w:sz w:val="20"/>
          <w:szCs w:val="20"/>
          <w:color w:val="auto"/>
        </w:rPr>
      </w:pPr>
    </w:p>
    <w:p>
      <w:pPr>
        <w:ind w:left="180"/>
        <w:spacing w:after="0"/>
        <w:rPr>
          <w:sz w:val="20"/>
          <w:szCs w:val="20"/>
          <w:color w:val="auto"/>
        </w:rPr>
      </w:pPr>
      <w:r>
        <w:rPr>
          <w:rFonts w:ascii="Arial" w:cs="Arial" w:eastAsia="Arial" w:hAnsi="Arial"/>
          <w:sz w:val="18"/>
          <w:szCs w:val="18"/>
          <w:u w:val="single" w:color="auto"/>
          <w:color w:val="auto"/>
        </w:rPr>
        <w:t>Basis of Presentation and Use of Estimates</w:t>
      </w:r>
    </w:p>
    <w:p>
      <w:pPr>
        <w:spacing w:after="0" w:line="225" w:lineRule="exact"/>
        <w:rPr>
          <w:sz w:val="20"/>
          <w:szCs w:val="20"/>
          <w:color w:val="auto"/>
        </w:rPr>
      </w:pPr>
    </w:p>
    <w:p>
      <w:pPr>
        <w:jc w:val="both"/>
        <w:ind w:left="180"/>
        <w:spacing w:after="0" w:line="287" w:lineRule="auto"/>
        <w:rPr>
          <w:sz w:val="20"/>
          <w:szCs w:val="20"/>
          <w:color w:val="auto"/>
        </w:rPr>
      </w:pPr>
      <w:r>
        <w:rPr>
          <w:rFonts w:ascii="Arial" w:cs="Arial" w:eastAsia="Arial" w:hAnsi="Arial"/>
          <w:sz w:val="16"/>
          <w:szCs w:val="16"/>
          <w:color w:val="auto"/>
        </w:rPr>
        <w:t>The Company’s unaudited interim financial statements and related notes included herein have been prepared in accordance with accounting principles generally accepted in the United States of America (“</w:t>
      </w:r>
      <w:r>
        <w:rPr>
          <w:rFonts w:ascii="Arial" w:cs="Arial" w:eastAsia="Arial" w:hAnsi="Arial"/>
          <w:sz w:val="16"/>
          <w:szCs w:val="16"/>
          <w:i w:val="1"/>
          <w:iCs w:val="1"/>
          <w:color w:val="auto"/>
        </w:rPr>
        <w:t>US GAAP</w:t>
      </w:r>
      <w:r>
        <w:rPr>
          <w:rFonts w:ascii="Arial" w:cs="Arial" w:eastAsia="Arial" w:hAnsi="Arial"/>
          <w:sz w:val="16"/>
          <w:szCs w:val="16"/>
          <w:color w:val="auto"/>
        </w:rPr>
        <w:t>”) for interim financial information and in accordance with Article 8 of Regulation S-X and the rules and regulations of the Securities and Exchange Commission (“</w:t>
      </w:r>
      <w:r>
        <w:rPr>
          <w:rFonts w:ascii="Arial" w:cs="Arial" w:eastAsia="Arial" w:hAnsi="Arial"/>
          <w:sz w:val="16"/>
          <w:szCs w:val="16"/>
          <w:i w:val="1"/>
          <w:iCs w:val="1"/>
          <w:color w:val="auto"/>
        </w:rPr>
        <w:t>SEC</w:t>
      </w:r>
      <w:r>
        <w:rPr>
          <w:rFonts w:ascii="Arial" w:cs="Arial" w:eastAsia="Arial" w:hAnsi="Arial"/>
          <w:sz w:val="16"/>
          <w:szCs w:val="16"/>
          <w:color w:val="auto"/>
        </w:rPr>
        <w:t>”). The condensed balance sheet at December 31, 2019 was derived from audited financial statements but certain information and footnote disclosures normally included in financial statements prepared in accordance with U.S. generally accepted accounting principles have been condensed or omitted pursuant to such rules and regulations. In management’s opinion, the accompanying statements reflect adjustments necessary to present fairly the financial position, results of operations, and cash flows for the periods indicated, and contain adequate disclosure to make the information presented not misleading. Adjustments included herein are of a normal, recurring nature unless otherwise disclosed in the footnotes. The interim financial statements and notes thereto should be read in conjunction with the Company’s audited financial statements and notes thereto for the year ended December 31, 2019. Results of operations for interim periods are not necessarily indicative of the results of operations for a full year.</w:t>
      </w:r>
    </w:p>
    <w:p>
      <w:pPr>
        <w:spacing w:after="0" w:line="176" w:lineRule="exact"/>
        <w:rPr>
          <w:sz w:val="20"/>
          <w:szCs w:val="20"/>
          <w:color w:val="auto"/>
        </w:rPr>
      </w:pPr>
    </w:p>
    <w:p>
      <w:pPr>
        <w:jc w:val="both"/>
        <w:ind w:left="180"/>
        <w:spacing w:after="0" w:line="294"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of America requires management to make estimates and assumptions (e.g., stock-based compensation valuation, allowance for doubtful accounts, valuation of inventory and intangible assets, warranty reserve, accrued costs and recognition and measurement of contingencies) that affect the reported amounts of assets and liabilities, and disclosure of contingent assets and liabilities at the date of the financial statements and affect the reported amounts of revenues and expenses during the reporting period. Actual results could materially differ from those estimates.</w:t>
      </w:r>
    </w:p>
    <w:p>
      <w:pPr>
        <w:spacing w:after="0" w:line="16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Where necessary, the prior year’s information has been reclassified to conform to the current year presentation.</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u w:val="single" w:color="auto"/>
          <w:color w:val="auto"/>
        </w:rPr>
        <w:t>Concentrations of Risk and Uncertainties</w:t>
      </w:r>
    </w:p>
    <w:p>
      <w:pPr>
        <w:spacing w:after="0" w:line="225" w:lineRule="exact"/>
        <w:rPr>
          <w:sz w:val="20"/>
          <w:szCs w:val="20"/>
          <w:color w:val="auto"/>
        </w:rPr>
      </w:pPr>
    </w:p>
    <w:p>
      <w:pPr>
        <w:jc w:val="both"/>
        <w:ind w:left="180"/>
        <w:spacing w:after="0" w:line="254" w:lineRule="auto"/>
        <w:rPr>
          <w:sz w:val="20"/>
          <w:szCs w:val="20"/>
          <w:color w:val="auto"/>
        </w:rPr>
      </w:pPr>
      <w:r>
        <w:rPr>
          <w:rFonts w:ascii="Arial" w:cs="Arial" w:eastAsia="Arial" w:hAnsi="Arial"/>
          <w:sz w:val="18"/>
          <w:szCs w:val="18"/>
          <w:i w:val="1"/>
          <w:iCs w:val="1"/>
          <w:color w:val="auto"/>
        </w:rPr>
        <w:t xml:space="preserve">Credit Risk </w:t>
      </w:r>
      <w:r>
        <w:rPr>
          <w:rFonts w:ascii="Arial" w:cs="Arial" w:eastAsia="Arial" w:hAnsi="Arial"/>
          <w:sz w:val="18"/>
          <w:szCs w:val="18"/>
          <w:color w:val="auto"/>
        </w:rPr>
        <w:t>– Financial instruments that potentially subject the Company to concentration of credit risk consisted primarily of cash and cash equivalents and</w:t>
      </w:r>
      <w:r>
        <w:rPr>
          <w:rFonts w:ascii="Arial" w:cs="Arial" w:eastAsia="Arial" w:hAnsi="Arial"/>
          <w:sz w:val="18"/>
          <w:szCs w:val="18"/>
          <w:i w:val="1"/>
          <w:iCs w:val="1"/>
          <w:color w:val="auto"/>
        </w:rPr>
        <w:t xml:space="preserve"> </w:t>
      </w:r>
      <w:r>
        <w:rPr>
          <w:rFonts w:ascii="Arial" w:cs="Arial" w:eastAsia="Arial" w:hAnsi="Arial"/>
          <w:sz w:val="18"/>
          <w:szCs w:val="18"/>
          <w:color w:val="auto"/>
        </w:rPr>
        <w:t>accounts receivable from customers. The Company maintains its cash deposits at two domestic financial institutions. The Company is exposed to credit risk in the event of default by a financial institution to the extent that cash and cash equivalents are in excess of the amount insured by the Federal Deposit Insurance Corporation. The Company places its cash and cash equivalents with high-credit quality financial institutions. To date, the Company has not experienced any losses on its cash and cash equivalents.</w:t>
      </w:r>
    </w:p>
    <w:p>
      <w:pPr>
        <w:spacing w:after="0" w:line="201" w:lineRule="exact"/>
        <w:rPr>
          <w:sz w:val="20"/>
          <w:szCs w:val="20"/>
          <w:color w:val="auto"/>
        </w:rPr>
      </w:pPr>
    </w:p>
    <w:p>
      <w:pPr>
        <w:jc w:val="both"/>
        <w:ind w:left="180"/>
        <w:spacing w:after="0" w:line="331" w:lineRule="auto"/>
        <w:rPr>
          <w:sz w:val="20"/>
          <w:szCs w:val="20"/>
          <w:color w:val="auto"/>
        </w:rPr>
      </w:pPr>
      <w:r>
        <w:rPr>
          <w:rFonts w:ascii="Arial" w:cs="Arial" w:eastAsia="Arial" w:hAnsi="Arial"/>
          <w:sz w:val="16"/>
          <w:szCs w:val="16"/>
          <w:i w:val="1"/>
          <w:iCs w:val="1"/>
          <w:color w:val="auto"/>
        </w:rPr>
        <w:t xml:space="preserve">Concentrations of Accounts Receivable and Revenue </w:t>
      </w:r>
      <w:r>
        <w:rPr>
          <w:rFonts w:ascii="Arial" w:cs="Arial" w:eastAsia="Arial" w:hAnsi="Arial"/>
          <w:sz w:val="16"/>
          <w:szCs w:val="16"/>
          <w:color w:val="auto"/>
        </w:rPr>
        <w:t>– The Company has recently commenced sales activities with a limited number of customers.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may experience concentrations in both accounts receivable and revenue due to the timing of sales and collections of related payments.</w:t>
      </w:r>
    </w:p>
    <w:p>
      <w:pPr>
        <w:spacing w:after="0" w:line="141" w:lineRule="exact"/>
        <w:rPr>
          <w:sz w:val="20"/>
          <w:szCs w:val="20"/>
          <w:color w:val="auto"/>
        </w:rPr>
      </w:pPr>
    </w:p>
    <w:p>
      <w:pPr>
        <w:jc w:val="both"/>
        <w:ind w:left="180"/>
        <w:spacing w:after="0" w:line="256" w:lineRule="auto"/>
        <w:rPr>
          <w:sz w:val="20"/>
          <w:szCs w:val="20"/>
          <w:color w:val="auto"/>
        </w:rPr>
      </w:pPr>
      <w:r>
        <w:rPr>
          <w:rFonts w:ascii="Arial" w:cs="Arial" w:eastAsia="Arial" w:hAnsi="Arial"/>
          <w:sz w:val="18"/>
          <w:szCs w:val="18"/>
          <w:i w:val="1"/>
          <w:iCs w:val="1"/>
          <w:color w:val="auto"/>
        </w:rPr>
        <w:t xml:space="preserve">Concentration of Suppliers </w:t>
      </w:r>
      <w:r>
        <w:rPr>
          <w:rFonts w:ascii="Arial" w:cs="Arial" w:eastAsia="Arial" w:hAnsi="Arial"/>
          <w:sz w:val="18"/>
          <w:szCs w:val="18"/>
          <w:color w:val="auto"/>
        </w:rPr>
        <w:t>– The Company relies on a limited number of component suppliers and contract suppliers. In particular, a single supplier is</w:t>
      </w:r>
      <w:r>
        <w:rPr>
          <w:rFonts w:ascii="Arial" w:cs="Arial" w:eastAsia="Arial" w:hAnsi="Arial"/>
          <w:sz w:val="18"/>
          <w:szCs w:val="18"/>
          <w:i w:val="1"/>
          <w:iCs w:val="1"/>
          <w:color w:val="auto"/>
        </w:rPr>
        <w:t xml:space="preserve"> </w:t>
      </w:r>
      <w:r>
        <w:rPr>
          <w:rFonts w:ascii="Arial" w:cs="Arial" w:eastAsia="Arial" w:hAnsi="Arial"/>
          <w:sz w:val="18"/>
          <w:szCs w:val="18"/>
          <w:color w:val="auto"/>
        </w:rPr>
        <w:t>currently the sole manufacturer of the Company’s laser assembly with some parts sole sourced from other suppliers. If supplier shortages occur, or quality problems arise, then production schedules could be significantly delayed or costs significantly increased, which could in turn have a material adverse effect on the Company’s financial condition, results of operation and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8" w:name="page9"/>
    <w:bookmarkEnd w:id="8"/>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Wrap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Interim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ind w:left="180"/>
        <w:spacing w:after="0" w:line="288" w:lineRule="auto"/>
        <w:rPr>
          <w:sz w:val="20"/>
          <w:szCs w:val="20"/>
          <w:color w:val="auto"/>
        </w:rPr>
      </w:pPr>
      <w:r>
        <w:rPr>
          <w:rFonts w:ascii="Arial" w:cs="Arial" w:eastAsia="Arial" w:hAnsi="Arial"/>
          <w:sz w:val="16"/>
          <w:szCs w:val="16"/>
          <w:i w:val="1"/>
          <w:iCs w:val="1"/>
          <w:color w:val="auto"/>
        </w:rPr>
        <w:t xml:space="preserve">Impact of COVID-19 </w:t>
      </w:r>
      <w:r>
        <w:rPr>
          <w:rFonts w:ascii="Arial" w:cs="Arial" w:eastAsia="Arial" w:hAnsi="Arial"/>
          <w:sz w:val="16"/>
          <w:szCs w:val="16"/>
          <w:color w:val="auto"/>
        </w:rPr>
        <w:t>- In March 2020, the World Health Organization declared the outbreak of a novel coronavirus (“</w:t>
      </w:r>
      <w:r>
        <w:rPr>
          <w:rFonts w:ascii="Arial" w:cs="Arial" w:eastAsia="Arial" w:hAnsi="Arial"/>
          <w:sz w:val="16"/>
          <w:szCs w:val="16"/>
          <w:i w:val="1"/>
          <w:iCs w:val="1"/>
          <w:color w:val="auto"/>
        </w:rPr>
        <w:t>COVID-19</w:t>
      </w:r>
      <w:r>
        <w:rPr>
          <w:rFonts w:ascii="Arial" w:cs="Arial" w:eastAsia="Arial" w:hAnsi="Arial"/>
          <w:sz w:val="16"/>
          <w:szCs w:val="16"/>
          <w:color w:val="auto"/>
        </w:rPr>
        <w:t>”) as a pandemic which</w:t>
      </w:r>
      <w:r>
        <w:rPr>
          <w:rFonts w:ascii="Arial" w:cs="Arial" w:eastAsia="Arial" w:hAnsi="Arial"/>
          <w:sz w:val="16"/>
          <w:szCs w:val="16"/>
          <w:i w:val="1"/>
          <w:iCs w:val="1"/>
          <w:color w:val="auto"/>
        </w:rPr>
        <w:t xml:space="preserve"> </w:t>
      </w:r>
      <w:r>
        <w:rPr>
          <w:rFonts w:ascii="Arial" w:cs="Arial" w:eastAsia="Arial" w:hAnsi="Arial"/>
          <w:sz w:val="16"/>
          <w:szCs w:val="16"/>
          <w:color w:val="auto"/>
        </w:rPr>
        <w:t>continues to spread throughout the United States and the World. The COVID-19 pandemic has impacted and could further impact our operations and the operations of our customers and suppliers as a result of quarantines, facility closures, illnesses, and travel and logistics restrictions. The extent to which the COVID-19 pandemic further impacts our business, results of operations, and financial condition will depend on future developments, which are highly uncertain and cannot be predicted, including, but not limited to the duration, spread, severity, and impact of the COVID-19 pandemic, the effects of the COVID-19 pandemic on our customers and suppliers and the remedial actions and stimulus measures adopted by federal, state, and local governments, and to what extent normal economic and operating conditions can resume. Even after the COVID-19 pandemic has subsided, the Company may continue to experience adverse impacts to its business as a result of any economic recession or depression that has occurred or may occur in the future.</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u w:val="single" w:color="auto"/>
          <w:color w:val="auto"/>
        </w:rPr>
        <w:t>Stock-Based Compensation</w:t>
      </w:r>
    </w:p>
    <w:p>
      <w:pPr>
        <w:spacing w:after="0" w:line="225" w:lineRule="exact"/>
        <w:rPr>
          <w:sz w:val="20"/>
          <w:szCs w:val="20"/>
          <w:color w:val="auto"/>
        </w:rPr>
      </w:pPr>
    </w:p>
    <w:p>
      <w:pPr>
        <w:jc w:val="both"/>
        <w:ind w:left="180"/>
        <w:spacing w:after="0" w:line="287" w:lineRule="auto"/>
        <w:rPr>
          <w:sz w:val="20"/>
          <w:szCs w:val="20"/>
          <w:color w:val="auto"/>
        </w:rPr>
      </w:pPr>
      <w:r>
        <w:rPr>
          <w:rFonts w:ascii="Arial" w:cs="Arial" w:eastAsia="Arial" w:hAnsi="Arial"/>
          <w:sz w:val="16"/>
          <w:szCs w:val="16"/>
          <w:color w:val="auto"/>
        </w:rPr>
        <w:t>The Company follows the fair value recognition provisions issued by the Financial Accounting Standards Board (“</w:t>
      </w:r>
      <w:r>
        <w:rPr>
          <w:rFonts w:ascii="Arial" w:cs="Arial" w:eastAsia="Arial" w:hAnsi="Arial"/>
          <w:sz w:val="16"/>
          <w:szCs w:val="16"/>
          <w:i w:val="1"/>
          <w:iCs w:val="1"/>
          <w:color w:val="auto"/>
        </w:rPr>
        <w:t>FASB</w:t>
      </w:r>
      <w:r>
        <w:rPr>
          <w:rFonts w:ascii="Arial" w:cs="Arial" w:eastAsia="Arial" w:hAnsi="Arial"/>
          <w:sz w:val="16"/>
          <w:szCs w:val="16"/>
          <w:color w:val="auto"/>
        </w:rPr>
        <w:t>”) in Accounting Standards Codification (“</w:t>
      </w:r>
      <w:r>
        <w:rPr>
          <w:rFonts w:ascii="Arial" w:cs="Arial" w:eastAsia="Arial" w:hAnsi="Arial"/>
          <w:sz w:val="16"/>
          <w:szCs w:val="16"/>
          <w:i w:val="1"/>
          <w:iCs w:val="1"/>
          <w:color w:val="auto"/>
        </w:rPr>
        <w:t>ASC</w:t>
      </w:r>
      <w:r>
        <w:rPr>
          <w:rFonts w:ascii="Arial" w:cs="Arial" w:eastAsia="Arial" w:hAnsi="Arial"/>
          <w:sz w:val="16"/>
          <w:szCs w:val="16"/>
          <w:color w:val="auto"/>
        </w:rPr>
        <w:t>”) Topic 718, Stock Compensation (“</w:t>
      </w:r>
      <w:r>
        <w:rPr>
          <w:rFonts w:ascii="Arial" w:cs="Arial" w:eastAsia="Arial" w:hAnsi="Arial"/>
          <w:sz w:val="16"/>
          <w:szCs w:val="16"/>
          <w:i w:val="1"/>
          <w:iCs w:val="1"/>
          <w:color w:val="auto"/>
        </w:rPr>
        <w:t>ASC 718</w:t>
      </w:r>
      <w:r>
        <w:rPr>
          <w:rFonts w:ascii="Arial" w:cs="Arial" w:eastAsia="Arial" w:hAnsi="Arial"/>
          <w:sz w:val="16"/>
          <w:szCs w:val="16"/>
          <w:color w:val="auto"/>
        </w:rPr>
        <w:t>”) and has adopted Accounting Standards Update (“</w:t>
      </w:r>
      <w:r>
        <w:rPr>
          <w:rFonts w:ascii="Arial" w:cs="Arial" w:eastAsia="Arial" w:hAnsi="Arial"/>
          <w:sz w:val="16"/>
          <w:szCs w:val="16"/>
          <w:i w:val="1"/>
          <w:iCs w:val="1"/>
          <w:color w:val="auto"/>
        </w:rPr>
        <w:t>ASU</w:t>
      </w:r>
      <w:r>
        <w:rPr>
          <w:rFonts w:ascii="Arial" w:cs="Arial" w:eastAsia="Arial" w:hAnsi="Arial"/>
          <w:sz w:val="16"/>
          <w:szCs w:val="16"/>
          <w:color w:val="auto"/>
        </w:rPr>
        <w:t>”) 2018-07 for stock-based transactions with non-employees. Stock-based compensation expense recognized during the three and six months ended June 30, 2020 includes stock option and restricted stock unit compensation expense. The grant date fair value of stock options is determined using the Black-Scholes option-pricing model. The grant date is the date at which an employer and employee or non-employee reach a mutual understanding of the key terms and conditions of a stock-based payment award. The Black-Scholes option-pricing model requires inputs including the market price of the Company’s Common Stock on the date of grant, the term that the stock options are expected to be outstanding, the implied stock volatilities of several publicly-traded peers over the expected term of stock options, risk-free interest rate and expected dividend. Each of these inputs is subjective and generally requires significant judgment to determine. The grant date fair value of restricted stock units is based upon the market price of the Company’s Common Stock on the date of the grant. The fair value of stock-based compensation is amortized to compensation expense over the vesting term.</w:t>
      </w:r>
    </w:p>
    <w:p>
      <w:pPr>
        <w:spacing w:after="0" w:line="176" w:lineRule="exact"/>
        <w:rPr>
          <w:sz w:val="20"/>
          <w:szCs w:val="20"/>
          <w:color w:val="auto"/>
        </w:rPr>
      </w:pPr>
    </w:p>
    <w:p>
      <w:pPr>
        <w:ind w:left="180"/>
        <w:spacing w:after="0"/>
        <w:rPr>
          <w:sz w:val="20"/>
          <w:szCs w:val="20"/>
          <w:color w:val="auto"/>
        </w:rPr>
      </w:pPr>
      <w:r>
        <w:rPr>
          <w:rFonts w:ascii="Arial" w:cs="Arial" w:eastAsia="Arial" w:hAnsi="Arial"/>
          <w:sz w:val="18"/>
          <w:szCs w:val="18"/>
          <w:u w:val="single" w:color="auto"/>
          <w:color w:val="auto"/>
        </w:rPr>
        <w:t>Revenue Recognition</w:t>
      </w:r>
    </w:p>
    <w:p>
      <w:pPr>
        <w:spacing w:after="0" w:line="225" w:lineRule="exact"/>
        <w:rPr>
          <w:sz w:val="20"/>
          <w:szCs w:val="20"/>
          <w:color w:val="auto"/>
        </w:rPr>
      </w:pPr>
    </w:p>
    <w:p>
      <w:pPr>
        <w:jc w:val="both"/>
        <w:ind w:left="180"/>
        <w:spacing w:after="0" w:line="291" w:lineRule="auto"/>
        <w:rPr>
          <w:sz w:val="20"/>
          <w:szCs w:val="20"/>
          <w:color w:val="auto"/>
        </w:rPr>
      </w:pPr>
      <w:r>
        <w:rPr>
          <w:rFonts w:ascii="Arial" w:cs="Arial" w:eastAsia="Arial" w:hAnsi="Arial"/>
          <w:sz w:val="16"/>
          <w:szCs w:val="16"/>
          <w:color w:val="auto"/>
        </w:rPr>
        <w:t>In May 2014, the FASB issued ASU 2014-09, Revenue from Contracts with Customers (“</w:t>
      </w:r>
      <w:r>
        <w:rPr>
          <w:rFonts w:ascii="Arial" w:cs="Arial" w:eastAsia="Arial" w:hAnsi="Arial"/>
          <w:sz w:val="16"/>
          <w:szCs w:val="16"/>
          <w:i w:val="1"/>
          <w:iCs w:val="1"/>
          <w:color w:val="auto"/>
        </w:rPr>
        <w:t>ASU 2014-09</w:t>
      </w:r>
      <w:r>
        <w:rPr>
          <w:rFonts w:ascii="Arial" w:cs="Arial" w:eastAsia="Arial" w:hAnsi="Arial"/>
          <w:sz w:val="16"/>
          <w:szCs w:val="16"/>
          <w:color w:val="auto"/>
        </w:rPr>
        <w:t>”) and ASC Subtopic 340-40, Other Assets and Deferred Costs - Contracts with Customers (“</w:t>
      </w:r>
      <w:r>
        <w:rPr>
          <w:rFonts w:ascii="Arial" w:cs="Arial" w:eastAsia="Arial" w:hAnsi="Arial"/>
          <w:sz w:val="16"/>
          <w:szCs w:val="16"/>
          <w:i w:val="1"/>
          <w:iCs w:val="1"/>
          <w:color w:val="auto"/>
        </w:rPr>
        <w:t>ASC 340-40</w:t>
      </w:r>
      <w:r>
        <w:rPr>
          <w:rFonts w:ascii="Arial" w:cs="Arial" w:eastAsia="Arial" w:hAnsi="Arial"/>
          <w:sz w:val="16"/>
          <w:szCs w:val="16"/>
          <w:color w:val="auto"/>
        </w:rPr>
        <w:t>”), (collectively, “</w:t>
      </w:r>
      <w:r>
        <w:rPr>
          <w:rFonts w:ascii="Arial" w:cs="Arial" w:eastAsia="Arial" w:hAnsi="Arial"/>
          <w:sz w:val="16"/>
          <w:szCs w:val="16"/>
          <w:i w:val="1"/>
          <w:iCs w:val="1"/>
          <w:color w:val="auto"/>
        </w:rPr>
        <w:t>Topic 606</w:t>
      </w:r>
      <w:r>
        <w:rPr>
          <w:rFonts w:ascii="Arial" w:cs="Arial" w:eastAsia="Arial" w:hAnsi="Arial"/>
          <w:sz w:val="16"/>
          <w:szCs w:val="16"/>
          <w:color w:val="auto"/>
        </w:rPr>
        <w:t>”). On January 1, 2018, the Company adopted Topic 606 and, as it had no prior revenue or contracts with customers, there was no transition required nor any impact on prior results. ASU 2014-09 requires entities to recognize revenue through the application of a five-step model, which includes identification of the contract, identification of the performance obligations, determination of the transaction price, allocation of the transaction price to the performance obligations and recognition of revenue as the entity satisfies the performance obligations. See Note 2 for additional information.</w:t>
      </w:r>
    </w:p>
    <w:p>
      <w:pPr>
        <w:spacing w:after="0" w:line="174" w:lineRule="exact"/>
        <w:rPr>
          <w:sz w:val="20"/>
          <w:szCs w:val="20"/>
          <w:color w:val="auto"/>
        </w:rPr>
      </w:pPr>
    </w:p>
    <w:p>
      <w:pPr>
        <w:ind w:left="180"/>
        <w:spacing w:after="0"/>
        <w:rPr>
          <w:sz w:val="20"/>
          <w:szCs w:val="20"/>
          <w:color w:val="auto"/>
        </w:rPr>
      </w:pPr>
      <w:r>
        <w:rPr>
          <w:rFonts w:ascii="Arial" w:cs="Arial" w:eastAsia="Arial" w:hAnsi="Arial"/>
          <w:sz w:val="18"/>
          <w:szCs w:val="18"/>
          <w:u w:val="single" w:color="auto"/>
          <w:color w:val="auto"/>
        </w:rPr>
        <w:t>Accounts Receivable and Allowance for Doubtful Accounts</w:t>
      </w:r>
    </w:p>
    <w:p>
      <w:pPr>
        <w:spacing w:after="0" w:line="225" w:lineRule="exact"/>
        <w:rPr>
          <w:sz w:val="20"/>
          <w:szCs w:val="20"/>
          <w:color w:val="auto"/>
        </w:rPr>
      </w:pPr>
    </w:p>
    <w:p>
      <w:pPr>
        <w:jc w:val="both"/>
        <w:ind w:left="180"/>
        <w:spacing w:after="0" w:line="254" w:lineRule="auto"/>
        <w:rPr>
          <w:sz w:val="20"/>
          <w:szCs w:val="20"/>
          <w:color w:val="auto"/>
        </w:rPr>
      </w:pPr>
      <w:r>
        <w:rPr>
          <w:rFonts w:ascii="Arial" w:cs="Arial" w:eastAsia="Arial" w:hAnsi="Arial"/>
          <w:sz w:val="18"/>
          <w:szCs w:val="18"/>
          <w:color w:val="auto"/>
        </w:rPr>
        <w:t>The Company’s policy is to evaluate the collectability of accounts receivable based on an assessment of the collectability of specific customer accounts and then record an allowance for doubtful accounts to reduce the receivables to an amount that management reasonably estimates will be collected. There was no allowance for doubtful accounts recorded at December 31, 2019. At June 30, 2020 the Company had an allowance of $10,140 resulting in part from global uncertainty resulting from the COVID-19 virus. Accounts that are deemed uncollectible will be written off against the allowance for doubtful accounts. If a major customer’s creditworthiness deteriorates, or actual defaults exceed our historical experience, such estimates could change and impact our future reported financial results.</w:t>
      </w:r>
    </w:p>
    <w:p>
      <w:pPr>
        <w:spacing w:after="0" w:line="198" w:lineRule="exact"/>
        <w:rPr>
          <w:sz w:val="20"/>
          <w:szCs w:val="20"/>
          <w:color w:val="auto"/>
        </w:rPr>
      </w:pPr>
    </w:p>
    <w:p>
      <w:pPr>
        <w:ind w:left="180"/>
        <w:spacing w:after="0"/>
        <w:rPr>
          <w:sz w:val="20"/>
          <w:szCs w:val="20"/>
          <w:color w:val="auto"/>
        </w:rPr>
      </w:pPr>
      <w:r>
        <w:rPr>
          <w:rFonts w:ascii="Arial" w:cs="Arial" w:eastAsia="Arial" w:hAnsi="Arial"/>
          <w:sz w:val="18"/>
          <w:szCs w:val="18"/>
          <w:u w:val="single" w:color="auto"/>
          <w:color w:val="auto"/>
        </w:rPr>
        <w:t>Inventories</w:t>
      </w:r>
    </w:p>
    <w:p>
      <w:pPr>
        <w:spacing w:after="0" w:line="225" w:lineRule="exact"/>
        <w:rPr>
          <w:sz w:val="20"/>
          <w:szCs w:val="20"/>
          <w:color w:val="auto"/>
        </w:rPr>
      </w:pPr>
    </w:p>
    <w:p>
      <w:pPr>
        <w:jc w:val="both"/>
        <w:ind w:left="180"/>
        <w:spacing w:after="0" w:line="298" w:lineRule="auto"/>
        <w:rPr>
          <w:sz w:val="20"/>
          <w:szCs w:val="20"/>
          <w:color w:val="auto"/>
        </w:rPr>
      </w:pPr>
      <w:r>
        <w:rPr>
          <w:rFonts w:ascii="Arial" w:cs="Arial" w:eastAsia="Arial" w:hAnsi="Arial"/>
          <w:sz w:val="16"/>
          <w:szCs w:val="16"/>
          <w:color w:val="auto"/>
        </w:rPr>
        <w:t>Inventories are valued at the lower of cost or net realizable value. The cost of substantially all the Company’s inventory is determined by the FIFO cost method. Inventory is comprised of raw materials, assemblies and finished products intended for sale to customers</w:t>
      </w:r>
      <w:r>
        <w:rPr>
          <w:rFonts w:ascii="Arial" w:cs="Arial" w:eastAsia="Arial" w:hAnsi="Arial"/>
          <w:sz w:val="16"/>
          <w:szCs w:val="16"/>
          <w:i w:val="1"/>
          <w:iCs w:val="1"/>
          <w:color w:val="auto"/>
        </w:rPr>
        <w:t>.</w:t>
      </w:r>
      <w:r>
        <w:rPr>
          <w:rFonts w:ascii="Arial" w:cs="Arial" w:eastAsia="Arial" w:hAnsi="Arial"/>
          <w:sz w:val="16"/>
          <w:szCs w:val="16"/>
          <w:color w:val="auto"/>
        </w:rPr>
        <w:t xml:space="preserve"> The Company evaluates the need for reserves for excess and obsolete inventories determined primarily based upon estimates of future demand for the Company’s products. At June 30, 2020 and the Company had a reserve for obsolescence of $48,000 related to parts expected to be displaced by product improvement initiatives.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9" w:name="page10"/>
    <w:bookmarkEnd w:id="9"/>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Wrap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Interim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80"/>
        <w:spacing w:after="0"/>
        <w:rPr>
          <w:sz w:val="20"/>
          <w:szCs w:val="20"/>
          <w:color w:val="auto"/>
        </w:rPr>
      </w:pPr>
      <w:r>
        <w:rPr>
          <w:rFonts w:ascii="Arial" w:cs="Arial" w:eastAsia="Arial" w:hAnsi="Arial"/>
          <w:sz w:val="18"/>
          <w:szCs w:val="18"/>
          <w:u w:val="single" w:color="auto"/>
          <w:color w:val="auto"/>
        </w:rPr>
        <w:t>Loss per Share</w:t>
      </w:r>
    </w:p>
    <w:p>
      <w:pPr>
        <w:spacing w:after="0" w:line="225" w:lineRule="exact"/>
        <w:rPr>
          <w:sz w:val="20"/>
          <w:szCs w:val="20"/>
          <w:color w:val="auto"/>
        </w:rPr>
      </w:pPr>
    </w:p>
    <w:p>
      <w:pPr>
        <w:jc w:val="both"/>
        <w:ind w:left="180"/>
        <w:spacing w:after="0" w:line="317" w:lineRule="auto"/>
        <w:rPr>
          <w:sz w:val="20"/>
          <w:szCs w:val="20"/>
          <w:color w:val="auto"/>
        </w:rPr>
      </w:pPr>
      <w:r>
        <w:rPr>
          <w:rFonts w:ascii="Arial" w:cs="Arial" w:eastAsia="Arial" w:hAnsi="Arial"/>
          <w:sz w:val="15"/>
          <w:szCs w:val="15"/>
          <w:color w:val="auto"/>
        </w:rPr>
        <w:t>Basic loss per common share is computed by dividing net loss for the period by the weighted-average number of shares of common stock outstanding during the period. Diluted net loss per common share reflects the potential dilution of securities that could share in the earnings of an entity. The Company’s losses for the periods presented cause the inclusion of potential common stock instruments outstanding to be antidilutive. Stock options, restricted stock units and warrants exercisable or issuable for a total of 10,018,461 shares of Common Stock were outstanding at June 30, 2020. These securities are not included in the computation of diluted net loss per common share for the periods presented as their inclusion would be antidilutive due to losses incurred by the Company.</w:t>
      </w:r>
    </w:p>
    <w:p>
      <w:pPr>
        <w:spacing w:after="0" w:line="157" w:lineRule="exact"/>
        <w:rPr>
          <w:sz w:val="20"/>
          <w:szCs w:val="20"/>
          <w:color w:val="auto"/>
        </w:rPr>
      </w:pPr>
    </w:p>
    <w:p>
      <w:pPr>
        <w:ind w:left="180"/>
        <w:spacing w:after="0"/>
        <w:rPr>
          <w:sz w:val="20"/>
          <w:szCs w:val="20"/>
          <w:color w:val="auto"/>
        </w:rPr>
      </w:pPr>
      <w:r>
        <w:rPr>
          <w:rFonts w:ascii="Arial" w:cs="Arial" w:eastAsia="Arial" w:hAnsi="Arial"/>
          <w:sz w:val="18"/>
          <w:szCs w:val="18"/>
          <w:u w:val="single" w:color="auto"/>
          <w:color w:val="auto"/>
        </w:rPr>
        <w:t>Income Taxes</w:t>
      </w:r>
    </w:p>
    <w:p>
      <w:pPr>
        <w:spacing w:after="0" w:line="225" w:lineRule="exact"/>
        <w:rPr>
          <w:sz w:val="20"/>
          <w:szCs w:val="20"/>
          <w:color w:val="auto"/>
        </w:rPr>
      </w:pPr>
    </w:p>
    <w:p>
      <w:pPr>
        <w:jc w:val="both"/>
        <w:ind w:left="180"/>
        <w:spacing w:after="0" w:line="259" w:lineRule="auto"/>
        <w:rPr>
          <w:sz w:val="20"/>
          <w:szCs w:val="20"/>
          <w:color w:val="auto"/>
        </w:rPr>
      </w:pPr>
      <w:r>
        <w:rPr>
          <w:rFonts w:ascii="Arial" w:cs="Arial" w:eastAsia="Arial" w:hAnsi="Arial"/>
          <w:sz w:val="18"/>
          <w:szCs w:val="18"/>
          <w:color w:val="auto"/>
        </w:rPr>
        <w:t>Until its conversion to a corporation on March 31, 2017, the Company was treated as a partnership for federal and state income tax purposes and did not incur income taxes. Instead, its losses were included in the income tax returns of the member partners. No income tax expense was recorded for period ended June 30, 2020 due to losses incurred.</w:t>
      </w:r>
    </w:p>
    <w:p>
      <w:pPr>
        <w:spacing w:after="0" w:line="194" w:lineRule="exact"/>
        <w:rPr>
          <w:sz w:val="20"/>
          <w:szCs w:val="20"/>
          <w:color w:val="auto"/>
        </w:rPr>
      </w:pPr>
    </w:p>
    <w:p>
      <w:pPr>
        <w:jc w:val="both"/>
        <w:ind w:left="180"/>
        <w:spacing w:after="0" w:line="268" w:lineRule="auto"/>
        <w:rPr>
          <w:sz w:val="20"/>
          <w:szCs w:val="20"/>
          <w:color w:val="auto"/>
        </w:rPr>
      </w:pPr>
      <w:r>
        <w:rPr>
          <w:rFonts w:ascii="Arial" w:cs="Arial" w:eastAsia="Arial" w:hAnsi="Arial"/>
          <w:sz w:val="18"/>
          <w:szCs w:val="18"/>
          <w:color w:val="auto"/>
        </w:rPr>
        <w:t>Deferred tax assets and liabilities are determined based on temporary differences between the bases of certain assets and liabilities for income tax and financial reporting purposes.</w:t>
      </w:r>
    </w:p>
    <w:p>
      <w:pPr>
        <w:spacing w:after="0" w:line="186" w:lineRule="exact"/>
        <w:rPr>
          <w:sz w:val="20"/>
          <w:szCs w:val="20"/>
          <w:color w:val="auto"/>
        </w:rPr>
      </w:pPr>
    </w:p>
    <w:p>
      <w:pPr>
        <w:jc w:val="both"/>
        <w:ind w:left="180"/>
        <w:spacing w:after="0" w:line="294" w:lineRule="auto"/>
        <w:rPr>
          <w:sz w:val="20"/>
          <w:szCs w:val="20"/>
          <w:color w:val="auto"/>
        </w:rPr>
      </w:pPr>
      <w:r>
        <w:rPr>
          <w:rFonts w:ascii="Arial" w:cs="Arial" w:eastAsia="Arial" w:hAnsi="Arial"/>
          <w:sz w:val="16"/>
          <w:szCs w:val="16"/>
          <w:color w:val="auto"/>
        </w:rPr>
        <w:t>The Company maintains a valuation allowance with respect to deferred tax assets. The Company establishes a valuation allowance based upon the potential likelihood of realizing the deferred tax asset and taking into consideration the Company’s financial position and results of operations for the current period. Future realization of the deferred tax benefit depends on the existence of sufficient taxable income within the carry-forward period under the Federal tax laws. Changes in circumstances, such as the Company generating taxable income, could cause a change in judgment about the realizability of the related deferred tax asset. Any change in the valuation allowance will be included in income in the year of the change in estimates.</w:t>
      </w:r>
    </w:p>
    <w:p>
      <w:pPr>
        <w:spacing w:after="0" w:line="169" w:lineRule="exact"/>
        <w:rPr>
          <w:sz w:val="20"/>
          <w:szCs w:val="20"/>
          <w:color w:val="auto"/>
        </w:rPr>
      </w:pPr>
    </w:p>
    <w:p>
      <w:pPr>
        <w:ind w:left="180"/>
        <w:spacing w:after="0"/>
        <w:rPr>
          <w:sz w:val="20"/>
          <w:szCs w:val="20"/>
          <w:color w:val="auto"/>
        </w:rPr>
      </w:pPr>
      <w:r>
        <w:rPr>
          <w:rFonts w:ascii="Arial" w:cs="Arial" w:eastAsia="Arial" w:hAnsi="Arial"/>
          <w:sz w:val="18"/>
          <w:szCs w:val="18"/>
          <w:u w:val="single" w:color="auto"/>
          <w:color w:val="auto"/>
        </w:rPr>
        <w:t>Recent Issued Accounting Guidance</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Effective the First Quarter of 2020:</w:t>
      </w:r>
    </w:p>
    <w:p>
      <w:pPr>
        <w:spacing w:after="0" w:line="15" w:lineRule="exact"/>
        <w:rPr>
          <w:sz w:val="20"/>
          <w:szCs w:val="20"/>
          <w:color w:val="auto"/>
        </w:rPr>
      </w:pPr>
    </w:p>
    <w:p>
      <w:pPr>
        <w:jc w:val="both"/>
        <w:ind w:left="180"/>
        <w:spacing w:after="0" w:line="292" w:lineRule="auto"/>
        <w:rPr>
          <w:sz w:val="20"/>
          <w:szCs w:val="20"/>
          <w:color w:val="auto"/>
        </w:rPr>
      </w:pPr>
      <w:r>
        <w:rPr>
          <w:rFonts w:ascii="Arial" w:cs="Arial" w:eastAsia="Arial" w:hAnsi="Arial"/>
          <w:sz w:val="16"/>
          <w:szCs w:val="16"/>
          <w:color w:val="auto"/>
        </w:rPr>
        <w:t>In August 2018, the FASB issued ASU No. 2018-13, Fair Value Measurement (“</w:t>
      </w:r>
      <w:r>
        <w:rPr>
          <w:rFonts w:ascii="Arial" w:cs="Arial" w:eastAsia="Arial" w:hAnsi="Arial"/>
          <w:sz w:val="16"/>
          <w:szCs w:val="16"/>
          <w:i w:val="1"/>
          <w:iCs w:val="1"/>
          <w:color w:val="auto"/>
        </w:rPr>
        <w:t>Topic 820</w:t>
      </w:r>
      <w:r>
        <w:rPr>
          <w:rFonts w:ascii="Arial" w:cs="Arial" w:eastAsia="Arial" w:hAnsi="Arial"/>
          <w:sz w:val="16"/>
          <w:szCs w:val="16"/>
          <w:color w:val="auto"/>
        </w:rPr>
        <w:t>”): Disclosure Framework - Changes to the Disclosure Requirements for Fair Value Measurement. The ASU modifies the disclosure requirements in Topic 820, Fair Value Measurement, to improve the effectiveness of fair value measurement disclosures by removing or modifying certain disclosure requirements and adding other requirements. This ASU is effective for public companies for annual reporting periods and interim periods within those annual periods beginning after December 15, 2019. The adoption of this standard in the first quarter ended March 31, 2020 had no impact on the Company’s financial statements or disclosures.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Other Pronouncements:</w:t>
      </w:r>
    </w:p>
    <w:p>
      <w:pPr>
        <w:spacing w:after="0" w:line="15" w:lineRule="exact"/>
        <w:rPr>
          <w:sz w:val="20"/>
          <w:szCs w:val="20"/>
          <w:color w:val="auto"/>
        </w:rPr>
      </w:pPr>
    </w:p>
    <w:p>
      <w:pPr>
        <w:jc w:val="both"/>
        <w:ind w:left="180"/>
        <w:spacing w:after="0" w:line="253" w:lineRule="auto"/>
        <w:rPr>
          <w:sz w:val="20"/>
          <w:szCs w:val="20"/>
          <w:color w:val="auto"/>
        </w:rPr>
      </w:pPr>
      <w:r>
        <w:rPr>
          <w:rFonts w:ascii="Arial" w:cs="Arial" w:eastAsia="Arial" w:hAnsi="Arial"/>
          <w:sz w:val="18"/>
          <w:szCs w:val="18"/>
          <w:color w:val="auto"/>
        </w:rPr>
        <w:t xml:space="preserve">In December 2019, the FASB issued Accounting Standards Update 2019-12, </w:t>
      </w:r>
      <w:r>
        <w:rPr>
          <w:rFonts w:ascii="Arial" w:cs="Arial" w:eastAsia="Arial" w:hAnsi="Arial"/>
          <w:sz w:val="18"/>
          <w:szCs w:val="18"/>
          <w:i w:val="1"/>
          <w:iCs w:val="1"/>
          <w:color w:val="auto"/>
        </w:rPr>
        <w:t>Income Taxes (Topic</w:t>
      </w:r>
      <w:r>
        <w:rPr>
          <w:rFonts w:ascii="Arial" w:cs="Arial" w:eastAsia="Arial" w:hAnsi="Arial"/>
          <w:sz w:val="18"/>
          <w:szCs w:val="18"/>
          <w:color w:val="auto"/>
        </w:rPr>
        <w:t xml:space="preserve"> 740</w:t>
      </w:r>
      <w:r>
        <w:rPr>
          <w:rFonts w:ascii="Arial" w:cs="Arial" w:eastAsia="Arial" w:hAnsi="Arial"/>
          <w:sz w:val="18"/>
          <w:szCs w:val="18"/>
          <w:i w:val="1"/>
          <w:iCs w:val="1"/>
          <w:color w:val="auto"/>
        </w:rPr>
        <w:t>): Simplifying the Accounting for Income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Taxes </w:t>
      </w:r>
      <w:r>
        <w:rPr>
          <w:rFonts w:ascii="Arial" w:cs="Arial" w:eastAsia="Arial" w:hAnsi="Arial"/>
          <w:sz w:val="18"/>
          <w:szCs w:val="18"/>
          <w:color w:val="auto"/>
        </w:rPr>
        <w:t>(“</w:t>
      </w:r>
      <w:r>
        <w:rPr>
          <w:rFonts w:ascii="Arial" w:cs="Arial" w:eastAsia="Arial" w:hAnsi="Arial"/>
          <w:sz w:val="18"/>
          <w:szCs w:val="18"/>
          <w:i w:val="1"/>
          <w:iCs w:val="1"/>
          <w:color w:val="auto"/>
        </w:rPr>
        <w:t>ASU 2019-12</w:t>
      </w:r>
      <w:r>
        <w:rPr>
          <w:rFonts w:ascii="Arial" w:cs="Arial" w:eastAsia="Arial" w:hAnsi="Arial"/>
          <w:sz w:val="18"/>
          <w:szCs w:val="18"/>
          <w:color w:val="auto"/>
        </w:rPr>
        <w:t>”), which is intended to simplify various aspects related to accounting for income taxes. ASU 2019-12 removes certain exceptions to</w:t>
      </w:r>
      <w:r>
        <w:rPr>
          <w:rFonts w:ascii="Arial" w:cs="Arial" w:eastAsia="Arial" w:hAnsi="Arial"/>
          <w:sz w:val="18"/>
          <w:szCs w:val="18"/>
          <w:i w:val="1"/>
          <w:iCs w:val="1"/>
          <w:color w:val="auto"/>
        </w:rPr>
        <w:t xml:space="preserve"> </w:t>
      </w:r>
      <w:r>
        <w:rPr>
          <w:rFonts w:ascii="Arial" w:cs="Arial" w:eastAsia="Arial" w:hAnsi="Arial"/>
          <w:sz w:val="18"/>
          <w:szCs w:val="18"/>
          <w:color w:val="auto"/>
        </w:rPr>
        <w:t>the general principles in Topic 740 and also clarifies and amends existing guidance to improve consistent application. ASU 2019-12 is effective for fiscal years beginning after December 15, 2020, with early adoption permitted. We do not expect that the adoption of this ASU will have a significant impact on our financial statements.</w:t>
      </w:r>
    </w:p>
    <w:p>
      <w:pPr>
        <w:spacing w:after="0" w:line="199" w:lineRule="exact"/>
        <w:rPr>
          <w:sz w:val="20"/>
          <w:szCs w:val="20"/>
          <w:color w:val="auto"/>
        </w:rPr>
      </w:pPr>
    </w:p>
    <w:p>
      <w:pPr>
        <w:jc w:val="both"/>
        <w:ind w:left="180"/>
        <w:spacing w:after="0" w:line="268" w:lineRule="auto"/>
        <w:rPr>
          <w:sz w:val="20"/>
          <w:szCs w:val="20"/>
          <w:color w:val="auto"/>
        </w:rPr>
      </w:pPr>
      <w:r>
        <w:rPr>
          <w:rFonts w:ascii="Arial" w:cs="Arial" w:eastAsia="Arial" w:hAnsi="Arial"/>
          <w:sz w:val="18"/>
          <w:szCs w:val="18"/>
          <w:color w:val="auto"/>
        </w:rPr>
        <w:t>The Company has reviewed other recently issued, but not yet effective, accounting pronouncements and does not believe the future adoptions of any such pronouncements will be expected to cause a material impact on its financial condition or the results of operations.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0" w:name="page11"/>
    <w:bookmarkEnd w:id="10"/>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Wrap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Interim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40" w:hanging="332"/>
        <w:spacing w:after="0"/>
        <w:tabs>
          <w:tab w:leader="none" w:pos="34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REVENUE AND PRODUCT COSTS</w:t>
      </w:r>
    </w:p>
    <w:p>
      <w:pPr>
        <w:spacing w:after="0" w:line="231" w:lineRule="exact"/>
        <w:rPr>
          <w:sz w:val="20"/>
          <w:szCs w:val="20"/>
          <w:color w:val="auto"/>
        </w:rPr>
      </w:pPr>
    </w:p>
    <w:p>
      <w:pPr>
        <w:jc w:val="both"/>
        <w:ind w:left="180"/>
        <w:spacing w:after="0" w:line="268" w:lineRule="auto"/>
        <w:rPr>
          <w:sz w:val="20"/>
          <w:szCs w:val="20"/>
          <w:color w:val="auto"/>
        </w:rPr>
      </w:pPr>
      <w:r>
        <w:rPr>
          <w:rFonts w:ascii="Arial" w:cs="Arial" w:eastAsia="Arial" w:hAnsi="Arial"/>
          <w:sz w:val="18"/>
          <w:szCs w:val="18"/>
          <w:color w:val="auto"/>
        </w:rPr>
        <w:t>The Company enters into contracts that include various combinations of products, accessories and services, such as training, each of which are generally distinct and are accounted for as separate performance obligations.</w:t>
      </w:r>
    </w:p>
    <w:p>
      <w:pPr>
        <w:spacing w:after="0" w:line="186" w:lineRule="exact"/>
        <w:rPr>
          <w:sz w:val="20"/>
          <w:szCs w:val="20"/>
          <w:color w:val="auto"/>
        </w:rPr>
      </w:pPr>
    </w:p>
    <w:p>
      <w:pPr>
        <w:jc w:val="both"/>
        <w:ind w:left="180"/>
        <w:spacing w:after="0" w:line="291" w:lineRule="auto"/>
        <w:rPr>
          <w:sz w:val="20"/>
          <w:szCs w:val="20"/>
          <w:color w:val="auto"/>
        </w:rPr>
      </w:pPr>
      <w:r>
        <w:rPr>
          <w:rFonts w:ascii="Arial" w:cs="Arial" w:eastAsia="Arial" w:hAnsi="Arial"/>
          <w:sz w:val="16"/>
          <w:szCs w:val="16"/>
          <w:color w:val="auto"/>
        </w:rPr>
        <w:t>A performance obligation is a promise in a contract to transfer a distinct good or service to a customer and is the unit of account in Topic 606. For contracts with a single performance obligation, the entire transaction price is allocated to the single performance obligation. For contracts with multiple performance obligations, the Company allocates the contract transaction price to each performance obligation using the Company’s estimate of the standalone selling price (“</w:t>
      </w:r>
      <w:r>
        <w:rPr>
          <w:rFonts w:ascii="Arial" w:cs="Arial" w:eastAsia="Arial" w:hAnsi="Arial"/>
          <w:sz w:val="16"/>
          <w:szCs w:val="16"/>
          <w:i w:val="1"/>
          <w:iCs w:val="1"/>
          <w:color w:val="auto"/>
        </w:rPr>
        <w:t>SSP</w:t>
      </w:r>
      <w:r>
        <w:rPr>
          <w:rFonts w:ascii="Arial" w:cs="Arial" w:eastAsia="Arial" w:hAnsi="Arial"/>
          <w:sz w:val="16"/>
          <w:szCs w:val="16"/>
          <w:color w:val="auto"/>
        </w:rPr>
        <w:t>”) of each distinct good or service in a contract. The Company determines standalone selling prices based on the price at which the performance obligation is sold separately. If the standalone selling price is not observable through past transactions, the Company estimates the standalone selling price considering available information such as market conditions and internally approved pricing guidelines related to the performance obligations.</w:t>
      </w:r>
    </w:p>
    <w:p>
      <w:pPr>
        <w:spacing w:after="0" w:line="174" w:lineRule="exact"/>
        <w:rPr>
          <w:sz w:val="20"/>
          <w:szCs w:val="20"/>
          <w:color w:val="auto"/>
        </w:rPr>
      </w:pPr>
    </w:p>
    <w:p>
      <w:pPr>
        <w:jc w:val="both"/>
        <w:ind w:left="180"/>
        <w:spacing w:after="0" w:line="290" w:lineRule="auto"/>
        <w:rPr>
          <w:sz w:val="20"/>
          <w:szCs w:val="20"/>
          <w:color w:val="auto"/>
        </w:rPr>
      </w:pPr>
      <w:r>
        <w:rPr>
          <w:rFonts w:ascii="Arial" w:cs="Arial" w:eastAsia="Arial" w:hAnsi="Arial"/>
          <w:sz w:val="16"/>
          <w:szCs w:val="16"/>
          <w:color w:val="auto"/>
        </w:rPr>
        <w:t>Performance obligations to deliver products and accessories are generally satisfied at the point in time the Company ships the product, as this is when the customer obtains control of the asset under our standard terms and conditions. Periodically, certain customers request bill and hold transactions for future delivery as scheduled and designated by them. In such cases, revenue is not recognized until after control, title and risk of ownership has transferred which is generally when the customer has requested such transaction under normal billing and payment terms and has been notified that the product (i) has been completed according to customer specifications, (ii) has passed our quality control inspections, and (iii) has been tagged and packed for shipment, separated from our inventory and ready for physical transfer to the customer. The value associated with custodial storage services is deemed immaterial in the context of such contracts and in total, and accordingly, none of the transaction price is allocated to such service.</w:t>
      </w:r>
    </w:p>
    <w:p>
      <w:pPr>
        <w:spacing w:after="0" w:line="172" w:lineRule="exact"/>
        <w:rPr>
          <w:sz w:val="20"/>
          <w:szCs w:val="20"/>
          <w:color w:val="auto"/>
        </w:rPr>
      </w:pPr>
    </w:p>
    <w:p>
      <w:pPr>
        <w:jc w:val="both"/>
        <w:ind w:left="180"/>
        <w:spacing w:after="0" w:line="331" w:lineRule="auto"/>
        <w:rPr>
          <w:sz w:val="20"/>
          <w:szCs w:val="20"/>
          <w:color w:val="auto"/>
        </w:rPr>
      </w:pPr>
      <w:r>
        <w:rPr>
          <w:rFonts w:ascii="Arial" w:cs="Arial" w:eastAsia="Arial" w:hAnsi="Arial"/>
          <w:sz w:val="16"/>
          <w:szCs w:val="16"/>
          <w:color w:val="auto"/>
        </w:rPr>
        <w:t>The Company has elected to recognize shipping costs as an expense in cost of revenue when control has transferred to the customer. The revenue and cost of training associated with a customer contract are recognized when the training is completed, generally following delivery of related products.</w:t>
      </w:r>
    </w:p>
    <w:p>
      <w:pPr>
        <w:spacing w:after="0" w:line="141" w:lineRule="exact"/>
        <w:rPr>
          <w:sz w:val="20"/>
          <w:szCs w:val="20"/>
          <w:color w:val="auto"/>
        </w:rPr>
      </w:pPr>
    </w:p>
    <w:p>
      <w:pPr>
        <w:jc w:val="both"/>
        <w:ind w:left="180"/>
        <w:spacing w:after="0" w:line="256" w:lineRule="auto"/>
        <w:rPr>
          <w:sz w:val="20"/>
          <w:szCs w:val="20"/>
          <w:color w:val="auto"/>
        </w:rPr>
      </w:pPr>
      <w:r>
        <w:rPr>
          <w:rFonts w:ascii="Arial" w:cs="Arial" w:eastAsia="Arial" w:hAnsi="Arial"/>
          <w:sz w:val="18"/>
          <w:szCs w:val="18"/>
          <w:color w:val="auto"/>
        </w:rPr>
        <w:t>The timing of revenue recognition may differ from the timing of invoicing to customers. The Company generally has an unconditional right to consideration when customers are invoiced, and a receivable is recorded. A contract asset is recognized when revenue is recognized prior to invoicing, or a contract liability (deferred revenue) when revenue will be recognized subsequent to invoicing. At June 30, 2020 the Company had deferred revenue of $2,484 related to future training and extended warranties.</w:t>
      </w:r>
    </w:p>
    <w:p>
      <w:pPr>
        <w:spacing w:after="0" w:line="197" w:lineRule="exact"/>
        <w:rPr>
          <w:sz w:val="20"/>
          <w:szCs w:val="20"/>
          <w:color w:val="auto"/>
        </w:rPr>
      </w:pPr>
    </w:p>
    <w:p>
      <w:pPr>
        <w:jc w:val="both"/>
        <w:ind w:left="180"/>
        <w:spacing w:after="0" w:line="268" w:lineRule="auto"/>
        <w:rPr>
          <w:sz w:val="20"/>
          <w:szCs w:val="20"/>
          <w:color w:val="auto"/>
        </w:rPr>
      </w:pPr>
      <w:r>
        <w:rPr>
          <w:rFonts w:ascii="Arial" w:cs="Arial" w:eastAsia="Arial" w:hAnsi="Arial"/>
          <w:sz w:val="18"/>
          <w:szCs w:val="18"/>
          <w:color w:val="auto"/>
        </w:rPr>
        <w:t>The Company may also receive consideration, per terms of a contract, from customers prior to transferring goods to the customer. The Company records customer deposits as a contract liability.</w:t>
      </w:r>
    </w:p>
    <w:p>
      <w:pPr>
        <w:spacing w:after="0" w:line="186" w:lineRule="exact"/>
        <w:rPr>
          <w:sz w:val="20"/>
          <w:szCs w:val="20"/>
          <w:color w:val="auto"/>
        </w:rPr>
      </w:pPr>
    </w:p>
    <w:p>
      <w:pPr>
        <w:jc w:val="both"/>
        <w:ind w:left="180"/>
        <w:spacing w:after="0" w:line="254" w:lineRule="auto"/>
        <w:rPr>
          <w:sz w:val="20"/>
          <w:szCs w:val="20"/>
          <w:color w:val="auto"/>
        </w:rPr>
      </w:pPr>
      <w:r>
        <w:rPr>
          <w:rFonts w:ascii="Arial" w:cs="Arial" w:eastAsia="Arial" w:hAnsi="Arial"/>
          <w:sz w:val="18"/>
          <w:szCs w:val="18"/>
          <w:color w:val="auto"/>
        </w:rPr>
        <w:t>The Company recognizes an asset if there are incremental costs of obtaining a contract with a customer such as commissions. These costs are ascribed to or allocated to the underlying performance obligations in the contract and amortized consistent with the recognition timing of the revenue for any such underlying performance obligations. The Company had no such assets at June 30, 2020 and December 31, 2019. The Company will apply the practical expedient to expense any sales commissions related to performance obligations with an amortization of one year or less when incurred within selling, general and administrative expense.</w:t>
      </w:r>
    </w:p>
    <w:p>
      <w:pPr>
        <w:spacing w:after="0" w:line="20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Estimated costs for the Company’s standard one-year warranty are charged to cost of products sold when revenue is recorded for the related product.</w:t>
      </w:r>
    </w:p>
    <w:p>
      <w:pPr>
        <w:spacing w:after="0" w:line="3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Royalties are also charged to cost of products sold.</w:t>
      </w:r>
    </w:p>
    <w:p>
      <w:pPr>
        <w:spacing w:after="0" w:line="213"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 NET</w:t>
      </w:r>
    </w:p>
    <w:p>
      <w:pPr>
        <w:spacing w:after="0" w:line="231" w:lineRule="exact"/>
        <w:rPr>
          <w:sz w:val="20"/>
          <w:szCs w:val="20"/>
          <w:color w:val="auto"/>
        </w:rPr>
      </w:pPr>
    </w:p>
    <w:p>
      <w:pPr>
        <w:ind w:left="180"/>
        <w:spacing w:after="0" w:line="268" w:lineRule="auto"/>
        <w:rPr>
          <w:sz w:val="20"/>
          <w:szCs w:val="20"/>
          <w:color w:val="auto"/>
        </w:rPr>
      </w:pPr>
      <w:r>
        <w:rPr>
          <w:rFonts w:ascii="Arial" w:cs="Arial" w:eastAsia="Arial" w:hAnsi="Arial"/>
          <w:sz w:val="18"/>
          <w:szCs w:val="18"/>
          <w:color w:val="auto"/>
        </w:rPr>
        <w:t>Inventory is recorded at the lower of cost or net realizable value. The cost of substantially all the Company’s inventory is determined by the FIFO cost method. Inventories consisted of the following:</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1" w:name="page12"/>
    <w:bookmarkEnd w:id="11"/>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Wrap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Interim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340" w:type="dxa"/>
        <w:tblCellMar>
          <w:top w:w="0" w:type="dxa"/>
          <w:left w:w="0" w:type="dxa"/>
          <w:bottom w:w="0" w:type="dxa"/>
          <w:right w:w="0" w:type="dxa"/>
        </w:tblCellMar>
      </w:tblPr>
      <w:tr>
        <w:trPr>
          <w:trHeight w:val="228"/>
        </w:trPr>
        <w:tc>
          <w:tcPr>
            <w:tcW w:w="8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1"/>
              </w:rPr>
              <w:t>June 30,</w:t>
            </w:r>
          </w:p>
        </w:tc>
        <w:tc>
          <w:tcPr>
            <w:tcW w:w="100" w:type="dxa"/>
            <w:vAlign w:val="bottom"/>
          </w:tcPr>
          <w:p>
            <w:pPr>
              <w:spacing w:after="0"/>
              <w:rPr>
                <w:sz w:val="19"/>
                <w:szCs w:val="19"/>
                <w:color w:val="auto"/>
              </w:rPr>
            </w:pPr>
          </w:p>
        </w:tc>
        <w:tc>
          <w:tcPr>
            <w:tcW w:w="1160" w:type="dxa"/>
            <w:vAlign w:val="bottom"/>
            <w:gridSpan w:val="3"/>
          </w:tcPr>
          <w:p>
            <w:pPr>
              <w:spacing w:after="0"/>
              <w:rPr>
                <w:sz w:val="20"/>
                <w:szCs w:val="20"/>
                <w:color w:val="auto"/>
              </w:rPr>
            </w:pPr>
            <w:r>
              <w:rPr>
                <w:rFonts w:ascii="Arial" w:cs="Arial" w:eastAsia="Arial" w:hAnsi="Arial"/>
                <w:sz w:val="18"/>
                <w:szCs w:val="18"/>
                <w:b w:val="1"/>
                <w:bCs w:val="1"/>
                <w:color w:val="auto"/>
                <w:w w:val="97"/>
              </w:rPr>
              <w:t>December 31,</w:t>
            </w:r>
          </w:p>
        </w:tc>
      </w:tr>
      <w:tr>
        <w:trPr>
          <w:trHeight w:val="252"/>
        </w:trPr>
        <w:tc>
          <w:tcPr>
            <w:tcW w:w="84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21"/>
                <w:szCs w:val="21"/>
                <w:color w:val="auto"/>
              </w:rPr>
            </w:pP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719,104</w:t>
            </w:r>
          </w:p>
        </w:tc>
        <w:tc>
          <w:tcPr>
            <w:tcW w:w="1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653,323</w:t>
            </w:r>
          </w:p>
        </w:tc>
      </w:tr>
      <w:tr>
        <w:trPr>
          <w:trHeight w:val="216"/>
        </w:trPr>
        <w:tc>
          <w:tcPr>
            <w:tcW w:w="8420" w:type="dxa"/>
            <w:vAlign w:val="bottom"/>
          </w:tcPr>
          <w:p>
            <w:pPr>
              <w:spacing w:after="0"/>
              <w:rPr>
                <w:sz w:val="20"/>
                <w:szCs w:val="20"/>
                <w:color w:val="auto"/>
              </w:rPr>
            </w:pPr>
            <w:r>
              <w:rPr>
                <w:rFonts w:ascii="Arial" w:cs="Arial" w:eastAsia="Arial" w:hAnsi="Arial"/>
                <w:sz w:val="18"/>
                <w:szCs w:val="18"/>
                <w:color w:val="auto"/>
              </w:rPr>
              <w:t>Work in process</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22,149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413</w:t>
            </w: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6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1,393,252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1,590,805</w:t>
            </w:r>
          </w:p>
        </w:tc>
      </w:tr>
      <w:tr>
        <w:trPr>
          <w:trHeight w:val="27"/>
        </w:trPr>
        <w:tc>
          <w:tcPr>
            <w:tcW w:w="84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tcBorders>
              <w:right w:val="single" w:sz="8" w:color="CCEEFF"/>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16"/>
        </w:trPr>
        <w:tc>
          <w:tcPr>
            <w:tcW w:w="8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2,134,505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2,244,541</w:t>
            </w: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Less allowance for obsolescence</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(48,000)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7"/>
        </w:trPr>
        <w:tc>
          <w:tcPr>
            <w:tcW w:w="84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tcBorders>
              <w:right w:val="single" w:sz="8" w:color="CCEEFF"/>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16"/>
        </w:trPr>
        <w:tc>
          <w:tcPr>
            <w:tcW w:w="8420" w:type="dxa"/>
            <w:vAlign w:val="bottom"/>
          </w:tcPr>
          <w:p>
            <w:pPr>
              <w:spacing w:after="0"/>
              <w:rPr>
                <w:sz w:val="20"/>
                <w:szCs w:val="20"/>
                <w:color w:val="auto"/>
              </w:rPr>
            </w:pPr>
            <w:r>
              <w:rPr>
                <w:rFonts w:ascii="Arial" w:cs="Arial" w:eastAsia="Arial" w:hAnsi="Arial"/>
                <w:sz w:val="18"/>
                <w:szCs w:val="18"/>
                <w:color w:val="auto"/>
              </w:rPr>
              <w:t>Inventories - net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2,086,505</w:t>
            </w:r>
          </w:p>
        </w:tc>
        <w:tc>
          <w:tcPr>
            <w:tcW w:w="160" w:type="dxa"/>
            <w:vAlign w:val="bottom"/>
          </w:tcPr>
          <w:p>
            <w:pPr>
              <w:spacing w:after="0"/>
              <w:rPr>
                <w:sz w:val="18"/>
                <w:szCs w:val="18"/>
                <w:color w:val="auto"/>
              </w:rPr>
            </w:pPr>
          </w:p>
        </w:tc>
        <w:tc>
          <w:tcPr>
            <w:tcW w:w="3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2,244,541</w:t>
            </w:r>
          </w:p>
        </w:tc>
      </w:tr>
      <w:tr>
        <w:trPr>
          <w:trHeight w:val="21"/>
        </w:trPr>
        <w:tc>
          <w:tcPr>
            <w:tcW w:w="8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left="340"/>
        <w:spacing w:after="0" w:line="268" w:lineRule="auto"/>
        <w:rPr>
          <w:sz w:val="20"/>
          <w:szCs w:val="20"/>
          <w:color w:val="auto"/>
        </w:rPr>
      </w:pPr>
      <w:r>
        <w:rPr>
          <w:rFonts w:ascii="Arial" w:cs="Arial" w:eastAsia="Arial" w:hAnsi="Arial"/>
          <w:sz w:val="18"/>
          <w:szCs w:val="18"/>
          <w:color w:val="auto"/>
        </w:rPr>
        <w:t>At June 30, 2020 the Company established a reserve for obsolescence of $48,000 related to parts expected to be displaced by product improvement initiatives.</w:t>
      </w:r>
    </w:p>
    <w:p>
      <w:pPr>
        <w:spacing w:after="0" w:line="180" w:lineRule="exact"/>
        <w:rPr>
          <w:sz w:val="20"/>
          <w:szCs w:val="20"/>
          <w:color w:val="auto"/>
        </w:rPr>
      </w:pPr>
    </w:p>
    <w:p>
      <w:pPr>
        <w:ind w:left="340" w:right="7300" w:hanging="332"/>
        <w:spacing w:after="0" w:line="440" w:lineRule="auto"/>
        <w:tabs>
          <w:tab w:leader="none" w:pos="353"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PROPERTY AND EQUIPMENT, NET </w:t>
      </w:r>
      <w:r>
        <w:rPr>
          <w:rFonts w:ascii="Arial" w:cs="Arial" w:eastAsia="Arial" w:hAnsi="Arial"/>
          <w:sz w:val="16"/>
          <w:szCs w:val="16"/>
          <w:color w:val="auto"/>
        </w:rPr>
        <w:t>Property and equipment consisted of the following:</w:t>
      </w:r>
    </w:p>
    <w:tbl>
      <w:tblPr>
        <w:tblLayout w:type="fixed"/>
        <w:tblInd w:w="340" w:type="dxa"/>
        <w:tblCellMar>
          <w:top w:w="0" w:type="dxa"/>
          <w:left w:w="0" w:type="dxa"/>
          <w:bottom w:w="0" w:type="dxa"/>
          <w:right w:w="0" w:type="dxa"/>
        </w:tblCellMar>
      </w:tblPr>
      <w:tr>
        <w:trPr>
          <w:trHeight w:val="228"/>
        </w:trPr>
        <w:tc>
          <w:tcPr>
            <w:tcW w:w="552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5"/>
              </w:rPr>
              <w:t>June 30,</w:t>
            </w:r>
          </w:p>
        </w:tc>
        <w:tc>
          <w:tcPr>
            <w:tcW w:w="100" w:type="dxa"/>
            <w:vAlign w:val="bottom"/>
          </w:tcPr>
          <w:p>
            <w:pPr>
              <w:spacing w:after="0"/>
              <w:rPr>
                <w:sz w:val="19"/>
                <w:szCs w:val="19"/>
                <w:color w:val="auto"/>
              </w:rPr>
            </w:pPr>
          </w:p>
        </w:tc>
        <w:tc>
          <w:tcPr>
            <w:tcW w:w="1160" w:type="dxa"/>
            <w:vAlign w:val="bottom"/>
            <w:gridSpan w:val="3"/>
          </w:tcPr>
          <w:p>
            <w:pPr>
              <w:spacing w:after="0"/>
              <w:rPr>
                <w:sz w:val="20"/>
                <w:szCs w:val="20"/>
                <w:color w:val="auto"/>
              </w:rPr>
            </w:pPr>
            <w:r>
              <w:rPr>
                <w:rFonts w:ascii="Arial" w:cs="Arial" w:eastAsia="Arial" w:hAnsi="Arial"/>
                <w:sz w:val="18"/>
                <w:szCs w:val="18"/>
                <w:b w:val="1"/>
                <w:bCs w:val="1"/>
                <w:color w:val="auto"/>
                <w:w w:val="97"/>
              </w:rPr>
              <w:t>December 31,</w:t>
            </w:r>
          </w:p>
        </w:tc>
      </w:tr>
      <w:tr>
        <w:trPr>
          <w:trHeight w:val="252"/>
        </w:trPr>
        <w:tc>
          <w:tcPr>
            <w:tcW w:w="552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2020</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21"/>
                <w:szCs w:val="21"/>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Laboratory equipment</w:t>
            </w:r>
          </w:p>
        </w:tc>
        <w:tc>
          <w:tcPr>
            <w:tcW w:w="3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55,645</w:t>
            </w: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44,454</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Tooling</w:t>
            </w:r>
          </w:p>
        </w:tc>
        <w:tc>
          <w:tcPr>
            <w:tcW w:w="2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77,459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59,004</w:t>
            </w: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2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106,765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83,368</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Furniture, fixtures and improvements</w:t>
            </w:r>
          </w:p>
        </w:tc>
        <w:tc>
          <w:tcPr>
            <w:tcW w:w="2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144,323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128,782</w:t>
            </w:r>
          </w:p>
        </w:tc>
      </w:tr>
      <w:tr>
        <w:trPr>
          <w:trHeight w:val="27"/>
        </w:trPr>
        <w:tc>
          <w:tcPr>
            <w:tcW w:w="552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552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384,192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315,608</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2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(120,022)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(72,732)</w:t>
            </w:r>
          </w:p>
        </w:tc>
      </w:tr>
      <w:tr>
        <w:trPr>
          <w:trHeight w:val="27"/>
        </w:trPr>
        <w:tc>
          <w:tcPr>
            <w:tcW w:w="552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5520" w:type="dxa"/>
            <w:vAlign w:val="bottom"/>
            <w:shd w:val="clear" w:color="auto" w:fill="CCEEFF"/>
          </w:tcPr>
          <w:p>
            <w:pPr>
              <w:spacing w:after="0"/>
              <w:rPr>
                <w:sz w:val="20"/>
                <w:szCs w:val="20"/>
                <w:color w:val="auto"/>
              </w:rPr>
            </w:pPr>
          </w:p>
        </w:tc>
        <w:tc>
          <w:tcPr>
            <w:tcW w:w="29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264,170</w:t>
            </w: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242,876</w:t>
            </w:r>
          </w:p>
        </w:tc>
      </w:tr>
      <w:tr>
        <w:trPr>
          <w:trHeight w:val="20"/>
        </w:trPr>
        <w:tc>
          <w:tcPr>
            <w:tcW w:w="5520" w:type="dxa"/>
            <w:vAlign w:val="bottom"/>
            <w:tcBorders>
              <w:top w:val="single" w:sz="8" w:color="CCEEFF"/>
            </w:tcBorders>
            <w:shd w:val="clear" w:color="auto" w:fill="CCEEFF"/>
          </w:tcPr>
          <w:p>
            <w:pPr>
              <w:spacing w:after="0" w:line="20" w:lineRule="exact"/>
              <w:rPr>
                <w:sz w:val="1"/>
                <w:szCs w:val="1"/>
                <w:color w:val="auto"/>
              </w:rPr>
            </w:pPr>
          </w:p>
        </w:tc>
        <w:tc>
          <w:tcPr>
            <w:tcW w:w="29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8" w:lineRule="exact"/>
        <w:rPr>
          <w:sz w:val="20"/>
          <w:szCs w:val="20"/>
          <w:color w:val="auto"/>
        </w:rPr>
      </w:pPr>
    </w:p>
    <w:p>
      <w:pPr>
        <w:jc w:val="both"/>
        <w:ind w:left="340"/>
        <w:spacing w:after="0" w:line="268" w:lineRule="auto"/>
        <w:rPr>
          <w:sz w:val="20"/>
          <w:szCs w:val="20"/>
          <w:color w:val="auto"/>
        </w:rPr>
      </w:pPr>
      <w:r>
        <w:rPr>
          <w:rFonts w:ascii="Arial" w:cs="Arial" w:eastAsia="Arial" w:hAnsi="Arial"/>
          <w:sz w:val="18"/>
          <w:szCs w:val="18"/>
          <w:color w:val="auto"/>
        </w:rPr>
        <w:t>Depreciation expense was $24,793 and $47,290 for the three and six months ended June 30, 2020 and was $7,621 and $12,186 for the three and six months ended June 30, 2019, respectively.</w:t>
      </w:r>
    </w:p>
    <w:p>
      <w:pPr>
        <w:spacing w:after="0" w:line="180"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 NET</w:t>
      </w:r>
    </w:p>
    <w:p>
      <w:pPr>
        <w:spacing w:after="0" w:line="231"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Intangible assets consisted of the following:</w:t>
      </w:r>
    </w:p>
    <w:p>
      <w:pPr>
        <w:spacing w:after="0" w:line="30" w:lineRule="exact"/>
        <w:rPr>
          <w:sz w:val="20"/>
          <w:szCs w:val="20"/>
          <w:color w:val="auto"/>
        </w:rPr>
      </w:pPr>
    </w:p>
    <w:tbl>
      <w:tblPr>
        <w:tblLayout w:type="fixed"/>
        <w:tblInd w:w="340" w:type="dxa"/>
        <w:tblCellMar>
          <w:top w:w="0" w:type="dxa"/>
          <w:left w:w="0" w:type="dxa"/>
          <w:bottom w:w="0" w:type="dxa"/>
          <w:right w:w="0" w:type="dxa"/>
        </w:tblCellMar>
      </w:tblPr>
      <w:tr>
        <w:trPr>
          <w:trHeight w:val="228"/>
        </w:trPr>
        <w:tc>
          <w:tcPr>
            <w:tcW w:w="514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5"/>
              </w:rPr>
              <w:t>June 30,</w:t>
            </w:r>
          </w:p>
        </w:tc>
        <w:tc>
          <w:tcPr>
            <w:tcW w:w="100" w:type="dxa"/>
            <w:vAlign w:val="bottom"/>
          </w:tcPr>
          <w:p>
            <w:pPr>
              <w:spacing w:after="0"/>
              <w:rPr>
                <w:sz w:val="19"/>
                <w:szCs w:val="19"/>
                <w:color w:val="auto"/>
              </w:rPr>
            </w:pPr>
          </w:p>
        </w:tc>
        <w:tc>
          <w:tcPr>
            <w:tcW w:w="1160" w:type="dxa"/>
            <w:vAlign w:val="bottom"/>
            <w:gridSpan w:val="3"/>
          </w:tcPr>
          <w:p>
            <w:pPr>
              <w:spacing w:after="0"/>
              <w:rPr>
                <w:sz w:val="20"/>
                <w:szCs w:val="20"/>
                <w:color w:val="auto"/>
              </w:rPr>
            </w:pPr>
            <w:r>
              <w:rPr>
                <w:rFonts w:ascii="Arial" w:cs="Arial" w:eastAsia="Arial" w:hAnsi="Arial"/>
                <w:sz w:val="18"/>
                <w:szCs w:val="18"/>
                <w:b w:val="1"/>
                <w:bCs w:val="1"/>
                <w:color w:val="auto"/>
                <w:w w:val="97"/>
              </w:rPr>
              <w:t>December 31,</w:t>
            </w:r>
          </w:p>
        </w:tc>
      </w:tr>
      <w:tr>
        <w:trPr>
          <w:trHeight w:val="252"/>
        </w:trPr>
        <w:tc>
          <w:tcPr>
            <w:tcW w:w="5140" w:type="dxa"/>
            <w:vAlign w:val="bottom"/>
          </w:tcPr>
          <w:p>
            <w:pPr>
              <w:spacing w:after="0"/>
              <w:rPr>
                <w:sz w:val="21"/>
                <w:szCs w:val="21"/>
                <w:color w:val="auto"/>
              </w:rPr>
            </w:pPr>
          </w:p>
        </w:tc>
        <w:tc>
          <w:tcPr>
            <w:tcW w:w="32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2020</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21"/>
                <w:szCs w:val="21"/>
                <w:color w:val="auto"/>
              </w:rPr>
            </w:pPr>
          </w:p>
        </w:tc>
      </w:tr>
      <w:tr>
        <w:trPr>
          <w:trHeight w:val="243"/>
        </w:trPr>
        <w:tc>
          <w:tcPr>
            <w:tcW w:w="5140" w:type="dxa"/>
            <w:vAlign w:val="bottom"/>
          </w:tcPr>
          <w:p>
            <w:pPr>
              <w:spacing w:after="0"/>
              <w:rPr>
                <w:sz w:val="21"/>
                <w:szCs w:val="21"/>
                <w:color w:val="auto"/>
              </w:rPr>
            </w:pPr>
          </w:p>
        </w:tc>
        <w:tc>
          <w:tcPr>
            <w:tcW w:w="3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Patents</w:t>
            </w:r>
          </w:p>
        </w:tc>
        <w:tc>
          <w:tcPr>
            <w:tcW w:w="3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242,202</w:t>
            </w: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176,425</w:t>
            </w: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Trademarks</w:t>
            </w:r>
          </w:p>
        </w:tc>
        <w:tc>
          <w:tcPr>
            <w:tcW w:w="3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74,145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57,919</w:t>
            </w:r>
          </w:p>
        </w:tc>
      </w:tr>
      <w:tr>
        <w:trPr>
          <w:trHeight w:val="27"/>
        </w:trPr>
        <w:tc>
          <w:tcPr>
            <w:tcW w:w="514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514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316,347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234,344</w:t>
            </w: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3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(9,357)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(4,061)</w:t>
            </w:r>
          </w:p>
        </w:tc>
      </w:tr>
      <w:tr>
        <w:trPr>
          <w:trHeight w:val="27"/>
        </w:trPr>
        <w:tc>
          <w:tcPr>
            <w:tcW w:w="514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36"/>
        </w:trPr>
        <w:tc>
          <w:tcPr>
            <w:tcW w:w="5140" w:type="dxa"/>
            <w:vAlign w:val="bottom"/>
            <w:shd w:val="clear" w:color="auto" w:fill="CCEEFF"/>
          </w:tcPr>
          <w:p>
            <w:pPr>
              <w:spacing w:after="0"/>
              <w:rPr>
                <w:sz w:val="20"/>
                <w:szCs w:val="20"/>
                <w:color w:val="auto"/>
              </w:rPr>
            </w:pPr>
          </w:p>
        </w:tc>
        <w:tc>
          <w:tcPr>
            <w:tcW w:w="32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306,990</w:t>
            </w: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230,283</w:t>
            </w:r>
          </w:p>
        </w:tc>
      </w:tr>
      <w:tr>
        <w:trPr>
          <w:trHeight w:val="20"/>
        </w:trPr>
        <w:tc>
          <w:tcPr>
            <w:tcW w:w="5140" w:type="dxa"/>
            <w:vAlign w:val="bottom"/>
            <w:tcBorders>
              <w:top w:val="single" w:sz="8" w:color="CCEEFF"/>
            </w:tcBorders>
            <w:shd w:val="clear" w:color="auto" w:fill="CCEEFF"/>
          </w:tcPr>
          <w:p>
            <w:pPr>
              <w:spacing w:after="0" w:line="20" w:lineRule="exact"/>
              <w:rPr>
                <w:sz w:val="1"/>
                <w:szCs w:val="1"/>
                <w:color w:val="auto"/>
              </w:rPr>
            </w:pPr>
          </w:p>
        </w:tc>
        <w:tc>
          <w:tcPr>
            <w:tcW w:w="32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8" w:lineRule="exact"/>
        <w:rPr>
          <w:sz w:val="20"/>
          <w:szCs w:val="20"/>
          <w:color w:val="auto"/>
        </w:rPr>
      </w:pPr>
    </w:p>
    <w:p>
      <w:pPr>
        <w:jc w:val="both"/>
        <w:ind w:left="340"/>
        <w:spacing w:after="0" w:line="268" w:lineRule="auto"/>
        <w:rPr>
          <w:sz w:val="20"/>
          <w:szCs w:val="20"/>
          <w:color w:val="auto"/>
        </w:rPr>
      </w:pPr>
      <w:r>
        <w:rPr>
          <w:rFonts w:ascii="Arial" w:cs="Arial" w:eastAsia="Arial" w:hAnsi="Arial"/>
          <w:sz w:val="18"/>
          <w:szCs w:val="18"/>
          <w:color w:val="auto"/>
        </w:rPr>
        <w:t>Amortization expense was $2,695 and $5,296 for the three and six months ended June 30, 2020 and was $203 and $387 for the three and six months ended June 30, 2019, respectively.</w:t>
      </w:r>
    </w:p>
    <w:p>
      <w:pPr>
        <w:spacing w:after="0" w:line="180"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ACCOUNTS PAYABLE AND ACCRUED LIABILITIES</w:t>
      </w:r>
    </w:p>
    <w:p>
      <w:pPr>
        <w:spacing w:after="0" w:line="231" w:lineRule="exact"/>
        <w:rPr>
          <w:rFonts w:ascii="Arial" w:cs="Arial" w:eastAsia="Arial" w:hAnsi="Arial"/>
          <w:sz w:val="18"/>
          <w:szCs w:val="18"/>
          <w:b w:val="1"/>
          <w:bCs w:val="1"/>
          <w:color w:val="auto"/>
        </w:rPr>
      </w:pPr>
    </w:p>
    <w:p>
      <w:pPr>
        <w:jc w:val="both"/>
        <w:ind w:left="3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Accounts payable includes $28,481 and $18,809 due to related party Syzygy Licensing, LLC (“</w:t>
      </w:r>
      <w:r>
        <w:rPr>
          <w:rFonts w:ascii="Arial" w:cs="Arial" w:eastAsia="Arial" w:hAnsi="Arial"/>
          <w:sz w:val="18"/>
          <w:szCs w:val="18"/>
          <w:i w:val="1"/>
          <w:iCs w:val="1"/>
          <w:color w:val="auto"/>
        </w:rPr>
        <w:t>Syzygy</w:t>
      </w:r>
      <w:r>
        <w:rPr>
          <w:rFonts w:ascii="Arial" w:cs="Arial" w:eastAsia="Arial" w:hAnsi="Arial"/>
          <w:sz w:val="18"/>
          <w:szCs w:val="18"/>
          <w:color w:val="auto"/>
        </w:rPr>
        <w:t>”) as of June 30, 2020 and December 31, 2019, respectively. Accounts payable at June 30, 2020 also included $185,000 due to related party V3 Capital Partners, LLC. See Notes 11 and 12 for additional related party information.</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2" w:name="page13"/>
    <w:bookmarkEnd w:id="12"/>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Wrap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Interim Financial Statements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340" w:type="dxa"/>
        <w:tblCellMar>
          <w:top w:w="0" w:type="dxa"/>
          <w:left w:w="0" w:type="dxa"/>
          <w:bottom w:w="0" w:type="dxa"/>
          <w:right w:w="0" w:type="dxa"/>
        </w:tblCellMar>
      </w:tblPr>
      <w:tr>
        <w:trPr>
          <w:trHeight w:val="222"/>
        </w:trPr>
        <w:tc>
          <w:tcPr>
            <w:tcW w:w="8420" w:type="dxa"/>
            <w:vAlign w:val="bottom"/>
          </w:tcPr>
          <w:p>
            <w:pPr>
              <w:spacing w:after="0"/>
              <w:rPr>
                <w:sz w:val="20"/>
                <w:szCs w:val="20"/>
                <w:color w:val="auto"/>
              </w:rPr>
            </w:pPr>
            <w:r>
              <w:rPr>
                <w:rFonts w:ascii="Arial" w:cs="Arial" w:eastAsia="Arial" w:hAnsi="Arial"/>
                <w:sz w:val="18"/>
                <w:szCs w:val="18"/>
                <w:color w:val="auto"/>
              </w:rPr>
              <w:t>Accrued liabilities consist of the following:</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459"/>
        </w:trPr>
        <w:tc>
          <w:tcPr>
            <w:tcW w:w="8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ind w:right="132"/>
              <w:spacing w:after="0"/>
              <w:rPr>
                <w:sz w:val="20"/>
                <w:szCs w:val="20"/>
                <w:color w:val="auto"/>
              </w:rPr>
            </w:pPr>
            <w:r>
              <w:rPr>
                <w:rFonts w:ascii="Arial" w:cs="Arial" w:eastAsia="Arial" w:hAnsi="Arial"/>
                <w:sz w:val="18"/>
                <w:szCs w:val="18"/>
                <w:b w:val="1"/>
                <w:bCs w:val="1"/>
                <w:color w:val="auto"/>
                <w:w w:val="91"/>
              </w:rPr>
              <w:t>June 30,</w:t>
            </w:r>
          </w:p>
        </w:tc>
        <w:tc>
          <w:tcPr>
            <w:tcW w:w="260" w:type="dxa"/>
            <w:vAlign w:val="bottom"/>
          </w:tcPr>
          <w:p>
            <w:pPr>
              <w:spacing w:after="0"/>
              <w:rPr>
                <w:sz w:val="24"/>
                <w:szCs w:val="24"/>
                <w:color w:val="auto"/>
              </w:rPr>
            </w:pPr>
          </w:p>
        </w:tc>
        <w:tc>
          <w:tcPr>
            <w:tcW w:w="1160" w:type="dxa"/>
            <w:vAlign w:val="bottom"/>
            <w:gridSpan w:val="3"/>
          </w:tcPr>
          <w:p>
            <w:pPr>
              <w:spacing w:after="0"/>
              <w:rPr>
                <w:sz w:val="20"/>
                <w:szCs w:val="20"/>
                <w:color w:val="auto"/>
              </w:rPr>
            </w:pPr>
            <w:r>
              <w:rPr>
                <w:rFonts w:ascii="Arial" w:cs="Arial" w:eastAsia="Arial" w:hAnsi="Arial"/>
                <w:sz w:val="18"/>
                <w:szCs w:val="18"/>
                <w:b w:val="1"/>
                <w:bCs w:val="1"/>
                <w:color w:val="auto"/>
                <w:w w:val="97"/>
              </w:rPr>
              <w:t>December 31,</w:t>
            </w:r>
          </w:p>
        </w:tc>
      </w:tr>
      <w:tr>
        <w:trPr>
          <w:trHeight w:val="252"/>
        </w:trPr>
        <w:tc>
          <w:tcPr>
            <w:tcW w:w="84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2020</w:t>
            </w:r>
          </w:p>
        </w:tc>
        <w:tc>
          <w:tcPr>
            <w:tcW w:w="2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21"/>
                <w:szCs w:val="21"/>
                <w:color w:val="auto"/>
              </w:rPr>
            </w:pP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Patent and legal costs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4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9,851</w:t>
            </w:r>
          </w:p>
        </w:tc>
      </w:tr>
      <w:tr>
        <w:trPr>
          <w:trHeight w:val="216"/>
        </w:trPr>
        <w:tc>
          <w:tcPr>
            <w:tcW w:w="8420" w:type="dxa"/>
            <w:vAlign w:val="bottom"/>
          </w:tcPr>
          <w:p>
            <w:pPr>
              <w:spacing w:after="0"/>
              <w:rPr>
                <w:sz w:val="20"/>
                <w:szCs w:val="20"/>
                <w:color w:val="auto"/>
              </w:rPr>
            </w:pPr>
            <w:r>
              <w:rPr>
                <w:rFonts w:ascii="Arial" w:cs="Arial" w:eastAsia="Arial" w:hAnsi="Arial"/>
                <w:sz w:val="18"/>
                <w:szCs w:val="18"/>
                <w:color w:val="auto"/>
              </w:rPr>
              <w:t>Accrued compensation</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264,311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144,193</w:t>
            </w: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Warranty costs</w:t>
            </w:r>
          </w:p>
        </w:tc>
        <w:tc>
          <w:tcPr>
            <w:tcW w:w="16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32,832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13,923</w:t>
            </w:r>
          </w:p>
        </w:tc>
      </w:tr>
      <w:tr>
        <w:trPr>
          <w:trHeight w:val="216"/>
        </w:trPr>
        <w:tc>
          <w:tcPr>
            <w:tcW w:w="8420" w:type="dxa"/>
            <w:vAlign w:val="bottom"/>
          </w:tcPr>
          <w:p>
            <w:pPr>
              <w:spacing w:after="0"/>
              <w:rPr>
                <w:sz w:val="20"/>
                <w:szCs w:val="20"/>
                <w:color w:val="auto"/>
              </w:rPr>
            </w:pPr>
            <w:r>
              <w:rPr>
                <w:rFonts w:ascii="Arial" w:cs="Arial" w:eastAsia="Arial" w:hAnsi="Arial"/>
                <w:sz w:val="18"/>
                <w:szCs w:val="18"/>
                <w:color w:val="auto"/>
              </w:rPr>
              <w:t>Consulting costs</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5,000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7,500</w:t>
            </w: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Taxes and other</w:t>
            </w:r>
          </w:p>
        </w:tc>
        <w:tc>
          <w:tcPr>
            <w:tcW w:w="16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17,972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18,827</w:t>
            </w:r>
          </w:p>
        </w:tc>
      </w:tr>
      <w:tr>
        <w:trPr>
          <w:trHeight w:val="27"/>
        </w:trPr>
        <w:tc>
          <w:tcPr>
            <w:tcW w:w="84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tcBorders>
              <w:right w:val="single" w:sz="8" w:color="CCEEFF"/>
            </w:tcBorders>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16"/>
        </w:trPr>
        <w:tc>
          <w:tcPr>
            <w:tcW w:w="84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345,115</w:t>
            </w:r>
          </w:p>
        </w:tc>
        <w:tc>
          <w:tcPr>
            <w:tcW w:w="4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194,294</w:t>
            </w:r>
          </w:p>
        </w:tc>
      </w:tr>
      <w:tr>
        <w:trPr>
          <w:trHeight w:val="20"/>
        </w:trPr>
        <w:tc>
          <w:tcPr>
            <w:tcW w:w="8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31" w:lineRule="exact"/>
        <w:rPr>
          <w:rFonts w:ascii="Arial" w:cs="Arial" w:eastAsia="Arial" w:hAnsi="Arial"/>
          <w:sz w:val="18"/>
          <w:szCs w:val="18"/>
          <w:b w:val="1"/>
          <w:bCs w:val="1"/>
          <w:color w:val="auto"/>
        </w:rPr>
      </w:pPr>
    </w:p>
    <w:p>
      <w:pPr>
        <w:ind w:left="34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Company adopted ASU 2016-02, Leases (Topic 842) on January 1, 2019 using the modified retrospective approach. The Company has elected not to apply ASC Topic 842 to arrangements with lease terms of 12 months or less.</w:t>
      </w:r>
    </w:p>
    <w:p>
      <w:pPr>
        <w:spacing w:after="0" w:line="185" w:lineRule="exact"/>
        <w:rPr>
          <w:rFonts w:ascii="Arial" w:cs="Arial" w:eastAsia="Arial" w:hAnsi="Arial"/>
          <w:sz w:val="18"/>
          <w:szCs w:val="18"/>
          <w:b w:val="1"/>
          <w:bCs w:val="1"/>
          <w:color w:val="auto"/>
        </w:rPr>
      </w:pPr>
    </w:p>
    <w:p>
      <w:pPr>
        <w:ind w:left="34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Amortization of ROU operating lease assets was $30,172 and $59,800 for the three and six months ended June 30, 2020 and was $16,432 and $22,211 for the three and six months ended June 30, 2019, respectively.</w:t>
      </w:r>
    </w:p>
    <w:p>
      <w:pPr>
        <w:spacing w:after="0" w:line="186"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Operating lease expense for capitalized operating leases included in operating activities was $34,322 and $68,644 for the three and six months ended June 30, 2020 and was $19,305 and $25,956 for the three and six months ended June 30, 2019, respectively. Operating lease obligations recorded on the balance sheet at June 30, 2020 are:</w:t>
      </w:r>
    </w:p>
    <w:p>
      <w:pPr>
        <w:spacing w:after="0" w:line="202"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liability- short term</w:t>
            </w:r>
          </w:p>
        </w:tc>
        <w:tc>
          <w:tcPr>
            <w:tcW w:w="3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113,954</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Operating lease liability - long term</w:t>
            </w:r>
          </w:p>
        </w:tc>
        <w:tc>
          <w:tcPr>
            <w:tcW w:w="3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101,826</w:t>
            </w:r>
          </w:p>
        </w:tc>
      </w:tr>
      <w:tr>
        <w:trPr>
          <w:trHeight w:val="27"/>
        </w:trPr>
        <w:tc>
          <w:tcPr>
            <w:tcW w:w="6120" w:type="dxa"/>
            <w:vAlign w:val="bottom"/>
          </w:tcPr>
          <w:p>
            <w:pPr>
              <w:spacing w:after="0"/>
              <w:rPr>
                <w:sz w:val="2"/>
                <w:szCs w:val="2"/>
                <w:color w:val="auto"/>
              </w:rPr>
            </w:pPr>
          </w:p>
        </w:tc>
        <w:tc>
          <w:tcPr>
            <w:tcW w:w="36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36"/>
        </w:trPr>
        <w:tc>
          <w:tcPr>
            <w:tcW w:w="61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Operating Lease Liability</w:t>
            </w:r>
          </w:p>
        </w:tc>
        <w:tc>
          <w:tcPr>
            <w:tcW w:w="3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215,780</w:t>
            </w:r>
          </w:p>
        </w:tc>
      </w:tr>
      <w:tr>
        <w:trPr>
          <w:trHeight w:val="20"/>
        </w:trPr>
        <w:tc>
          <w:tcPr>
            <w:tcW w:w="6120" w:type="dxa"/>
            <w:vAlign w:val="bottom"/>
            <w:tcBorders>
              <w:top w:val="single" w:sz="8" w:color="CCEEFF"/>
            </w:tcBorders>
            <w:shd w:val="clear" w:color="auto" w:fill="CCEEFF"/>
          </w:tcPr>
          <w:p>
            <w:pPr>
              <w:spacing w:after="0" w:line="20" w:lineRule="exact"/>
              <w:rPr>
                <w:sz w:val="1"/>
                <w:szCs w:val="1"/>
                <w:color w:val="auto"/>
              </w:rPr>
            </w:pPr>
          </w:p>
        </w:tc>
        <w:tc>
          <w:tcPr>
            <w:tcW w:w="36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2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Future lease payments included in the measurement of lease liabilities on the balance sheet at June 30, 2020 for future periods are as follows:</w:t>
      </w:r>
    </w:p>
    <w:p>
      <w:pPr>
        <w:spacing w:after="0" w:line="25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974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2020 (six months)</w:t>
            </w: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72,362</w:t>
            </w:r>
          </w:p>
        </w:tc>
        <w:tc>
          <w:tcPr>
            <w:tcW w:w="120" w:type="dxa"/>
            <w:vAlign w:val="bottom"/>
            <w:shd w:val="clear" w:color="auto" w:fill="CCEEFF"/>
          </w:tcPr>
          <w:p>
            <w:pPr>
              <w:spacing w:after="0"/>
              <w:rPr>
                <w:sz w:val="18"/>
                <w:szCs w:val="18"/>
                <w:color w:val="auto"/>
              </w:rPr>
            </w:pPr>
          </w:p>
        </w:tc>
      </w:tr>
      <w:tr>
        <w:trPr>
          <w:trHeight w:val="216"/>
        </w:trPr>
        <w:tc>
          <w:tcPr>
            <w:tcW w:w="9740" w:type="dxa"/>
            <w:vAlign w:val="bottom"/>
          </w:tcPr>
          <w:p>
            <w:pPr>
              <w:spacing w:after="0"/>
              <w:rPr>
                <w:sz w:val="20"/>
                <w:szCs w:val="20"/>
                <w:color w:val="auto"/>
              </w:rPr>
            </w:pPr>
            <w:r>
              <w:rPr>
                <w:rFonts w:ascii="Arial" w:cs="Arial" w:eastAsia="Arial" w:hAnsi="Arial"/>
                <w:sz w:val="18"/>
                <w:szCs w:val="18"/>
                <w:color w:val="auto"/>
              </w:rPr>
              <w:t>2021</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101,406</w:t>
            </w:r>
          </w:p>
        </w:tc>
        <w:tc>
          <w:tcPr>
            <w:tcW w:w="120" w:type="dxa"/>
            <w:vAlign w:val="bottom"/>
          </w:tcPr>
          <w:p>
            <w:pPr>
              <w:spacing w:after="0"/>
              <w:rPr>
                <w:sz w:val="18"/>
                <w:szCs w:val="18"/>
                <w:color w:val="auto"/>
              </w:rPr>
            </w:pPr>
          </w:p>
        </w:tc>
      </w:tr>
      <w:tr>
        <w:trPr>
          <w:trHeight w:val="216"/>
        </w:trPr>
        <w:tc>
          <w:tcPr>
            <w:tcW w:w="974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28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57,328</w:t>
            </w:r>
          </w:p>
        </w:tc>
        <w:tc>
          <w:tcPr>
            <w:tcW w:w="120" w:type="dxa"/>
            <w:vAlign w:val="bottom"/>
            <w:shd w:val="clear" w:color="auto" w:fill="CCEEFF"/>
          </w:tcPr>
          <w:p>
            <w:pPr>
              <w:spacing w:after="0"/>
              <w:rPr>
                <w:sz w:val="18"/>
                <w:szCs w:val="18"/>
                <w:color w:val="auto"/>
              </w:rPr>
            </w:pPr>
          </w:p>
        </w:tc>
      </w:tr>
      <w:tr>
        <w:trPr>
          <w:trHeight w:val="27"/>
        </w:trPr>
        <w:tc>
          <w:tcPr>
            <w:tcW w:w="974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60" w:type="dxa"/>
            <w:vAlign w:val="bottom"/>
            <w:tcBorders>
              <w:right w:val="single" w:sz="8" w:color="CCEEFF"/>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216"/>
        </w:trPr>
        <w:tc>
          <w:tcPr>
            <w:tcW w:w="9740" w:type="dxa"/>
            <w:vAlign w:val="bottom"/>
          </w:tcPr>
          <w:p>
            <w:pPr>
              <w:ind w:left="480"/>
              <w:spacing w:after="0"/>
              <w:rPr>
                <w:sz w:val="20"/>
                <w:szCs w:val="20"/>
                <w:color w:val="auto"/>
              </w:rPr>
            </w:pPr>
            <w:r>
              <w:rPr>
                <w:rFonts w:ascii="Arial" w:cs="Arial" w:eastAsia="Arial" w:hAnsi="Arial"/>
                <w:sz w:val="18"/>
                <w:szCs w:val="18"/>
                <w:color w:val="auto"/>
              </w:rPr>
              <w:t>Total future minimum lease payments</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231,096</w:t>
            </w:r>
          </w:p>
        </w:tc>
        <w:tc>
          <w:tcPr>
            <w:tcW w:w="120" w:type="dxa"/>
            <w:vAlign w:val="bottom"/>
          </w:tcPr>
          <w:p>
            <w:pPr>
              <w:spacing w:after="0"/>
              <w:rPr>
                <w:sz w:val="18"/>
                <w:szCs w:val="18"/>
                <w:color w:val="auto"/>
              </w:rPr>
            </w:pPr>
          </w:p>
        </w:tc>
      </w:tr>
      <w:tr>
        <w:trPr>
          <w:trHeight w:val="216"/>
        </w:trPr>
        <w:tc>
          <w:tcPr>
            <w:tcW w:w="9740" w:type="dxa"/>
            <w:vAlign w:val="bottom"/>
            <w:shd w:val="clear" w:color="auto" w:fill="CCEEFF"/>
          </w:tcPr>
          <w:p>
            <w:pPr>
              <w:spacing w:after="0"/>
              <w:rPr>
                <w:sz w:val="20"/>
                <w:szCs w:val="20"/>
                <w:color w:val="auto"/>
              </w:rPr>
            </w:pPr>
            <w:r>
              <w:rPr>
                <w:rFonts w:ascii="Arial" w:cs="Arial" w:eastAsia="Arial" w:hAnsi="Arial"/>
                <w:sz w:val="18"/>
                <w:szCs w:val="18"/>
                <w:color w:val="auto"/>
              </w:rPr>
              <w:t>Less imputed interest</w:t>
            </w: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(15,316)</w:t>
            </w:r>
          </w:p>
        </w:tc>
      </w:tr>
      <w:tr>
        <w:trPr>
          <w:trHeight w:val="27"/>
        </w:trPr>
        <w:tc>
          <w:tcPr>
            <w:tcW w:w="974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60" w:type="dxa"/>
            <w:vAlign w:val="bottom"/>
            <w:tcBorders>
              <w:right w:val="single" w:sz="8" w:color="CCEEFF"/>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216"/>
        </w:trPr>
        <w:tc>
          <w:tcPr>
            <w:tcW w:w="9740" w:type="dxa"/>
            <w:vAlign w:val="bottom"/>
          </w:tcPr>
          <w:p>
            <w:pPr>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215,780</w:t>
            </w:r>
          </w:p>
        </w:tc>
        <w:tc>
          <w:tcPr>
            <w:tcW w:w="120" w:type="dxa"/>
            <w:vAlign w:val="bottom"/>
          </w:tcPr>
          <w:p>
            <w:pPr>
              <w:spacing w:after="0"/>
              <w:rPr>
                <w:sz w:val="18"/>
                <w:szCs w:val="18"/>
                <w:color w:val="auto"/>
              </w:rPr>
            </w:pPr>
          </w:p>
        </w:tc>
      </w:tr>
      <w:tr>
        <w:trPr>
          <w:trHeight w:val="20"/>
        </w:trPr>
        <w:tc>
          <w:tcPr>
            <w:tcW w:w="9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weighted average remaining lease term is 1.9 years and the weighted average discount rate is 7.0%.</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does not have any finance leases.</w:t>
      </w:r>
    </w:p>
    <w:p>
      <w:pPr>
        <w:spacing w:after="0" w:line="219"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NOTE PAYABLE TO BANK</w:t>
      </w:r>
    </w:p>
    <w:p>
      <w:pPr>
        <w:spacing w:after="0" w:line="231" w:lineRule="exact"/>
        <w:rPr>
          <w:rFonts w:ascii="Arial" w:cs="Arial" w:eastAsia="Arial" w:hAnsi="Arial"/>
          <w:sz w:val="18"/>
          <w:szCs w:val="18"/>
          <w:b w:val="1"/>
          <w:bCs w:val="1"/>
          <w:color w:val="auto"/>
        </w:rPr>
      </w:pPr>
    </w:p>
    <w:p>
      <w:pPr>
        <w:ind w:left="34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On May 1, 2020, the Company received loan proceeds of $414,362 from Bank of America, N.A., pursuant to the Paycheck Protection Program (the “</w:t>
      </w:r>
      <w:r>
        <w:rPr>
          <w:rFonts w:ascii="Arial" w:cs="Arial" w:eastAsia="Arial" w:hAnsi="Arial"/>
          <w:sz w:val="18"/>
          <w:szCs w:val="18"/>
          <w:i w:val="1"/>
          <w:iCs w:val="1"/>
          <w:color w:val="auto"/>
        </w:rPr>
        <w:t>PPP</w:t>
      </w:r>
      <w:r>
        <w:rPr>
          <w:rFonts w:ascii="Arial" w:cs="Arial" w:eastAsia="Arial" w:hAnsi="Arial"/>
          <w:sz w:val="18"/>
          <w:szCs w:val="18"/>
          <w:color w:val="auto"/>
        </w:rPr>
        <w:t xml:space="preserve"> </w:t>
      </w:r>
      <w:r>
        <w:rPr>
          <w:rFonts w:ascii="Arial" w:cs="Arial" w:eastAsia="Arial" w:hAnsi="Arial"/>
          <w:sz w:val="18"/>
          <w:szCs w:val="18"/>
          <w:i w:val="1"/>
          <w:iCs w:val="1"/>
          <w:color w:val="auto"/>
        </w:rPr>
        <w:t>Loan</w:t>
      </w:r>
      <w:r>
        <w:rPr>
          <w:rFonts w:ascii="Arial" w:cs="Arial" w:eastAsia="Arial" w:hAnsi="Arial"/>
          <w:sz w:val="18"/>
          <w:szCs w:val="18"/>
          <w:color w:val="auto"/>
        </w:rPr>
        <w:t>”) under Division A, Title 1 of the CARES Act, which was enacted March 27, 2020.</w:t>
      </w:r>
    </w:p>
    <w:p>
      <w:pPr>
        <w:spacing w:after="0" w:line="185" w:lineRule="exact"/>
        <w:rPr>
          <w:rFonts w:ascii="Arial" w:cs="Arial" w:eastAsia="Arial" w:hAnsi="Arial"/>
          <w:sz w:val="18"/>
          <w:szCs w:val="18"/>
          <w:b w:val="1"/>
          <w:bCs w:val="1"/>
          <w:color w:val="auto"/>
        </w:rPr>
      </w:pPr>
    </w:p>
    <w:p>
      <w:pPr>
        <w:jc w:val="both"/>
        <w:ind w:left="34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The PPP Loan, which was in the form of a Promissory Note dated May 1, 2020 has a two-year term and bears interest at a rate of 1% per annum. Monthly principal and interest payments are deferred for six months after the date of disbursement. Beginning seven months from the date of the PPP Note, the Company is required to make monthly payments of principal and interest of approximately $23,320. The Company recorded accrued interest of $681 at June 30, 2020. The PPP Loan may be prepaid at any time prior to maturity with no prepayment penalties. The Promissory Note contains events of default and other provisions customary for a loan of this type.</w:t>
      </w:r>
    </w:p>
    <w:p>
      <w:pPr>
        <w:spacing w:after="0" w:line="200" w:lineRule="exact"/>
        <w:rPr>
          <w:rFonts w:ascii="Arial" w:cs="Arial" w:eastAsia="Arial" w:hAnsi="Arial"/>
          <w:sz w:val="18"/>
          <w:szCs w:val="18"/>
          <w:b w:val="1"/>
          <w:bCs w:val="1"/>
          <w:color w:val="auto"/>
        </w:rPr>
      </w:pPr>
    </w:p>
    <w:p>
      <w:pPr>
        <w:jc w:val="both"/>
        <w:ind w:left="34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Under the terms of the CARES Act, PPP Loan participants can apply for and be granted forgiveness for all or a portion of loans granted under the PPP. Under the terms of the PPP, PPP loans and accrued interest are forgivable between eight weeks and twenty-four weeks, as long as the borrower uses the loan proceeds for eligible purposes, including payroll, benefits, rent and utilities, and maintains its payroll levels. The amount of loan forgiveness will be reduced if the borrower terminates employees or reduces salaries during the eight-week period. The Company intends to use the loan proceeds for purposes consistent with the PPP, and anticipates that all or a majority of the loan amount may be forgiven, but there is no assurance provided that the Company will obtain forgiveness of the PPP Loan in whole or part.</w:t>
      </w:r>
    </w:p>
    <w:p>
      <w:pPr>
        <w:sectPr>
          <w:pgSz w:w="11900" w:h="16838" w:orient="portrait"/>
          <w:cols w:equalWidth="0" w:num="1">
            <w:col w:w="11240"/>
          </w:cols>
          <w:pgMar w:left="320" w:top="131" w:right="339" w:bottom="1440" w:gutter="0" w:footer="0" w:header="0"/>
        </w:sect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type w:val="continuous"/>
        </w:sectPr>
      </w:pPr>
    </w:p>
    <w:bookmarkStart w:id="13" w:name="page14"/>
    <w:bookmarkEnd w:id="13"/>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Wrap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Interim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231" w:lineRule="exact"/>
        <w:rPr>
          <w:rFonts w:ascii="Arial" w:cs="Arial" w:eastAsia="Arial" w:hAnsi="Arial"/>
          <w:sz w:val="18"/>
          <w:szCs w:val="18"/>
          <w:b w:val="1"/>
          <w:bCs w:val="1"/>
          <w:color w:val="auto"/>
        </w:rPr>
      </w:pPr>
    </w:p>
    <w:p>
      <w:pPr>
        <w:ind w:left="34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Company’s authorized capital consists of 150,000,000 shares of Common Stock, par value $0.0001 per share, and 5,000,000 shares of preferred stock, par value $0.0001 per share (“</w:t>
      </w:r>
      <w:r>
        <w:rPr>
          <w:rFonts w:ascii="Arial" w:cs="Arial" w:eastAsia="Arial" w:hAnsi="Arial"/>
          <w:sz w:val="18"/>
          <w:szCs w:val="18"/>
          <w:i w:val="1"/>
          <w:iCs w:val="1"/>
          <w:color w:val="auto"/>
        </w:rPr>
        <w:t>Preferred Stock</w:t>
      </w:r>
      <w:r>
        <w:rPr>
          <w:rFonts w:ascii="Arial" w:cs="Arial" w:eastAsia="Arial" w:hAnsi="Arial"/>
          <w:sz w:val="18"/>
          <w:szCs w:val="18"/>
          <w:color w:val="auto"/>
        </w:rPr>
        <w:t>”).</w:t>
      </w:r>
    </w:p>
    <w:p>
      <w:pPr>
        <w:spacing w:after="0" w:line="18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u w:val="single" w:color="auto"/>
          <w:color w:val="auto"/>
        </w:rPr>
        <w:t>2020 Follow-On Public Offering</w:t>
      </w:r>
    </w:p>
    <w:p>
      <w:pPr>
        <w:spacing w:after="0" w:line="225" w:lineRule="exact"/>
        <w:rPr>
          <w:rFonts w:ascii="Arial" w:cs="Arial" w:eastAsia="Arial" w:hAnsi="Arial"/>
          <w:sz w:val="18"/>
          <w:szCs w:val="18"/>
          <w:b w:val="1"/>
          <w:bCs w:val="1"/>
          <w:color w:val="auto"/>
        </w:rPr>
      </w:pPr>
    </w:p>
    <w:p>
      <w:pPr>
        <w:jc w:val="both"/>
        <w:ind w:left="34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On June 2, 2020, the Company consummated a follow-on public offering, pursuant to which a total of 2,066,667 Units were offered and sold at the public offering price of $6.00 per Unit. Each Unit sold consisted of one share of Common Stock and one detachable two-year warrant to purchase one share of Common Stock at an exercise price of $6.00 per share. The offering resulted in the Company’s receipt of gross cash proceeds of $12.4 million and net cash proceeds of $11.67 million after deduction of commissions and offering costs.</w:t>
      </w:r>
    </w:p>
    <w:p>
      <w:pPr>
        <w:spacing w:after="0" w:line="196"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u w:val="single" w:color="auto"/>
          <w:color w:val="auto"/>
        </w:rPr>
        <w:t>Summary of Stock Purchase Warrants</w:t>
      </w:r>
    </w:p>
    <w:p>
      <w:pPr>
        <w:spacing w:after="0" w:line="22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summarizes warrant activity during the six months ended June 30, 2020:</w:t>
      </w:r>
    </w:p>
    <w:p>
      <w:pPr>
        <w:spacing w:after="0" w:line="219"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8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8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Purchase</w:t>
            </w:r>
          </w:p>
        </w:tc>
      </w:tr>
      <w:tr>
        <w:trPr>
          <w:trHeight w:val="216"/>
        </w:trPr>
        <w:tc>
          <w:tcPr>
            <w:tcW w:w="8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Price Per</w:t>
            </w:r>
          </w:p>
        </w:tc>
      </w:tr>
      <w:tr>
        <w:trPr>
          <w:trHeight w:val="237"/>
        </w:trPr>
        <w:tc>
          <w:tcPr>
            <w:tcW w:w="8420" w:type="dxa"/>
            <w:vAlign w:val="bottom"/>
          </w:tcPr>
          <w:p>
            <w:pPr>
              <w:spacing w:after="0"/>
              <w:rPr>
                <w:sz w:val="20"/>
                <w:szCs w:val="20"/>
                <w:color w:val="auto"/>
              </w:rPr>
            </w:pPr>
          </w:p>
        </w:tc>
        <w:tc>
          <w:tcPr>
            <w:tcW w:w="10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Number</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b w:val="1"/>
                <w:bCs w:val="1"/>
                <w:color w:val="auto"/>
                <w:w w:val="83"/>
              </w:rPr>
              <w:t>Share</w:t>
            </w:r>
          </w:p>
        </w:tc>
        <w:tc>
          <w:tcPr>
            <w:tcW w:w="140" w:type="dxa"/>
            <w:vAlign w:val="bottom"/>
          </w:tcPr>
          <w:p>
            <w:pPr>
              <w:spacing w:after="0"/>
              <w:rPr>
                <w:sz w:val="20"/>
                <w:szCs w:val="20"/>
                <w:color w:val="auto"/>
              </w:rPr>
            </w:pP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Shares purchasable under outstanding warrants at December 31, 2019</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6,620,620</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5.41</w:t>
            </w:r>
          </w:p>
        </w:tc>
      </w:tr>
      <w:tr>
        <w:trPr>
          <w:trHeight w:val="216"/>
        </w:trPr>
        <w:tc>
          <w:tcPr>
            <w:tcW w:w="8420" w:type="dxa"/>
            <w:vAlign w:val="bottom"/>
          </w:tcPr>
          <w:p>
            <w:pPr>
              <w:spacing w:after="0"/>
              <w:rPr>
                <w:sz w:val="20"/>
                <w:szCs w:val="20"/>
                <w:color w:val="auto"/>
              </w:rPr>
            </w:pPr>
            <w:r>
              <w:rPr>
                <w:rFonts w:ascii="Arial" w:cs="Arial" w:eastAsia="Arial" w:hAnsi="Arial"/>
                <w:sz w:val="18"/>
                <w:szCs w:val="18"/>
                <w:color w:val="auto"/>
              </w:rPr>
              <w:t>Stock purchase warrants issued</w:t>
            </w:r>
          </w:p>
        </w:tc>
        <w:tc>
          <w:tcPr>
            <w:tcW w:w="1060" w:type="dxa"/>
            <w:vAlign w:val="bottom"/>
          </w:tcPr>
          <w:p>
            <w:pPr>
              <w:jc w:val="right"/>
              <w:spacing w:after="0"/>
              <w:rPr>
                <w:sz w:val="20"/>
                <w:szCs w:val="20"/>
                <w:color w:val="auto"/>
              </w:rPr>
            </w:pPr>
            <w:r>
              <w:rPr>
                <w:rFonts w:ascii="Arial" w:cs="Arial" w:eastAsia="Arial" w:hAnsi="Arial"/>
                <w:sz w:val="18"/>
                <w:szCs w:val="18"/>
                <w:color w:val="auto"/>
              </w:rPr>
              <w:t>2,066,667</w:t>
            </w:r>
          </w:p>
        </w:tc>
        <w:tc>
          <w:tcPr>
            <w:tcW w:w="160" w:type="dxa"/>
            <w:vAlign w:val="bottom"/>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6.00</w:t>
            </w: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Stock purchase warrants exercised</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(2,085,200)</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4.92</w:t>
            </w:r>
          </w:p>
        </w:tc>
      </w:tr>
      <w:tr>
        <w:trPr>
          <w:trHeight w:val="27"/>
        </w:trPr>
        <w:tc>
          <w:tcPr>
            <w:tcW w:w="8420" w:type="dxa"/>
            <w:vAlign w:val="bottom"/>
            <w:shd w:val="clear" w:color="auto" w:fill="CCEEFF"/>
          </w:tcPr>
          <w:p>
            <w:pPr>
              <w:spacing w:after="0"/>
              <w:rPr>
                <w:sz w:val="2"/>
                <w:szCs w:val="2"/>
                <w:color w:val="auto"/>
              </w:rPr>
            </w:pPr>
          </w:p>
        </w:tc>
        <w:tc>
          <w:tcPr>
            <w:tcW w:w="1060" w:type="dxa"/>
            <w:vAlign w:val="bottom"/>
            <w:tcBorders>
              <w:right w:val="single" w:sz="8" w:color="CCEEFF"/>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16"/>
        </w:trPr>
        <w:tc>
          <w:tcPr>
            <w:tcW w:w="8420" w:type="dxa"/>
            <w:vAlign w:val="bottom"/>
          </w:tcPr>
          <w:p>
            <w:pPr>
              <w:spacing w:after="0"/>
              <w:rPr>
                <w:sz w:val="20"/>
                <w:szCs w:val="20"/>
                <w:color w:val="auto"/>
              </w:rPr>
            </w:pPr>
            <w:r>
              <w:rPr>
                <w:rFonts w:ascii="Arial" w:cs="Arial" w:eastAsia="Arial" w:hAnsi="Arial"/>
                <w:sz w:val="18"/>
                <w:szCs w:val="18"/>
                <w:color w:val="auto"/>
              </w:rPr>
              <w:t>Shares purchasable under outstanding warrants at June 30, 2020</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6,602,087</w:t>
            </w:r>
          </w:p>
        </w:tc>
        <w:tc>
          <w:tcPr>
            <w:tcW w:w="160" w:type="dxa"/>
            <w:vAlign w:val="bottom"/>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5.75</w:t>
            </w:r>
          </w:p>
        </w:tc>
      </w:tr>
      <w:tr>
        <w:trPr>
          <w:trHeight w:val="20"/>
        </w:trPr>
        <w:tc>
          <w:tcPr>
            <w:tcW w:w="84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During the six months ended June 30, 2020 the Company received gross proceeds of $10,250,532 from the exercise of warrants and paid $398,091 as an agent fee to facilitate exercise of certain warrants resulting in net proceeds of $9,852,441. The Company is obligated to pay an agent fee of 5% on certain warrant exercises facilitated by the agent through September 15, 2020.</w:t>
      </w:r>
    </w:p>
    <w:p>
      <w:pPr>
        <w:spacing w:after="0" w:line="194" w:lineRule="exact"/>
        <w:rPr>
          <w:sz w:val="20"/>
          <w:szCs w:val="20"/>
          <w:color w:val="auto"/>
        </w:rPr>
      </w:pPr>
    </w:p>
    <w:tbl>
      <w:tblPr>
        <w:tblLayout w:type="fixed"/>
        <w:tblInd w:w="340" w:type="dxa"/>
        <w:tblCellMar>
          <w:top w:w="0" w:type="dxa"/>
          <w:left w:w="0" w:type="dxa"/>
          <w:bottom w:w="0" w:type="dxa"/>
          <w:right w:w="0" w:type="dxa"/>
        </w:tblCellMar>
      </w:tblPr>
      <w:tr>
        <w:trPr>
          <w:trHeight w:val="222"/>
        </w:trPr>
        <w:tc>
          <w:tcPr>
            <w:tcW w:w="8300" w:type="dxa"/>
            <w:vAlign w:val="bottom"/>
          </w:tcPr>
          <w:p>
            <w:pPr>
              <w:spacing w:after="0"/>
              <w:rPr>
                <w:sz w:val="20"/>
                <w:szCs w:val="20"/>
                <w:color w:val="auto"/>
              </w:rPr>
            </w:pPr>
            <w:r>
              <w:rPr>
                <w:rFonts w:ascii="Arial" w:cs="Arial" w:eastAsia="Arial" w:hAnsi="Arial"/>
                <w:sz w:val="18"/>
                <w:szCs w:val="18"/>
                <w:color w:val="auto"/>
              </w:rPr>
              <w:t>The Company has outstanding Common Stock purchase warrants as of June 30, 2020 as follows:</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420"/>
        </w:trPr>
        <w:tc>
          <w:tcPr>
            <w:tcW w:w="8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3"/>
              </w:rPr>
              <w:t>Exercise</w:t>
            </w:r>
          </w:p>
        </w:tc>
      </w:tr>
      <w:tr>
        <w:trPr>
          <w:trHeight w:val="216"/>
        </w:trPr>
        <w:tc>
          <w:tcPr>
            <w:tcW w:w="8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1"/>
              </w:rPr>
              <w:t>Number of</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Price</w:t>
            </w:r>
          </w:p>
        </w:tc>
      </w:tr>
      <w:tr>
        <w:trPr>
          <w:trHeight w:val="216"/>
        </w:trPr>
        <w:tc>
          <w:tcPr>
            <w:tcW w:w="8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89"/>
              </w:rPr>
              <w:t>Common</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7"/>
        </w:trPr>
        <w:tc>
          <w:tcPr>
            <w:tcW w:w="8300" w:type="dxa"/>
            <w:vAlign w:val="bottom"/>
            <w:tcBorders>
              <w:bottom w:val="single" w:sz="8" w:color="auto"/>
            </w:tcBorders>
          </w:tcPr>
          <w:p>
            <w:pPr>
              <w:ind w:left="3700"/>
              <w:spacing w:after="0"/>
              <w:rPr>
                <w:sz w:val="20"/>
                <w:szCs w:val="20"/>
                <w:color w:val="auto"/>
              </w:rPr>
            </w:pPr>
            <w:r>
              <w:rPr>
                <w:rFonts w:ascii="Arial" w:cs="Arial" w:eastAsia="Arial" w:hAnsi="Arial"/>
                <w:sz w:val="18"/>
                <w:szCs w:val="18"/>
                <w:b w:val="1"/>
                <w:bCs w:val="1"/>
                <w:color w:val="auto"/>
              </w:rPr>
              <w:t>Description</w:t>
            </w:r>
          </w:p>
        </w:tc>
        <w:tc>
          <w:tcPr>
            <w:tcW w:w="120" w:type="dxa"/>
            <w:vAlign w:val="bottom"/>
          </w:tcPr>
          <w:p>
            <w:pPr>
              <w:spacing w:after="0"/>
              <w:rPr>
                <w:sz w:val="20"/>
                <w:szCs w:val="20"/>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Shares</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b w:val="1"/>
                <w:bCs w:val="1"/>
                <w:color w:val="auto"/>
                <w:w w:val="87"/>
              </w:rPr>
              <w:t>Per Share</w:t>
            </w:r>
          </w:p>
        </w:tc>
        <w:tc>
          <w:tcPr>
            <w:tcW w:w="140" w:type="dxa"/>
            <w:vAlign w:val="bottom"/>
          </w:tcPr>
          <w:p>
            <w:pPr>
              <w:spacing w:after="0"/>
              <w:rPr>
                <w:sz w:val="20"/>
                <w:szCs w:val="20"/>
                <w:color w:val="auto"/>
              </w:rPr>
            </w:pP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Purchase Warrants (1)</w:t>
            </w:r>
          </w:p>
        </w:tc>
        <w:tc>
          <w:tcPr>
            <w:tcW w:w="11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2,364,237</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5.00</w:t>
            </w: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Agent Warrants</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177,954</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3.00</w:t>
            </w: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Purchase Warrants</w:t>
            </w:r>
          </w:p>
        </w:tc>
        <w:tc>
          <w:tcPr>
            <w:tcW w:w="11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1,839,383</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6.50</w:t>
            </w: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Agent Warrants</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153,846</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8.125</w:t>
            </w: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Purchase Warrants</w:t>
            </w:r>
          </w:p>
        </w:tc>
        <w:tc>
          <w:tcPr>
            <w:tcW w:w="12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2,066,667</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6.00</w:t>
            </w:r>
          </w:p>
        </w:tc>
      </w:tr>
      <w:tr>
        <w:trPr>
          <w:trHeight w:val="27"/>
        </w:trPr>
        <w:tc>
          <w:tcPr>
            <w:tcW w:w="8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60" w:type="dxa"/>
            <w:vAlign w:val="bottom"/>
            <w:tcBorders>
              <w:right w:val="single" w:sz="8" w:color="CCEEFF"/>
            </w:tcBorders>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16"/>
        </w:trPr>
        <w:tc>
          <w:tcPr>
            <w:tcW w:w="8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6,602,087</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
        </w:trPr>
        <w:tc>
          <w:tcPr>
            <w:tcW w:w="8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8" w:lineRule="exact"/>
        <w:rPr>
          <w:sz w:val="20"/>
          <w:szCs w:val="20"/>
          <w:color w:val="auto"/>
        </w:rPr>
      </w:pPr>
    </w:p>
    <w:p>
      <w:pPr>
        <w:ind w:left="660" w:hanging="4"/>
        <w:spacing w:after="0" w:line="268" w:lineRule="auto"/>
        <w:tabs>
          <w:tab w:leader="none" w:pos="913" w:val="left"/>
        </w:tabs>
        <w:numPr>
          <w:ilvl w:val="0"/>
          <w:numId w:val="10"/>
        </w:numPr>
        <w:rPr>
          <w:rFonts w:ascii="Arial" w:cs="Arial" w:eastAsia="Arial" w:hAnsi="Arial"/>
          <w:sz w:val="18"/>
          <w:szCs w:val="18"/>
          <w:color w:val="auto"/>
        </w:rPr>
      </w:pPr>
      <w:r>
        <w:rPr>
          <w:rFonts w:ascii="Arial" w:cs="Arial" w:eastAsia="Arial" w:hAnsi="Arial"/>
          <w:sz w:val="18"/>
          <w:szCs w:val="18"/>
          <w:color w:val="auto"/>
        </w:rPr>
        <w:t>Warrants to purchase 233,334 shares of common stock are held by a family trust of Elwood G. Norris, the Company’s Chief Technology Officer. Mr. Norris exercised the 233,334 warrants in July 2020 for cash of $1,166,670.</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Subsequent to June 30, 2020 a total of 2,170,709 warrants, including those of Mr. Norris, were exercised for gross proceeds of $11,486,070.</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4" w:name="page15"/>
    <w:bookmarkEnd w:id="14"/>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Wrap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Interim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00" w:lineRule="exact"/>
        <w:rPr>
          <w:rFonts w:ascii="Arial" w:cs="Arial" w:eastAsia="Arial" w:hAnsi="Arial"/>
          <w:sz w:val="18"/>
          <w:szCs w:val="18"/>
          <w:b w:val="1"/>
          <w:bCs w:val="1"/>
          <w:color w:val="auto"/>
        </w:rPr>
      </w:pPr>
    </w:p>
    <w:p>
      <w:pPr>
        <w:spacing w:after="0" w:line="247" w:lineRule="exact"/>
        <w:rPr>
          <w:rFonts w:ascii="Arial" w:cs="Arial" w:eastAsia="Arial" w:hAnsi="Arial"/>
          <w:sz w:val="18"/>
          <w:szCs w:val="18"/>
          <w:b w:val="1"/>
          <w:bCs w:val="1"/>
          <w:color w:val="auto"/>
        </w:rPr>
      </w:pPr>
    </w:p>
    <w:p>
      <w:pPr>
        <w:jc w:val="both"/>
        <w:ind w:left="340"/>
        <w:spacing w:after="0" w:line="298" w:lineRule="auto"/>
        <w:rPr>
          <w:rFonts w:ascii="Arial" w:cs="Arial" w:eastAsia="Arial" w:hAnsi="Arial"/>
          <w:sz w:val="18"/>
          <w:szCs w:val="18"/>
          <w:b w:val="1"/>
          <w:bCs w:val="1"/>
          <w:color w:val="auto"/>
        </w:rPr>
      </w:pPr>
      <w:r>
        <w:rPr>
          <w:rFonts w:ascii="Arial" w:cs="Arial" w:eastAsia="Arial" w:hAnsi="Arial"/>
          <w:sz w:val="16"/>
          <w:szCs w:val="16"/>
          <w:color w:val="auto"/>
        </w:rPr>
        <w:t>On March 31, 2017, the Company adopted, and the stockholders approved the 2017 Stock Incentive Plan (the “</w:t>
      </w:r>
      <w:r>
        <w:rPr>
          <w:rFonts w:ascii="Arial" w:cs="Arial" w:eastAsia="Arial" w:hAnsi="Arial"/>
          <w:sz w:val="16"/>
          <w:szCs w:val="16"/>
          <w:i w:val="1"/>
          <w:iCs w:val="1"/>
          <w:color w:val="auto"/>
        </w:rPr>
        <w:t>Plan</w:t>
      </w:r>
      <w:r>
        <w:rPr>
          <w:rFonts w:ascii="Arial" w:cs="Arial" w:eastAsia="Arial" w:hAnsi="Arial"/>
          <w:sz w:val="16"/>
          <w:szCs w:val="16"/>
          <w:color w:val="auto"/>
        </w:rPr>
        <w:t>”) authorizing 2,000,000 shares of Company Common Stock for issuance as stock options and restricted stock units to employees, directors or consultants. In May 2019, the stockholders ratified an increase in the Plan authorizing an additional 2,100,000 shares of Common Stock and in June 2020 ratified a further authorization of 1,900,000 shares of Common Stock for a total of 6,000,000 shares subject to the Plan.</w:t>
      </w:r>
    </w:p>
    <w:p>
      <w:pPr>
        <w:spacing w:after="0" w:line="166" w:lineRule="exact"/>
        <w:rPr>
          <w:rFonts w:ascii="Arial" w:cs="Arial" w:eastAsia="Arial" w:hAnsi="Arial"/>
          <w:sz w:val="18"/>
          <w:szCs w:val="18"/>
          <w:b w:val="1"/>
          <w:bCs w:val="1"/>
          <w:color w:val="auto"/>
        </w:rPr>
      </w:pPr>
    </w:p>
    <w:p>
      <w:pPr>
        <w:ind w:left="340" w:right="2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Company generally recognizes stock-based compensation expense on the grant date and over the period of vesting or period that services will be provided.</w:t>
      </w:r>
    </w:p>
    <w:p>
      <w:pPr>
        <w:spacing w:after="0" w:line="18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u w:val="single" w:color="auto"/>
          <w:color w:val="auto"/>
        </w:rPr>
        <w:t>Stock Options</w:t>
      </w:r>
    </w:p>
    <w:p>
      <w:pPr>
        <w:spacing w:after="0" w:line="22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summarizes stock option activity for the six months ended June 30, 2020:</w:t>
      </w:r>
    </w:p>
    <w:p>
      <w:pPr>
        <w:spacing w:after="0" w:line="30" w:lineRule="exact"/>
        <w:rPr>
          <w:sz w:val="20"/>
          <w:szCs w:val="20"/>
          <w:color w:val="auto"/>
        </w:rPr>
      </w:pPr>
    </w:p>
    <w:tbl>
      <w:tblPr>
        <w:tblLayout w:type="fixed"/>
        <w:tblInd w:w="340" w:type="dxa"/>
        <w:tblCellMar>
          <w:top w:w="0" w:type="dxa"/>
          <w:left w:w="0" w:type="dxa"/>
          <w:bottom w:w="0" w:type="dxa"/>
          <w:right w:w="0" w:type="dxa"/>
        </w:tblCellMar>
      </w:tblPr>
      <w:tr>
        <w:trPr>
          <w:trHeight w:val="237"/>
        </w:trPr>
        <w:tc>
          <w:tcPr>
            <w:tcW w:w="58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4"/>
          </w:tcPr>
          <w:p>
            <w:pPr>
              <w:jc w:val="right"/>
              <w:ind w:right="392"/>
              <w:spacing w:after="0"/>
              <w:rPr>
                <w:sz w:val="20"/>
                <w:szCs w:val="20"/>
                <w:color w:val="auto"/>
              </w:rPr>
            </w:pPr>
            <w:r>
              <w:rPr>
                <w:rFonts w:ascii="Arial" w:cs="Arial" w:eastAsia="Arial" w:hAnsi="Arial"/>
                <w:sz w:val="18"/>
                <w:szCs w:val="18"/>
                <w:b w:val="1"/>
                <w:bCs w:val="1"/>
                <w:color w:val="auto"/>
              </w:rPr>
              <w:t>Weighted Average</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5820" w:type="dxa"/>
            <w:vAlign w:val="bottom"/>
          </w:tcPr>
          <w:p>
            <w:pPr>
              <w:spacing w:after="0"/>
              <w:rPr>
                <w:sz w:val="20"/>
                <w:szCs w:val="20"/>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6"/>
              </w:rPr>
              <w:t>Options on</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Remaining</w:t>
            </w:r>
          </w:p>
        </w:tc>
        <w:tc>
          <w:tcPr>
            <w:tcW w:w="100" w:type="dxa"/>
            <w:vAlign w:val="bottom"/>
          </w:tcPr>
          <w:p>
            <w:pPr>
              <w:spacing w:after="0"/>
              <w:rPr>
                <w:sz w:val="20"/>
                <w:szCs w:val="20"/>
                <w:color w:val="auto"/>
              </w:rPr>
            </w:pPr>
          </w:p>
        </w:tc>
        <w:tc>
          <w:tcPr>
            <w:tcW w:w="108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7"/>
              </w:rPr>
              <w:t>Aggregate</w:t>
            </w:r>
          </w:p>
        </w:tc>
        <w:tc>
          <w:tcPr>
            <w:tcW w:w="0" w:type="dxa"/>
            <w:vAlign w:val="bottom"/>
          </w:tcPr>
          <w:p>
            <w:pPr>
              <w:spacing w:after="0"/>
              <w:rPr>
                <w:sz w:val="1"/>
                <w:szCs w:val="1"/>
                <w:color w:val="auto"/>
              </w:rPr>
            </w:pPr>
          </w:p>
        </w:tc>
      </w:tr>
      <w:tr>
        <w:trPr>
          <w:trHeight w:val="243"/>
        </w:trPr>
        <w:tc>
          <w:tcPr>
            <w:tcW w:w="5820" w:type="dxa"/>
            <w:vAlign w:val="bottom"/>
          </w:tcPr>
          <w:p>
            <w:pPr>
              <w:spacing w:after="0"/>
              <w:rPr>
                <w:sz w:val="21"/>
                <w:szCs w:val="21"/>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Common</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Exercise</w:t>
            </w:r>
          </w:p>
        </w:tc>
        <w:tc>
          <w:tcPr>
            <w:tcW w:w="160" w:type="dxa"/>
            <w:vAlign w:val="bottom"/>
          </w:tcPr>
          <w:p>
            <w:pPr>
              <w:spacing w:after="0"/>
              <w:rPr>
                <w:sz w:val="21"/>
                <w:szCs w:val="21"/>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Contractual</w:t>
            </w:r>
          </w:p>
        </w:tc>
        <w:tc>
          <w:tcPr>
            <w:tcW w:w="100" w:type="dxa"/>
            <w:vAlign w:val="bottom"/>
          </w:tcPr>
          <w:p>
            <w:pPr>
              <w:spacing w:after="0"/>
              <w:rPr>
                <w:sz w:val="21"/>
                <w:szCs w:val="21"/>
                <w:color w:val="auto"/>
              </w:rPr>
            </w:pPr>
          </w:p>
        </w:tc>
        <w:tc>
          <w:tcPr>
            <w:tcW w:w="108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1"/>
              </w:rPr>
              <w:t>Intrinsic</w:t>
            </w:r>
          </w:p>
        </w:tc>
        <w:tc>
          <w:tcPr>
            <w:tcW w:w="0" w:type="dxa"/>
            <w:vAlign w:val="bottom"/>
          </w:tcPr>
          <w:p>
            <w:pPr>
              <w:spacing w:after="0"/>
              <w:rPr>
                <w:sz w:val="1"/>
                <w:szCs w:val="1"/>
                <w:color w:val="auto"/>
              </w:rPr>
            </w:pPr>
          </w:p>
        </w:tc>
      </w:tr>
      <w:tr>
        <w:trPr>
          <w:trHeight w:val="252"/>
        </w:trPr>
        <w:tc>
          <w:tcPr>
            <w:tcW w:w="5820" w:type="dxa"/>
            <w:vAlign w:val="bottom"/>
          </w:tcPr>
          <w:p>
            <w:pPr>
              <w:spacing w:after="0"/>
              <w:rPr>
                <w:sz w:val="21"/>
                <w:szCs w:val="21"/>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Shares</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center"/>
              <w:ind w:right="52"/>
              <w:spacing w:after="0"/>
              <w:rPr>
                <w:sz w:val="20"/>
                <w:szCs w:val="20"/>
                <w:color w:val="auto"/>
              </w:rPr>
            </w:pPr>
            <w:r>
              <w:rPr>
                <w:rFonts w:ascii="Arial" w:cs="Arial" w:eastAsia="Arial" w:hAnsi="Arial"/>
                <w:sz w:val="18"/>
                <w:szCs w:val="18"/>
                <w:b w:val="1"/>
                <w:bCs w:val="1"/>
                <w:color w:val="auto"/>
                <w:w w:val="90"/>
              </w:rPr>
              <w:t>Price</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Term</w:t>
            </w:r>
          </w:p>
        </w:tc>
        <w:tc>
          <w:tcPr>
            <w:tcW w:w="2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b w:val="1"/>
                <w:bCs w:val="1"/>
                <w:color w:val="auto"/>
                <w:w w:val="87"/>
              </w:rPr>
              <w:t>Value</w:t>
            </w:r>
          </w:p>
        </w:tc>
        <w:tc>
          <w:tcPr>
            <w:tcW w:w="16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Outstanding December 31, 2019</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2,928,750</w:t>
            </w:r>
          </w:p>
        </w:tc>
        <w:tc>
          <w:tcPr>
            <w:tcW w:w="180" w:type="dxa"/>
            <w:vAlign w:val="bottom"/>
            <w:tcBorders>
              <w:left w:val="single" w:sz="8" w:color="CCEEFF"/>
            </w:tcBorders>
            <w:shd w:val="clear" w:color="auto" w:fill="CCEEFF"/>
          </w:tcPr>
          <w:p>
            <w:pPr>
              <w:spacing w:after="0"/>
              <w:rPr>
                <w:sz w:val="21"/>
                <w:szCs w:val="21"/>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w:t>
            </w:r>
          </w:p>
        </w:tc>
        <w:tc>
          <w:tcPr>
            <w:tcW w:w="1480" w:type="dxa"/>
            <w:vAlign w:val="bottom"/>
            <w:tcBorders>
              <w:right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3.71</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820" w:type="dxa"/>
            <w:vAlign w:val="bottom"/>
          </w:tcPr>
          <w:p>
            <w:pPr>
              <w:ind w:left="320"/>
              <w:spacing w:after="0"/>
              <w:rPr>
                <w:sz w:val="20"/>
                <w:szCs w:val="20"/>
                <w:color w:val="auto"/>
              </w:rPr>
            </w:pPr>
            <w:r>
              <w:rPr>
                <w:rFonts w:ascii="Arial" w:cs="Arial" w:eastAsia="Arial" w:hAnsi="Arial"/>
                <w:sz w:val="18"/>
                <w:szCs w:val="18"/>
                <w:color w:val="auto"/>
              </w:rPr>
              <w:t>Granted</w:t>
            </w:r>
          </w:p>
        </w:tc>
        <w:tc>
          <w:tcPr>
            <w:tcW w:w="1020" w:type="dxa"/>
            <w:vAlign w:val="bottom"/>
          </w:tcPr>
          <w:p>
            <w:pPr>
              <w:jc w:val="right"/>
              <w:spacing w:after="0"/>
              <w:rPr>
                <w:sz w:val="20"/>
                <w:szCs w:val="20"/>
                <w:color w:val="auto"/>
              </w:rPr>
            </w:pPr>
            <w:r>
              <w:rPr>
                <w:rFonts w:ascii="Arial" w:cs="Arial" w:eastAsia="Arial" w:hAnsi="Arial"/>
                <w:sz w:val="18"/>
                <w:szCs w:val="18"/>
                <w:color w:val="auto"/>
              </w:rPr>
              <w:t>381,336</w:t>
            </w:r>
          </w:p>
        </w:tc>
        <w:tc>
          <w:tcPr>
            <w:tcW w:w="180" w:type="dxa"/>
            <w:vAlign w:val="bottom"/>
          </w:tcPr>
          <w:p>
            <w:pPr>
              <w:spacing w:after="0"/>
              <w:rPr>
                <w:sz w:val="21"/>
                <w:szCs w:val="21"/>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4.37</w:t>
            </w:r>
          </w:p>
        </w:tc>
        <w:tc>
          <w:tcPr>
            <w:tcW w:w="148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8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Exercised</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(293,250)</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w:t>
            </w:r>
          </w:p>
        </w:tc>
        <w:tc>
          <w:tcPr>
            <w:tcW w:w="1480" w:type="dxa"/>
            <w:vAlign w:val="bottom"/>
            <w:tcBorders>
              <w:right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820" w:type="dxa"/>
            <w:vAlign w:val="bottom"/>
          </w:tcPr>
          <w:p>
            <w:pPr>
              <w:ind w:left="320"/>
              <w:spacing w:after="0"/>
              <w:rPr>
                <w:sz w:val="20"/>
                <w:szCs w:val="20"/>
                <w:color w:val="auto"/>
              </w:rPr>
            </w:pPr>
            <w:r>
              <w:rPr>
                <w:rFonts w:ascii="Arial" w:cs="Arial" w:eastAsia="Arial" w:hAnsi="Arial"/>
                <w:sz w:val="18"/>
                <w:szCs w:val="18"/>
                <w:color w:val="auto"/>
              </w:rPr>
              <w:t>Forfeited, cancelled, expired</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(50,000)</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3.00</w:t>
            </w:r>
          </w:p>
        </w:tc>
        <w:tc>
          <w:tcPr>
            <w:tcW w:w="148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
        </w:trPr>
        <w:tc>
          <w:tcPr>
            <w:tcW w:w="582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Outstanding June 30, 2020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2,966,836</w:t>
            </w:r>
          </w:p>
        </w:tc>
        <w:tc>
          <w:tcPr>
            <w:tcW w:w="180" w:type="dxa"/>
            <w:vAlign w:val="bottom"/>
            <w:tcBorders>
              <w:left w:val="single" w:sz="8" w:color="CCEEFF"/>
            </w:tcBorders>
            <w:shd w:val="clear" w:color="auto" w:fill="CCEEFF"/>
          </w:tcPr>
          <w:p>
            <w:pPr>
              <w:spacing w:after="0"/>
              <w:rPr>
                <w:sz w:val="18"/>
                <w:szCs w:val="18"/>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w:t>
            </w:r>
          </w:p>
        </w:tc>
        <w:tc>
          <w:tcPr>
            <w:tcW w:w="1480" w:type="dxa"/>
            <w:vAlign w:val="bottom"/>
            <w:tcBorders>
              <w:right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4.08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21,409,000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820" w:type="dxa"/>
            <w:vAlign w:val="bottom"/>
            <w:shd w:val="clear" w:color="auto" w:fill="CCEEFF"/>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80" w:type="dxa"/>
            <w:vAlign w:val="bottom"/>
            <w:tcBorders>
              <w:left w:val="single" w:sz="8" w:color="CCEEFF"/>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8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Vested and exercisable at June 30, 2020</w:t>
            </w:r>
          </w:p>
        </w:tc>
        <w:tc>
          <w:tcPr>
            <w:tcW w:w="1020" w:type="dxa"/>
            <w:vAlign w:val="bottom"/>
          </w:tcPr>
          <w:p>
            <w:pPr>
              <w:jc w:val="right"/>
              <w:spacing w:after="0"/>
              <w:rPr>
                <w:sz w:val="20"/>
                <w:szCs w:val="20"/>
                <w:color w:val="auto"/>
              </w:rPr>
            </w:pPr>
            <w:r>
              <w:rPr>
                <w:rFonts w:ascii="Arial" w:cs="Arial" w:eastAsia="Arial" w:hAnsi="Arial"/>
                <w:sz w:val="18"/>
                <w:szCs w:val="18"/>
                <w:color w:val="auto"/>
              </w:rPr>
              <w:t>1,984,667</w:t>
            </w:r>
          </w:p>
        </w:tc>
        <w:tc>
          <w:tcPr>
            <w:tcW w:w="18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2.42</w:t>
            </w:r>
          </w:p>
        </w:tc>
        <w:tc>
          <w:tcPr>
            <w:tcW w:w="1480" w:type="dxa"/>
            <w:vAlign w:val="bottom"/>
            <w:gridSpan w:val="3"/>
          </w:tcPr>
          <w:p>
            <w:pPr>
              <w:jc w:val="right"/>
              <w:ind w:right="260"/>
              <w:spacing w:after="0"/>
              <w:rPr>
                <w:sz w:val="20"/>
                <w:szCs w:val="20"/>
                <w:color w:val="auto"/>
              </w:rPr>
            </w:pPr>
            <w:r>
              <w:rPr>
                <w:rFonts w:ascii="Arial" w:cs="Arial" w:eastAsia="Arial" w:hAnsi="Arial"/>
                <w:sz w:val="18"/>
                <w:szCs w:val="18"/>
                <w:color w:val="auto"/>
              </w:rPr>
              <w:t>3.09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15,999,867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80" w:type="dxa"/>
            <w:vAlign w:val="bottom"/>
            <w:tcBorders>
              <w:left w:val="single" w:sz="8" w:color="auto"/>
            </w:tcBorders>
            <w:gridSpan w:val="2"/>
          </w:tcPr>
          <w:p>
            <w:pPr>
              <w:spacing w:after="0"/>
              <w:rPr>
                <w:sz w:val="2"/>
                <w:szCs w:val="2"/>
                <w:color w:val="auto"/>
              </w:rPr>
            </w:pPr>
          </w:p>
        </w:tc>
        <w:tc>
          <w:tcPr>
            <w:tcW w:w="1040" w:type="dxa"/>
            <w:vAlign w:val="bottom"/>
            <w:gridSpan w:val="2"/>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646"/>
        </w:trPr>
        <w:tc>
          <w:tcPr>
            <w:tcW w:w="8260" w:type="dxa"/>
            <w:vAlign w:val="bottom"/>
            <w:gridSpan w:val="7"/>
          </w:tcPr>
          <w:p>
            <w:pPr>
              <w:spacing w:after="0"/>
              <w:rPr>
                <w:sz w:val="20"/>
                <w:szCs w:val="20"/>
                <w:color w:val="auto"/>
              </w:rPr>
            </w:pPr>
            <w:r>
              <w:rPr>
                <w:rFonts w:ascii="Arial" w:cs="Arial" w:eastAsia="Arial" w:hAnsi="Arial"/>
                <w:sz w:val="18"/>
                <w:szCs w:val="18"/>
                <w:color w:val="auto"/>
                <w:w w:val="94"/>
              </w:rPr>
              <w:t>The Company uses the Black-Scholes option pricing model to determine the fair value of the options granted.</w:t>
            </w: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58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w w:val="88"/>
              </w:rPr>
              <w:t>For the Six Months</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8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vMerge w:val="restart"/>
          </w:tcPr>
          <w:p>
            <w:pPr>
              <w:jc w:val="right"/>
              <w:ind w:right="20"/>
              <w:spacing w:after="0"/>
              <w:rPr>
                <w:sz w:val="20"/>
                <w:szCs w:val="20"/>
                <w:color w:val="auto"/>
              </w:rPr>
            </w:pPr>
            <w:r>
              <w:rPr>
                <w:rFonts w:ascii="Arial" w:cs="Arial" w:eastAsia="Arial" w:hAnsi="Arial"/>
                <w:sz w:val="18"/>
                <w:szCs w:val="18"/>
                <w:b w:val="1"/>
                <w:bCs w:val="1"/>
                <w:color w:val="auto"/>
              </w:rPr>
              <w:t>2020</w:t>
            </w:r>
          </w:p>
        </w:tc>
        <w:tc>
          <w:tcPr>
            <w:tcW w:w="148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8"/>
              </w:rPr>
              <w:t>Ended June 30,</w:t>
            </w:r>
          </w:p>
        </w:tc>
        <w:tc>
          <w:tcPr>
            <w:tcW w:w="100" w:type="dxa"/>
            <w:vAlign w:val="bottom"/>
          </w:tcPr>
          <w:p>
            <w:pPr>
              <w:spacing w:after="0"/>
              <w:rPr>
                <w:sz w:val="19"/>
                <w:szCs w:val="19"/>
                <w:color w:val="auto"/>
              </w:rPr>
            </w:pPr>
          </w:p>
        </w:tc>
        <w:tc>
          <w:tcPr>
            <w:tcW w:w="920" w:type="dxa"/>
            <w:vAlign w:val="bottom"/>
            <w:vMerge w:val="restart"/>
          </w:tcPr>
          <w:p>
            <w:pPr>
              <w:jc w:val="right"/>
              <w:ind w:right="472"/>
              <w:spacing w:after="0"/>
              <w:rPr>
                <w:sz w:val="20"/>
                <w:szCs w:val="20"/>
                <w:color w:val="auto"/>
              </w:rPr>
            </w:pPr>
            <w:r>
              <w:rPr>
                <w:rFonts w:ascii="Arial" w:cs="Arial" w:eastAsia="Arial" w:hAnsi="Arial"/>
                <w:sz w:val="18"/>
                <w:szCs w:val="18"/>
                <w:b w:val="1"/>
                <w:bCs w:val="1"/>
                <w:color w:val="auto"/>
                <w:w w:val="84"/>
              </w:rPr>
              <w:t>2019</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8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Expected stock price volatility</w:t>
            </w:r>
          </w:p>
        </w:tc>
        <w:tc>
          <w:tcPr>
            <w:tcW w:w="102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rPr>
              <w:t>45%</w:t>
            </w:r>
          </w:p>
        </w:tc>
        <w:tc>
          <w:tcPr>
            <w:tcW w:w="2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220"/>
              <w:spacing w:after="0"/>
              <w:rPr>
                <w:sz w:val="20"/>
                <w:szCs w:val="20"/>
                <w:color w:val="auto"/>
              </w:rPr>
            </w:pPr>
            <w:r>
              <w:rPr>
                <w:rFonts w:ascii="Arial" w:cs="Arial" w:eastAsia="Arial" w:hAnsi="Arial"/>
                <w:sz w:val="18"/>
                <w:szCs w:val="18"/>
                <w:color w:val="auto"/>
              </w:rPr>
              <w:t>Risk-free interest rate</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312"/>
              <w:spacing w:after="0"/>
              <w:rPr>
                <w:sz w:val="20"/>
                <w:szCs w:val="20"/>
                <w:color w:val="auto"/>
              </w:rPr>
            </w:pPr>
            <w:r>
              <w:rPr>
                <w:rFonts w:ascii="Arial" w:cs="Arial" w:eastAsia="Arial" w:hAnsi="Arial"/>
                <w:sz w:val="18"/>
                <w:szCs w:val="18"/>
                <w:color w:val="auto"/>
              </w:rPr>
              <w:t>0.42%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Forfeiture rate</w:t>
            </w:r>
          </w:p>
        </w:tc>
        <w:tc>
          <w:tcPr>
            <w:tcW w:w="102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rPr>
              <w:t>0%</w:t>
            </w:r>
          </w:p>
        </w:tc>
        <w:tc>
          <w:tcPr>
            <w:tcW w:w="2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220"/>
              <w:spacing w:after="0"/>
              <w:rPr>
                <w:sz w:val="20"/>
                <w:szCs w:val="20"/>
                <w:color w:val="auto"/>
              </w:rPr>
            </w:pPr>
            <w:r>
              <w:rPr>
                <w:rFonts w:ascii="Arial" w:cs="Arial" w:eastAsia="Arial" w:hAnsi="Arial"/>
                <w:sz w:val="18"/>
                <w:szCs w:val="18"/>
                <w:color w:val="auto"/>
              </w:rPr>
              <w:t>Expected dividend yield</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312"/>
              <w:spacing w:after="0"/>
              <w:rPr>
                <w:sz w:val="20"/>
                <w:szCs w:val="20"/>
                <w:color w:val="auto"/>
              </w:rPr>
            </w:pPr>
            <w:r>
              <w:rPr>
                <w:rFonts w:ascii="Arial" w:cs="Arial" w:eastAsia="Arial" w:hAnsi="Arial"/>
                <w:sz w:val="18"/>
                <w:szCs w:val="18"/>
                <w:color w:val="auto"/>
              </w:rPr>
              <w:t>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Expected life of options - years</w:t>
            </w:r>
          </w:p>
        </w:tc>
        <w:tc>
          <w:tcPr>
            <w:tcW w:w="102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rPr>
              <w:t>6.03</w:t>
            </w:r>
          </w:p>
        </w:tc>
        <w:tc>
          <w:tcPr>
            <w:tcW w:w="2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Weighted-average fair value of options granted</w:t>
            </w:r>
          </w:p>
        </w:tc>
        <w:tc>
          <w:tcPr>
            <w:tcW w:w="10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ind w:right="312"/>
              <w:spacing w:after="0"/>
              <w:rPr>
                <w:sz w:val="20"/>
                <w:szCs w:val="20"/>
                <w:color w:val="auto"/>
              </w:rPr>
            </w:pPr>
            <w:r>
              <w:rPr>
                <w:rFonts w:ascii="Arial" w:cs="Arial" w:eastAsia="Arial" w:hAnsi="Arial"/>
                <w:sz w:val="18"/>
                <w:szCs w:val="18"/>
                <w:color w:val="auto"/>
              </w:rPr>
              <w:t>$1.86</w:t>
            </w:r>
          </w:p>
        </w:tc>
        <w:tc>
          <w:tcPr>
            <w:tcW w:w="2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$2.06</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both"/>
        <w:ind w:left="340"/>
        <w:spacing w:after="0" w:line="298" w:lineRule="auto"/>
        <w:rPr>
          <w:sz w:val="20"/>
          <w:szCs w:val="20"/>
          <w:color w:val="auto"/>
        </w:rPr>
      </w:pPr>
      <w:r>
        <w:rPr>
          <w:rFonts w:ascii="Arial" w:cs="Arial" w:eastAsia="Arial" w:hAnsi="Arial"/>
          <w:sz w:val="16"/>
          <w:szCs w:val="16"/>
          <w:color w:val="auto"/>
        </w:rPr>
        <w:t>Estimated volatility is a measure of the amount by which the Company’s stock price is expected to fluctuate each year during the expected life of awards. The Company’s estimated volatility was based on an average of the historical volatility of peer entities whose stock prices were publicly available. The Company’s calculation of estimated volatility is based on historical stock prices of these peer entities over a period equal to the expected life of the awards. The Company uses the historical volatility of peer entities due to the lack of sufficient historical data of its stock price.</w:t>
      </w:r>
    </w:p>
    <w:p>
      <w:pPr>
        <w:spacing w:after="0" w:line="166" w:lineRule="exact"/>
        <w:rPr>
          <w:sz w:val="20"/>
          <w:szCs w:val="20"/>
          <w:color w:val="auto"/>
        </w:rPr>
      </w:pPr>
    </w:p>
    <w:p>
      <w:pPr>
        <w:jc w:val="both"/>
        <w:ind w:left="340"/>
        <w:spacing w:after="0" w:line="256" w:lineRule="auto"/>
        <w:rPr>
          <w:sz w:val="20"/>
          <w:szCs w:val="20"/>
          <w:color w:val="auto"/>
        </w:rPr>
      </w:pPr>
      <w:r>
        <w:rPr>
          <w:rFonts w:ascii="Arial" w:cs="Arial" w:eastAsia="Arial" w:hAnsi="Arial"/>
          <w:sz w:val="18"/>
          <w:szCs w:val="18"/>
          <w:color w:val="auto"/>
        </w:rPr>
        <w:t>The risk-free interest rate assumption is based upon observed interest rates on zero coupon U.S. Treasury bonds whose maturity period is appropriate for the term of the options. The dividend yield of zero is based on the fact that the Company has never paid cash dividends and has no present intention to pay cash dividends. The Company calculates the expected life of the options using the Simplified Method for the employee stock options as the Company does not have sufficient historical data.</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Restricted Stock Units</w:t>
      </w:r>
    </w:p>
    <w:p>
      <w:pPr>
        <w:spacing w:after="0" w:line="225" w:lineRule="exact"/>
        <w:rPr>
          <w:sz w:val="20"/>
          <w:szCs w:val="20"/>
          <w:color w:val="auto"/>
        </w:rPr>
      </w:pPr>
    </w:p>
    <w:p>
      <w:pPr>
        <w:jc w:val="both"/>
        <w:ind w:left="340"/>
        <w:spacing w:after="0" w:line="256" w:lineRule="auto"/>
        <w:rPr>
          <w:sz w:val="20"/>
          <w:szCs w:val="20"/>
          <w:color w:val="auto"/>
        </w:rPr>
      </w:pPr>
      <w:r>
        <w:rPr>
          <w:rFonts w:ascii="Arial" w:cs="Arial" w:eastAsia="Arial" w:hAnsi="Arial"/>
          <w:sz w:val="18"/>
          <w:szCs w:val="18"/>
          <w:color w:val="auto"/>
        </w:rPr>
        <w:t>The Plan provides for the grant of restricted stock units (</w:t>
      </w:r>
      <w:r>
        <w:rPr>
          <w:rFonts w:ascii="Arial" w:cs="Arial" w:eastAsia="Arial" w:hAnsi="Arial"/>
          <w:sz w:val="18"/>
          <w:szCs w:val="18"/>
          <w:i w:val="1"/>
          <w:iCs w:val="1"/>
          <w:color w:val="auto"/>
        </w:rPr>
        <w:t>RSUs</w:t>
      </w:r>
      <w:r>
        <w:rPr>
          <w:rFonts w:ascii="Arial" w:cs="Arial" w:eastAsia="Arial" w:hAnsi="Arial"/>
          <w:sz w:val="18"/>
          <w:szCs w:val="18"/>
          <w:color w:val="auto"/>
        </w:rPr>
        <w:t>). On January 16, 2020 the Company granted 73,392 of service based RSUs to officers and directors vesting over three years that convert to Common Stock as vesting occurs. On April 1, 2020 the Company granted 122,222 of service based RSUs to employees vesting over three years that convert to Common Stock as vesting occurs. Also, on April 1, 2020 the Company granted an officer 35,211 of performance based RSUs.</w:t>
      </w:r>
    </w:p>
    <w:p>
      <w:pPr>
        <w:sectPr>
          <w:pgSz w:w="11900" w:h="16838" w:orient="portrait"/>
          <w:cols w:equalWidth="0" w:num="1">
            <w:col w:w="11240"/>
          </w:cols>
          <w:pgMar w:left="320" w:top="131" w:right="339"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type w:val="continuous"/>
        </w:sectPr>
      </w:pPr>
    </w:p>
    <w:bookmarkStart w:id="15" w:name="page16"/>
    <w:bookmarkEnd w:id="15"/>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Wrap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Interim Financial Statements</w:t>
      </w:r>
    </w:p>
    <w:p>
      <w:pPr>
        <w:spacing w:after="0" w:line="219" w:lineRule="exact"/>
        <w:rPr>
          <w:sz w:val="20"/>
          <w:szCs w:val="20"/>
          <w:color w:val="auto"/>
        </w:rPr>
      </w:pPr>
    </w:p>
    <w:tbl>
      <w:tblPr>
        <w:tblLayout w:type="fixed"/>
        <w:tblInd w:w="340" w:type="dxa"/>
        <w:tblCellMar>
          <w:top w:w="0" w:type="dxa"/>
          <w:left w:w="0" w:type="dxa"/>
          <w:bottom w:w="0" w:type="dxa"/>
          <w:right w:w="0" w:type="dxa"/>
        </w:tblCellMar>
      </w:tblPr>
      <w:tr>
        <w:trPr>
          <w:trHeight w:val="222"/>
        </w:trPr>
        <w:tc>
          <w:tcPr>
            <w:tcW w:w="7240" w:type="dxa"/>
            <w:vAlign w:val="bottom"/>
            <w:gridSpan w:val="2"/>
          </w:tcPr>
          <w:p>
            <w:pPr>
              <w:spacing w:after="0"/>
              <w:rPr>
                <w:sz w:val="20"/>
                <w:szCs w:val="20"/>
                <w:color w:val="auto"/>
              </w:rPr>
            </w:pPr>
            <w:r>
              <w:rPr>
                <w:rFonts w:ascii="Arial" w:cs="Arial" w:eastAsia="Arial" w:hAnsi="Arial"/>
                <w:sz w:val="18"/>
                <w:szCs w:val="18"/>
                <w:color w:val="auto"/>
                <w:w w:val="89"/>
              </w:rPr>
              <w:t>The following table summarizes RSU activity under the Plan for the six months ended June 30, 2020:</w:t>
            </w: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0"/>
        </w:trPr>
        <w:tc>
          <w:tcPr>
            <w:tcW w:w="7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Weighted</w:t>
            </w: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7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vMerge w:val="restart"/>
          </w:tcPr>
          <w:p>
            <w:pPr>
              <w:jc w:val="center"/>
              <w:ind w:right="280"/>
              <w:spacing w:after="0"/>
              <w:rPr>
                <w:sz w:val="20"/>
                <w:szCs w:val="20"/>
                <w:color w:val="auto"/>
              </w:rPr>
            </w:pPr>
            <w:r>
              <w:rPr>
                <w:rFonts w:ascii="Arial" w:cs="Arial" w:eastAsia="Arial" w:hAnsi="Arial"/>
                <w:sz w:val="18"/>
                <w:szCs w:val="18"/>
                <w:b w:val="1"/>
                <w:bCs w:val="1"/>
                <w:color w:val="auto"/>
                <w:w w:val="85"/>
              </w:rPr>
              <w:t>Service-</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Average</w:t>
            </w: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7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1"/>
              </w:rPr>
              <w:t>Based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Grant Date</w:t>
            </w:r>
          </w:p>
        </w:tc>
        <w:tc>
          <w:tcPr>
            <w:tcW w:w="11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2"/>
              </w:rPr>
              <w:t>Vesting</w:t>
            </w:r>
          </w:p>
        </w:tc>
        <w:tc>
          <w:tcPr>
            <w:tcW w:w="0" w:type="dxa"/>
            <w:vAlign w:val="bottom"/>
          </w:tcPr>
          <w:p>
            <w:pPr>
              <w:spacing w:after="0"/>
              <w:rPr>
                <w:sz w:val="1"/>
                <w:szCs w:val="1"/>
                <w:color w:val="auto"/>
              </w:rPr>
            </w:pPr>
          </w:p>
        </w:tc>
      </w:tr>
      <w:tr>
        <w:trPr>
          <w:trHeight w:val="264"/>
        </w:trPr>
        <w:tc>
          <w:tcPr>
            <w:tcW w:w="7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b w:val="1"/>
                <w:bCs w:val="1"/>
                <w:color w:val="auto"/>
                <w:w w:val="91"/>
              </w:rPr>
              <w:t>RSU's</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Fair Value</w:t>
            </w:r>
          </w:p>
        </w:tc>
        <w:tc>
          <w:tcPr>
            <w:tcW w:w="280" w:type="dxa"/>
            <w:vAlign w:val="bottom"/>
          </w:tcPr>
          <w:p>
            <w:pPr>
              <w:spacing w:after="0"/>
              <w:rPr>
                <w:sz w:val="22"/>
                <w:szCs w:val="22"/>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Period</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Unvested at January 1, 2020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308,087</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6.77</w:t>
            </w: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gridSpan w:val="2"/>
          </w:tcPr>
          <w:p>
            <w:pPr>
              <w:ind w:left="80"/>
              <w:spacing w:after="0"/>
              <w:rPr>
                <w:sz w:val="20"/>
                <w:szCs w:val="20"/>
                <w:color w:val="auto"/>
              </w:rPr>
            </w:pPr>
            <w:r>
              <w:rPr>
                <w:rFonts w:ascii="Arial" w:cs="Arial" w:eastAsia="Arial" w:hAnsi="Arial"/>
                <w:sz w:val="18"/>
                <w:szCs w:val="18"/>
                <w:color w:val="auto"/>
              </w:rPr>
              <w:t>Granted - service based</w:t>
            </w:r>
          </w:p>
        </w:tc>
        <w:tc>
          <w:tcPr>
            <w:tcW w:w="920" w:type="dxa"/>
            <w:vAlign w:val="bottom"/>
          </w:tcPr>
          <w:p>
            <w:pPr>
              <w:jc w:val="right"/>
              <w:spacing w:after="0"/>
              <w:rPr>
                <w:sz w:val="20"/>
                <w:szCs w:val="20"/>
                <w:color w:val="auto"/>
              </w:rPr>
            </w:pPr>
            <w:r>
              <w:rPr>
                <w:rFonts w:ascii="Arial" w:cs="Arial" w:eastAsia="Arial" w:hAnsi="Arial"/>
                <w:sz w:val="18"/>
                <w:szCs w:val="18"/>
                <w:color w:val="auto"/>
              </w:rPr>
              <w:t>196,214</w:t>
            </w:r>
          </w:p>
        </w:tc>
        <w:tc>
          <w:tcPr>
            <w:tcW w:w="1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4.72</w:t>
            </w:r>
          </w:p>
        </w:tc>
        <w:tc>
          <w:tcPr>
            <w:tcW w:w="1160" w:type="dxa"/>
            <w:vAlign w:val="bottom"/>
            <w:gridSpan w:val="2"/>
          </w:tcPr>
          <w:p>
            <w:pPr>
              <w:jc w:val="center"/>
              <w:ind w:right="120"/>
              <w:spacing w:after="0"/>
              <w:rPr>
                <w:sz w:val="20"/>
                <w:szCs w:val="20"/>
                <w:color w:val="auto"/>
              </w:rPr>
            </w:pPr>
            <w:r>
              <w:rPr>
                <w:rFonts w:ascii="Arial" w:cs="Arial" w:eastAsia="Arial" w:hAnsi="Arial"/>
                <w:sz w:val="18"/>
                <w:szCs w:val="18"/>
                <w:color w:val="auto"/>
                <w:w w:val="83"/>
              </w:rPr>
              <w:t>3 Years</w:t>
            </w:r>
          </w:p>
        </w:tc>
        <w:tc>
          <w:tcPr>
            <w:tcW w:w="0" w:type="dxa"/>
            <w:vAlign w:val="bottom"/>
          </w:tcPr>
          <w:p>
            <w:pPr>
              <w:spacing w:after="0"/>
              <w:rPr>
                <w:sz w:val="1"/>
                <w:szCs w:val="1"/>
                <w:color w:val="auto"/>
              </w:rPr>
            </w:pPr>
          </w:p>
        </w:tc>
      </w:tr>
      <w:tr>
        <w:trPr>
          <w:trHeight w:val="216"/>
        </w:trPr>
        <w:tc>
          <w:tcPr>
            <w:tcW w:w="7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Granted - performance based</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35,211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4.72</w:t>
            </w: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gridSpan w:val="2"/>
          </w:tcPr>
          <w:p>
            <w:pPr>
              <w:ind w:left="80"/>
              <w:spacing w:after="0"/>
              <w:rPr>
                <w:sz w:val="20"/>
                <w:szCs w:val="20"/>
                <w:color w:val="auto"/>
              </w:rPr>
            </w:pPr>
            <w:r>
              <w:rPr>
                <w:rFonts w:ascii="Arial" w:cs="Arial" w:eastAsia="Arial" w:hAnsi="Arial"/>
                <w:sz w:val="18"/>
                <w:szCs w:val="18"/>
                <w:color w:val="auto"/>
              </w:rPr>
              <w:t>Vested</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(86,558)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7.24</w:t>
            </w: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120" w:type="dxa"/>
            <w:vAlign w:val="bottom"/>
            <w:shd w:val="clear" w:color="auto" w:fill="CCEEFF"/>
          </w:tcPr>
          <w:p>
            <w:pPr>
              <w:ind w:left="80"/>
              <w:spacing w:after="0"/>
              <w:rPr>
                <w:sz w:val="20"/>
                <w:szCs w:val="20"/>
                <w:color w:val="auto"/>
              </w:rPr>
            </w:pPr>
            <w:r>
              <w:rPr>
                <w:rFonts w:ascii="Arial" w:cs="Arial" w:eastAsia="Arial" w:hAnsi="Arial"/>
                <w:sz w:val="18"/>
                <w:szCs w:val="18"/>
                <w:color w:val="auto"/>
              </w:rPr>
              <w:t>Forfeited and cancelled</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(3,416)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7.24</w:t>
            </w: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1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Unvested at June 30, 2020</w:t>
            </w:r>
          </w:p>
        </w:tc>
        <w:tc>
          <w:tcPr>
            <w:tcW w:w="1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449,538</w:t>
            </w:r>
          </w:p>
        </w:tc>
        <w:tc>
          <w:tcPr>
            <w:tcW w:w="1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CCEEFF"/>
            </w:tcBorders>
            <w:gridSpan w:val="2"/>
          </w:tcPr>
          <w:p>
            <w:pPr>
              <w:jc w:val="right"/>
              <w:ind w:right="260"/>
              <w:spacing w:after="0"/>
              <w:rPr>
                <w:sz w:val="20"/>
                <w:szCs w:val="20"/>
                <w:color w:val="auto"/>
              </w:rPr>
            </w:pPr>
            <w:r>
              <w:rPr>
                <w:rFonts w:ascii="Arial" w:cs="Arial" w:eastAsia="Arial" w:hAnsi="Arial"/>
                <w:sz w:val="18"/>
                <w:szCs w:val="18"/>
                <w:color w:val="auto"/>
              </w:rPr>
              <w:t>5.62</w:t>
            </w:r>
          </w:p>
        </w:tc>
        <w:tc>
          <w:tcPr>
            <w:tcW w:w="10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Company recorded stock-based compensation for options and RSUs in its statements of operations for the relevant periods as follows:</w:t>
      </w:r>
    </w:p>
    <w:p>
      <w:pPr>
        <w:spacing w:after="0" w:line="269" w:lineRule="exact"/>
        <w:rPr>
          <w:sz w:val="20"/>
          <w:szCs w:val="20"/>
          <w:color w:val="auto"/>
        </w:rPr>
      </w:pPr>
    </w:p>
    <w:tbl>
      <w:tblPr>
        <w:tblLayout w:type="fixed"/>
        <w:tblInd w:w="340" w:type="dxa"/>
        <w:tblCellMar>
          <w:top w:w="0" w:type="dxa"/>
          <w:left w:w="0" w:type="dxa"/>
          <w:bottom w:w="0" w:type="dxa"/>
          <w:right w:w="0" w:type="dxa"/>
        </w:tblCellMar>
      </w:tblPr>
      <w:tr>
        <w:trPr>
          <w:trHeight w:val="228"/>
        </w:trPr>
        <w:tc>
          <w:tcPr>
            <w:tcW w:w="41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80" w:type="dxa"/>
            <w:vAlign w:val="bottom"/>
            <w:gridSpan w:val="6"/>
          </w:tcPr>
          <w:p>
            <w:pPr>
              <w:ind w:left="140"/>
              <w:spacing w:after="0"/>
              <w:rPr>
                <w:sz w:val="20"/>
                <w:szCs w:val="20"/>
                <w:color w:val="auto"/>
              </w:rPr>
            </w:pPr>
            <w:r>
              <w:rPr>
                <w:rFonts w:ascii="Arial" w:cs="Arial" w:eastAsia="Arial" w:hAnsi="Arial"/>
                <w:sz w:val="18"/>
                <w:szCs w:val="18"/>
                <w:b w:val="1"/>
                <w:bCs w:val="1"/>
                <w:color w:val="auto"/>
              </w:rPr>
              <w:t>For the Three Months</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60" w:type="dxa"/>
            <w:vAlign w:val="bottom"/>
            <w:gridSpan w:val="6"/>
          </w:tcPr>
          <w:p>
            <w:pPr>
              <w:jc w:val="right"/>
              <w:ind w:right="580"/>
              <w:spacing w:after="0"/>
              <w:rPr>
                <w:sz w:val="20"/>
                <w:szCs w:val="20"/>
                <w:color w:val="auto"/>
              </w:rPr>
            </w:pPr>
            <w:r>
              <w:rPr>
                <w:rFonts w:ascii="Arial" w:cs="Arial" w:eastAsia="Arial" w:hAnsi="Arial"/>
                <w:sz w:val="18"/>
                <w:szCs w:val="18"/>
                <w:b w:val="1"/>
                <w:bCs w:val="1"/>
                <w:color w:val="auto"/>
              </w:rPr>
              <w:t>For the Six Months</w:t>
            </w:r>
          </w:p>
        </w:tc>
      </w:tr>
      <w:tr>
        <w:trPr>
          <w:trHeight w:val="243"/>
        </w:trPr>
        <w:tc>
          <w:tcPr>
            <w:tcW w:w="41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80" w:type="dxa"/>
            <w:vAlign w:val="bottom"/>
            <w:gridSpan w:val="6"/>
          </w:tcPr>
          <w:p>
            <w:pPr>
              <w:jc w:val="right"/>
              <w:ind w:right="740"/>
              <w:spacing w:after="0"/>
              <w:rPr>
                <w:sz w:val="20"/>
                <w:szCs w:val="20"/>
                <w:color w:val="auto"/>
              </w:rPr>
            </w:pPr>
            <w:r>
              <w:rPr>
                <w:rFonts w:ascii="Arial" w:cs="Arial" w:eastAsia="Arial" w:hAnsi="Arial"/>
                <w:sz w:val="18"/>
                <w:szCs w:val="18"/>
                <w:b w:val="1"/>
                <w:bCs w:val="1"/>
                <w:color w:val="auto"/>
              </w:rPr>
              <w:t>Ended June 30,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60" w:type="dxa"/>
            <w:vAlign w:val="bottom"/>
            <w:gridSpan w:val="6"/>
          </w:tcPr>
          <w:p>
            <w:pPr>
              <w:jc w:val="right"/>
              <w:ind w:right="720"/>
              <w:spacing w:after="0"/>
              <w:rPr>
                <w:sz w:val="20"/>
                <w:szCs w:val="20"/>
                <w:color w:val="auto"/>
              </w:rPr>
            </w:pPr>
            <w:r>
              <w:rPr>
                <w:rFonts w:ascii="Arial" w:cs="Arial" w:eastAsia="Arial" w:hAnsi="Arial"/>
                <w:sz w:val="18"/>
                <w:szCs w:val="18"/>
                <w:b w:val="1"/>
                <w:bCs w:val="1"/>
                <w:color w:val="auto"/>
              </w:rPr>
              <w:t>Ended June 30,</w:t>
            </w:r>
          </w:p>
        </w:tc>
      </w:tr>
      <w:tr>
        <w:trPr>
          <w:trHeight w:val="252"/>
        </w:trPr>
        <w:tc>
          <w:tcPr>
            <w:tcW w:w="41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21"/>
                <w:szCs w:val="2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496,036</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345,217</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925,134</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548,417</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52,953</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28,634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91,101</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52,481</w:t>
            </w:r>
          </w:p>
        </w:tc>
      </w:tr>
      <w:tr>
        <w:trPr>
          <w:trHeight w:val="27"/>
        </w:trPr>
        <w:tc>
          <w:tcPr>
            <w:tcW w:w="4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Total stock-based expense</w:t>
            </w:r>
          </w:p>
        </w:tc>
        <w:tc>
          <w:tcPr>
            <w:tcW w:w="1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548,989</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373,851</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1,016,235</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600,898</w:t>
            </w:r>
          </w:p>
        </w:tc>
      </w:tr>
      <w:tr>
        <w:trPr>
          <w:trHeight w:val="20"/>
        </w:trPr>
        <w:tc>
          <w:tcPr>
            <w:tcW w:w="412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8" w:lineRule="exact"/>
        <w:rPr>
          <w:sz w:val="20"/>
          <w:szCs w:val="20"/>
          <w:color w:val="auto"/>
        </w:rPr>
      </w:pPr>
    </w:p>
    <w:p>
      <w:pPr>
        <w:jc w:val="both"/>
        <w:ind w:left="340"/>
        <w:spacing w:after="0" w:line="268" w:lineRule="auto"/>
        <w:rPr>
          <w:sz w:val="20"/>
          <w:szCs w:val="20"/>
          <w:color w:val="auto"/>
        </w:rPr>
      </w:pPr>
      <w:r>
        <w:rPr>
          <w:rFonts w:ascii="Arial" w:cs="Arial" w:eastAsia="Arial" w:hAnsi="Arial"/>
          <w:sz w:val="18"/>
          <w:szCs w:val="18"/>
          <w:color w:val="auto"/>
        </w:rPr>
        <w:t>As of June 30, 2020, total estimated compensation cost of stock options and RSUs granted but not yet vested was $4.0 million which is expected to be recognized over the weighted average period of 2.1 years.</w:t>
      </w:r>
    </w:p>
    <w:p>
      <w:pPr>
        <w:spacing w:after="0" w:line="180"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31" w:lineRule="exact"/>
        <w:rPr>
          <w:rFonts w:ascii="Arial" w:cs="Arial" w:eastAsia="Arial" w:hAnsi="Arial"/>
          <w:sz w:val="18"/>
          <w:szCs w:val="18"/>
          <w:b w:val="1"/>
          <w:bCs w:val="1"/>
          <w:color w:val="auto"/>
        </w:rPr>
      </w:pPr>
    </w:p>
    <w:p>
      <w:pPr>
        <w:ind w:left="340" w:right="9840"/>
        <w:spacing w:after="0" w:line="331" w:lineRule="auto"/>
        <w:rPr>
          <w:rFonts w:ascii="Arial" w:cs="Arial" w:eastAsia="Arial" w:hAnsi="Arial"/>
          <w:sz w:val="18"/>
          <w:szCs w:val="18"/>
          <w:b w:val="1"/>
          <w:bCs w:val="1"/>
          <w:color w:val="auto"/>
        </w:rPr>
      </w:pPr>
      <w:r>
        <w:rPr>
          <w:rFonts w:ascii="Arial" w:cs="Arial" w:eastAsia="Arial" w:hAnsi="Arial"/>
          <w:sz w:val="16"/>
          <w:szCs w:val="16"/>
          <w:i w:val="1"/>
          <w:iCs w:val="1"/>
          <w:color w:val="auto"/>
        </w:rPr>
        <w:t xml:space="preserve">Facility Leases </w:t>
      </w:r>
      <w:r>
        <w:rPr>
          <w:rFonts w:ascii="Arial" w:cs="Arial" w:eastAsia="Arial" w:hAnsi="Arial"/>
          <w:sz w:val="16"/>
          <w:szCs w:val="16"/>
          <w:color w:val="auto"/>
        </w:rPr>
        <w:t>See Note 7.</w:t>
      </w:r>
    </w:p>
    <w:p>
      <w:pPr>
        <w:spacing w:after="0" w:line="140"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Related Party Technology License Agreement</w:t>
      </w:r>
    </w:p>
    <w:p>
      <w:pPr>
        <w:spacing w:after="0" w:line="15" w:lineRule="exact"/>
        <w:rPr>
          <w:rFonts w:ascii="Arial" w:cs="Arial" w:eastAsia="Arial" w:hAnsi="Arial"/>
          <w:sz w:val="18"/>
          <w:szCs w:val="18"/>
          <w:b w:val="1"/>
          <w:bCs w:val="1"/>
          <w:color w:val="auto"/>
        </w:rPr>
      </w:pPr>
    </w:p>
    <w:p>
      <w:pPr>
        <w:jc w:val="both"/>
        <w:ind w:left="340"/>
        <w:spacing w:after="0" w:line="290" w:lineRule="auto"/>
        <w:rPr>
          <w:rFonts w:ascii="Arial" w:cs="Arial" w:eastAsia="Arial" w:hAnsi="Arial"/>
          <w:sz w:val="18"/>
          <w:szCs w:val="18"/>
          <w:b w:val="1"/>
          <w:bCs w:val="1"/>
          <w:color w:val="auto"/>
        </w:rPr>
      </w:pPr>
      <w:r>
        <w:rPr>
          <w:rFonts w:ascii="Arial" w:cs="Arial" w:eastAsia="Arial" w:hAnsi="Arial"/>
          <w:sz w:val="16"/>
          <w:szCs w:val="16"/>
          <w:color w:val="auto"/>
        </w:rPr>
        <w:t>The Company is obligated to pay royalties and pay development and patent costs pursuant to an exclusive Amended and Restated Intellectual Property License Agreement dated as of September 30, 2016 with Syzygy, a company owned and controlled by stockholders/officers Mr. Elwood Norris and Mr. James Barnes, both of whom are stockholders and officers of the Company. The agreement provides for royalty payments of 4% of revenue from products employing the licensed ensnarement device technology up to an aggregate of $1,000,000 in royalties or until September 30, 2026, whichever occurs earlier. The Company recorded $28,481 and $53,467 for royalties incurred during the three and six months ended June 30, 2020 and $2,231 and $6,719 incurred for the three and six months ended June 30, 2019, respectively</w:t>
      </w:r>
    </w:p>
    <w:p>
      <w:pPr>
        <w:spacing w:after="0" w:line="171"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Purchase Commitments</w:t>
      </w:r>
    </w:p>
    <w:p>
      <w:pPr>
        <w:spacing w:after="0" w:line="15" w:lineRule="exact"/>
        <w:rPr>
          <w:rFonts w:ascii="Arial" w:cs="Arial" w:eastAsia="Arial" w:hAnsi="Arial"/>
          <w:sz w:val="18"/>
          <w:szCs w:val="18"/>
          <w:b w:val="1"/>
          <w:bCs w:val="1"/>
          <w:color w:val="auto"/>
        </w:rPr>
      </w:pPr>
    </w:p>
    <w:p>
      <w:pPr>
        <w:ind w:left="340"/>
        <w:spacing w:after="0" w:line="260" w:lineRule="auto"/>
        <w:rPr>
          <w:rFonts w:ascii="Arial" w:cs="Arial" w:eastAsia="Arial" w:hAnsi="Arial"/>
          <w:sz w:val="18"/>
          <w:szCs w:val="18"/>
          <w:b w:val="1"/>
          <w:bCs w:val="1"/>
          <w:color w:val="auto"/>
        </w:rPr>
      </w:pPr>
      <w:r>
        <w:rPr>
          <w:rFonts w:ascii="Arial" w:cs="Arial" w:eastAsia="Arial" w:hAnsi="Arial"/>
          <w:sz w:val="18"/>
          <w:szCs w:val="18"/>
          <w:color w:val="auto"/>
        </w:rPr>
        <w:t>At June 30, 2020 the Company was committed for approximately $1.7 million for future component deliveries and contract services that are generally subject to modification or rescheduling in the normal course of business.</w:t>
      </w:r>
    </w:p>
    <w:p>
      <w:pPr>
        <w:spacing w:after="0" w:line="187" w:lineRule="exact"/>
        <w:rPr>
          <w:rFonts w:ascii="Arial" w:cs="Arial" w:eastAsia="Arial" w:hAnsi="Arial"/>
          <w:sz w:val="18"/>
          <w:szCs w:val="18"/>
          <w:b w:val="1"/>
          <w:bCs w:val="1"/>
          <w:color w:val="auto"/>
        </w:rPr>
      </w:pPr>
    </w:p>
    <w:p>
      <w:pPr>
        <w:ind w:left="340" w:hanging="332"/>
        <w:spacing w:after="0"/>
        <w:tabs>
          <w:tab w:leader="none" w:pos="3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31" w:lineRule="exact"/>
        <w:rPr>
          <w:rFonts w:ascii="Arial" w:cs="Arial" w:eastAsia="Arial" w:hAnsi="Arial"/>
          <w:sz w:val="18"/>
          <w:szCs w:val="18"/>
          <w:b w:val="1"/>
          <w:bCs w:val="1"/>
          <w:color w:val="auto"/>
        </w:rPr>
      </w:pPr>
    </w:p>
    <w:p>
      <w:pPr>
        <w:ind w:left="340"/>
        <w:spacing w:after="0" w:line="331" w:lineRule="auto"/>
        <w:rPr>
          <w:rFonts w:ascii="Arial" w:cs="Arial" w:eastAsia="Arial" w:hAnsi="Arial"/>
          <w:sz w:val="18"/>
          <w:szCs w:val="18"/>
          <w:b w:val="1"/>
          <w:bCs w:val="1"/>
          <w:color w:val="auto"/>
        </w:rPr>
      </w:pPr>
      <w:r>
        <w:rPr>
          <w:rFonts w:ascii="Arial" w:cs="Arial" w:eastAsia="Arial" w:hAnsi="Arial"/>
          <w:sz w:val="16"/>
          <w:szCs w:val="16"/>
          <w:color w:val="auto"/>
        </w:rPr>
        <w:t>Commencing in October 2017 the Company began reimbursing Mr. Elwood Norris, an officer and stockholder of the Company, $1,500 per month on a month to month basis for laboratory facility costs, for an aggregate of $9,000 during the six months ended June 30, 2020 and 2019, respectively.</w:t>
      </w:r>
    </w:p>
    <w:p>
      <w:pPr>
        <w:spacing w:after="0" w:line="140" w:lineRule="exact"/>
        <w:rPr>
          <w:rFonts w:ascii="Arial" w:cs="Arial" w:eastAsia="Arial" w:hAnsi="Arial"/>
          <w:sz w:val="18"/>
          <w:szCs w:val="18"/>
          <w:b w:val="1"/>
          <w:bCs w:val="1"/>
          <w:color w:val="auto"/>
        </w:rPr>
      </w:pPr>
    </w:p>
    <w:p>
      <w:pPr>
        <w:jc w:val="both"/>
        <w:ind w:left="34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Commencing in April 2020 the Company engaged V3 Capital Partners, LLC (“</w:t>
      </w:r>
      <w:r>
        <w:rPr>
          <w:rFonts w:ascii="Arial" w:cs="Arial" w:eastAsia="Arial" w:hAnsi="Arial"/>
          <w:sz w:val="18"/>
          <w:szCs w:val="18"/>
          <w:i w:val="1"/>
          <w:iCs w:val="1"/>
          <w:color w:val="auto"/>
        </w:rPr>
        <w:t>V3</w:t>
      </w:r>
      <w:r>
        <w:rPr>
          <w:rFonts w:ascii="Arial" w:cs="Arial" w:eastAsia="Arial" w:hAnsi="Arial"/>
          <w:sz w:val="18"/>
          <w:szCs w:val="18"/>
          <w:color w:val="auto"/>
        </w:rPr>
        <w:t>”), a company owned and controlled by Scot Cohen, the Company’s Executive Chairman, to provide certain investor, shareholder and marketing services, in consideration for the payment to V3 of $10,000 per month on a month to month basis. In addition, the Company agreed to pay V3 a bonus of $175,000 for assistance in a qualified financing that was consummated in June 2020. This bonus was paid in July 2020.</w:t>
      </w:r>
    </w:p>
    <w:p>
      <w:pPr>
        <w:spacing w:after="0" w:line="196"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See Notes 6, 9 and 11 for additional information on related party transactions and obligations.</w:t>
      </w:r>
    </w:p>
    <w:p>
      <w:pPr>
        <w:spacing w:after="0" w:line="219" w:lineRule="exact"/>
        <w:rPr>
          <w:rFonts w:ascii="Arial" w:cs="Arial" w:eastAsia="Arial" w:hAnsi="Arial"/>
          <w:sz w:val="18"/>
          <w:szCs w:val="18"/>
          <w:b w:val="1"/>
          <w:bCs w:val="1"/>
          <w:color w:val="auto"/>
        </w:rPr>
      </w:pPr>
    </w:p>
    <w:p>
      <w:pPr>
        <w:ind w:left="340" w:hanging="332"/>
        <w:spacing w:after="0"/>
        <w:tabs>
          <w:tab w:leader="none" w:pos="3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31" w:lineRule="exact"/>
        <w:rPr>
          <w:rFonts w:ascii="Arial" w:cs="Arial" w:eastAsia="Arial" w:hAnsi="Arial"/>
          <w:sz w:val="18"/>
          <w:szCs w:val="18"/>
          <w:b w:val="1"/>
          <w:bCs w:val="1"/>
          <w:color w:val="auto"/>
        </w:rPr>
      </w:pPr>
    </w:p>
    <w:p>
      <w:pPr>
        <w:jc w:val="both"/>
        <w:ind w:left="3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 evaluated subsequent events for their potential impact on the financial statements and disclosures through the date the financial statements were available to be issued, and determined that, except as disclosed herein, no subsequent events occurred that were reasonably expected to impact the financial statements presented herein.</w:t>
      </w:r>
    </w:p>
    <w:p>
      <w:pPr>
        <w:sectPr>
          <w:pgSz w:w="11900" w:h="16838" w:orient="portrait"/>
          <w:cols w:equalWidth="0" w:num="1">
            <w:col w:w="11240"/>
          </w:cols>
          <w:pgMar w:left="320" w:top="131" w:right="339" w:bottom="1440" w:gutter="0" w:footer="0" w:header="0"/>
        </w:sectPr>
      </w:pP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type w:val="continuous"/>
        </w:sectPr>
      </w:pPr>
    </w:p>
    <w:bookmarkStart w:id="16" w:name="page17"/>
    <w:bookmarkEnd w:id="16"/>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3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i w:val="1"/>
          <w:iCs w:val="1"/>
          <w:color w:val="auto"/>
        </w:rPr>
        <w:t>You should read the following discussion in conjunction with the financial statements and other financial information included elsewhere in this Quarterly Report on Form 10-Q and with our audited financial statements and other information presented in our Annual Report on Form 10-K for the year ended December 31, 2019. The following discussion may contain forward-looking statements that reflect our plans, estimates and beliefs. Words such as “expect,” “anticipate,” “intend,” “plan,” “believe,” “seek,” “estimate,” “continue,” “may,” “will,” “could,” “would,” or the negative or plural of such words and similar expressions or variations of such words are intended to identify forward-looking statements, but are not the only means of identifying forward-looking statements. Such forward-looking statements are subject to a number of risks, uncertainties, assumptions and other factors that could cause actual results and the timing of certain events to differ materially from future results expressed or implied by the forward-looking statements. Factors that could cause or contribute to these differences include, but are not limited to, those discussed below and elsewhere in this Quarterly Report on Form 10-Q and in our other SEC filings, including particularly matters set forth under Part I, Item 1A (Risk Factors) of our Annual Report on Form 10-K. Furthermore, such forward-looking statements speak only as of the date of this Quarterly Report. Except as required by law, we undertake no obligation to update any forward-looking statements to reflect events or circumstances after the date of such statements.</w:t>
      </w:r>
    </w:p>
    <w:p>
      <w:pPr>
        <w:spacing w:after="0" w:line="180"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We are a security technology company organized in March 2016 and are focused on delivering modern policing solutions to customers, primarily consisting of law enforcement and security personnel. We began demonstrations of our first product, the BolaWrap 100 remote restraint device, in November 2017. We made various improvements throughout 2018 as a result of feedback from early users of our devices. In late May 2019, we began shipping an updated version of our BolaWrap 100 remote restraint device featuring a green line laser to strategic police departments and international distributors.</w:t>
      </w:r>
    </w:p>
    <w:p>
      <w:pPr>
        <w:spacing w:after="0" w:line="16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immediate addressable domestic market consists of approximately 900,000 full-time sworn law enforcement officers at over 15,300 federal, state and local law enforcement agencies. We are also exploring other domestic markets, including military and private security. Our international focus is on countries with the largest police forces. The 100 largest international police agencies are estimated to have over 12.1 million law enforcement personnel. According to Statistics MRC, we participate in a segment of the non-lethal products global market expected to grow to $11.85 billion by 2023.</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Outlook and Challenges</w:t>
      </w:r>
    </w:p>
    <w:p>
      <w:pPr>
        <w:spacing w:after="0" w:line="23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Our remote restraint solution continues to gain worldwide awareness and recognition through media exposure, trade shows, product demonstrations and word of mouth as a result of positive responses from agencies and early adoption and deployment success. We believe the BolaWrap 100 is gaining traction as a recognized global brand, with innovative technology and an initial product foundation achieved through extensive marketing and public relations.</w:t>
      </w:r>
    </w:p>
    <w:p>
      <w:pPr>
        <w:spacing w:after="0" w:line="16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are expanding our business in 2020 domestically and internationally through both direct and distributor sales. We have distribution agreements with 11 domestic distributors representing 46 states. These nonexclusive and cancelable agreements provide certain territorial rights to distributors but allow us to sell direct to certain agencies. We have distribution agreements with 19 international distributors representing 29 countries. These agreements are generally exclusive, require minimum performance and allow us to sell direct to customers subject to certain compensation. We focus significant sales and business development efforts to support our international distributors. We are pursuing large business opportunities internationally and also pursuing business with large domestic police agencies. It is difficult to anticipate how long it will take to close these opportunities, or if they will ultimately come to fruition.</w:t>
      </w:r>
    </w:p>
    <w:p>
      <w:pPr>
        <w:spacing w:after="0" w:line="17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To support our increased sales and distribution activities we have developed and offer robust training and class materials that certify law enforcement officers and trainers as BolaWrap Instructors in the use and limitations of the BolaWrap 100. At June 30, 2020, in addition to our internal training executives, we have trained 50 contract regional Master Instructors. As of June 30, 2020, 206 agencies had received BolaWrap 100 training with over 750 training officers at those agencies certified as BolaWrap 100 instructors qualified to train the rest of their departments.</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we announced earlier this year, we have designed, tested and obtained independent certification for our Wrap Armor labeled 20” x 30” rifle rated police shield. Early in the second quarter we delivered our first order of Wrap Armor shields. We believe our strong and light National Institute of Justice 0108.01 Type III (High Powered Rifle) compliant tactical shields offer police agencies an affordable defense against increasingly sophisticated threats. We are currently evaluating and testing additional models and sizes, securing sources of supply and determining the sales and marketing resources required to grow this product line.</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7" w:name="page18"/>
    <w:bookmarkEnd w:id="17"/>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June 30, 2020, we had $183,537 of customer deposits on orders and had backlog of approximately $1.5 million expected to be delivered in the next twelve months. Distributor and customer orders for future deliveries are generally subject to modification, rescheduling or in some instance’s cancellation in the normal course of business.</w:t>
      </w:r>
    </w:p>
    <w:p>
      <w:pPr>
        <w:spacing w:after="0" w:line="194" w:lineRule="exact"/>
        <w:rPr>
          <w:sz w:val="20"/>
          <w:szCs w:val="20"/>
          <w:color w:val="auto"/>
        </w:rPr>
      </w:pPr>
    </w:p>
    <w:p>
      <w:pPr>
        <w:jc w:val="both"/>
        <w:spacing w:after="0" w:line="331" w:lineRule="auto"/>
        <w:rPr>
          <w:sz w:val="20"/>
          <w:szCs w:val="20"/>
          <w:color w:val="auto"/>
        </w:rPr>
      </w:pPr>
      <w:r>
        <w:rPr>
          <w:rFonts w:ascii="Arial" w:cs="Arial" w:eastAsia="Arial" w:hAnsi="Arial"/>
          <w:sz w:val="16"/>
          <w:szCs w:val="16"/>
          <w:color w:val="auto"/>
        </w:rPr>
        <w:t>Since inception in March 2016, we have generated significant losses from operations and anticipate that we will continue to generate significant losses from operations for the foreseeable future. We believe that we have adequate financial resources to sustain our operations for the next year.</w:t>
      </w:r>
    </w:p>
    <w:p>
      <w:pPr>
        <w:spacing w:after="0" w:line="141"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We expect that we will need to continue to innovate new applications for our security technology, develop new products and technologies to meet diverse customer requirements and identify and develop new markets for our products.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COVID-19 Impact</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face significant challenges in operating and growing our business related to the outbreak of the novel coronavirus (“</w:t>
      </w:r>
      <w:r>
        <w:rPr>
          <w:rFonts w:ascii="Arial" w:cs="Arial" w:eastAsia="Arial" w:hAnsi="Arial"/>
          <w:sz w:val="18"/>
          <w:szCs w:val="18"/>
          <w:i w:val="1"/>
          <w:iCs w:val="1"/>
          <w:color w:val="auto"/>
        </w:rPr>
        <w:t>COVID-19</w:t>
      </w:r>
      <w:r>
        <w:rPr>
          <w:rFonts w:ascii="Arial" w:cs="Arial" w:eastAsia="Arial" w:hAnsi="Arial"/>
          <w:sz w:val="18"/>
          <w:szCs w:val="18"/>
          <w:color w:val="auto"/>
        </w:rPr>
        <w:t>”) which continues to spread throughout the United States and the World. The outbreak of COVID-19 has resulted in travel restrictions, quarantines, “stay-at-home” and “shelter-in-place” orders and extended shutdown of certain businesses around the world. We are monitoring the outbreak of COVID-19 and the related business and travel restrictions and changes to behavior intended to reduce its spread, in addition to the impact on our employees. We continued to operate with some modifications, and we took actions intended to protect our employees and our customers that adversely affected our results by increasing costs during a period of stalled sales and production activity.</w:t>
      </w:r>
    </w:p>
    <w:p>
      <w:pPr>
        <w:spacing w:after="0" w:line="19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During the second quarter our customers experienced staffing issues limiting our ability to demonstrate and train. We believe we made an important transition during the second quarter including remote sales and training through webinars and expect this to be a continuing aspect of our business. We curtailed most sales and training travel and reduced our production personnel until late in the second quarter when some customer locations domestically and internationally eased restrictions and we began to again close business prospects.</w:t>
      </w:r>
    </w:p>
    <w:p>
      <w:pPr>
        <w:spacing w:after="0" w:line="19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magnitude and the duration of the pandemic and the extent and duration of the pandemic’s adverse effect on economic and social activity, consumer confidence, customer spending and preferences, labor and healthcare costs, and unemployment rates is uncertain as of the date of this report. Our ability to sell, train and service our products and conduct our business may be adversely impacted as a result of continuing or future pandemic related travel restrictions, mandatory business closures, and stay-at home or similar orders; temporary reductions in our workforce, closures of our offices and facilities and the ability of our customers and suppliers to continue their operations as a result of the pandemic. While there could ultimately be a material impact on operations and liquidity of the Company, at the time of issuance of this report, the impact cannot be determined.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3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preparation of financial statements in accordance with accounting principles generally accepted in the United States (“</w:t>
      </w:r>
      <w:r>
        <w:rPr>
          <w:rFonts w:ascii="Arial" w:cs="Arial" w:eastAsia="Arial" w:hAnsi="Arial"/>
          <w:sz w:val="16"/>
          <w:szCs w:val="16"/>
          <w:i w:val="1"/>
          <w:iCs w:val="1"/>
          <w:color w:val="auto"/>
        </w:rPr>
        <w:t>U.S. GAAP</w:t>
      </w:r>
      <w:r>
        <w:rPr>
          <w:rFonts w:ascii="Arial" w:cs="Arial" w:eastAsia="Arial" w:hAnsi="Arial"/>
          <w:sz w:val="16"/>
          <w:szCs w:val="16"/>
          <w:color w:val="auto"/>
        </w:rPr>
        <w:t>”) requires us to make estimates and judgments that affect the reported amounts of assets, liabilities, revenue and expense, and related disclosure of contingent assets and liabilities. We evaluate our estimates, on an on-going basis, including those estimates related to recognition and measurement of contingencies and accrued costs. We base our estimates on historical experience and on various other assumptions we believe to be reasonable under the circumstances. Actual results may differ from these estimates under different assumptions or conditions.</w:t>
      </w:r>
    </w:p>
    <w:p>
      <w:pPr>
        <w:spacing w:after="0" w:line="16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As part of the process of preparing our financial statements, we are required to estimate our provision for income taxes. Significant management judgment is required in determining our provision for income taxes, deferred tax assets and liabilities, tax contingencies, unrecognized tax benefits, and any required valuation allowance, including taking into consideration the probability of the tax contingencies being incurred. Management assesses this probability based upon information provided by its tax advisers, its legal advisers and similar tax cases. If at a later time our assessment of the probability of these tax contingencies changes, our accrual for such tax uncertainties may increase or decrease. Our effective tax rate for annual and interim reporting periods could be impacted if uncertain tax positions that are not recognized are settled at an amount which differs from our estimates.</w:t>
      </w:r>
    </w:p>
    <w:p>
      <w:pPr>
        <w:spacing w:after="0" w:line="174" w:lineRule="exact"/>
        <w:rPr>
          <w:sz w:val="20"/>
          <w:szCs w:val="20"/>
          <w:color w:val="auto"/>
        </w:rPr>
      </w:pPr>
    </w:p>
    <w:p>
      <w:pPr>
        <w:jc w:val="both"/>
        <w:spacing w:after="0" w:line="331" w:lineRule="auto"/>
        <w:rPr>
          <w:sz w:val="20"/>
          <w:szCs w:val="20"/>
          <w:color w:val="auto"/>
        </w:rPr>
      </w:pPr>
      <w:r>
        <w:rPr>
          <w:rFonts w:ascii="Arial" w:cs="Arial" w:eastAsia="Arial" w:hAnsi="Arial"/>
          <w:sz w:val="16"/>
          <w:szCs w:val="16"/>
          <w:color w:val="auto"/>
        </w:rPr>
        <w:t>Some of our accounting policies require higher degrees of judgment than others in their application. These include stock-based compensation and contingencies and areas such as revenue recognition, operating lease liabilities, warranty liabilities, impairments and valuation of intangible assets.</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8" w:name="page19"/>
    <w:bookmarkEnd w:id="18"/>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Revenue Recognition</w:t>
      </w:r>
      <w:r>
        <w:rPr>
          <w:rFonts w:ascii="Arial" w:cs="Arial" w:eastAsia="Arial" w:hAnsi="Arial"/>
          <w:sz w:val="18"/>
          <w:szCs w:val="18"/>
          <w:color w:val="auto"/>
        </w:rPr>
        <w:t>. We sell our products to customers including law enforcement agencies, domestic distributors and international distributors and revenue</w:t>
      </w:r>
      <w:r>
        <w:rPr>
          <w:rFonts w:ascii="Arial" w:cs="Arial" w:eastAsia="Arial" w:hAnsi="Arial"/>
          <w:sz w:val="18"/>
          <w:szCs w:val="18"/>
          <w:i w:val="1"/>
          <w:iCs w:val="1"/>
          <w:color w:val="auto"/>
        </w:rPr>
        <w:t xml:space="preserve"> </w:t>
      </w:r>
      <w:r>
        <w:rPr>
          <w:rFonts w:ascii="Arial" w:cs="Arial" w:eastAsia="Arial" w:hAnsi="Arial"/>
          <w:sz w:val="18"/>
          <w:szCs w:val="18"/>
          <w:color w:val="auto"/>
        </w:rPr>
        <w:t>from such transactions is recognized in the periods that products are shipped (free on board (“</w:t>
      </w:r>
      <w:r>
        <w:rPr>
          <w:rFonts w:ascii="Arial" w:cs="Arial" w:eastAsia="Arial" w:hAnsi="Arial"/>
          <w:sz w:val="18"/>
          <w:szCs w:val="18"/>
          <w:i w:val="1"/>
          <w:iCs w:val="1"/>
          <w:color w:val="auto"/>
        </w:rPr>
        <w:t>FOB</w:t>
      </w:r>
      <w:r>
        <w:rPr>
          <w:rFonts w:ascii="Arial" w:cs="Arial" w:eastAsia="Arial" w:hAnsi="Arial"/>
          <w:sz w:val="18"/>
          <w:szCs w:val="18"/>
          <w:color w:val="auto"/>
        </w:rPr>
        <w:t>”) shipping point) or received by customers (FOB destination), when the fee is fixed or determinable and when collection of resulting receivables is reasonably assured. We identify customer performance obligations, determine the transaction price, allocate the transaction price to the performance obligations and recognize revenue as we satisfy the performance obligations. Our primary performance obligations are products/accessories and sometimes training. Our customers do not have the right to return product unless the product is found to be defective.</w:t>
      </w:r>
    </w:p>
    <w:p>
      <w:pPr>
        <w:spacing w:after="0" w:line="19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i w:val="1"/>
          <w:iCs w:val="1"/>
          <w:color w:val="auto"/>
        </w:rPr>
        <w:t xml:space="preserve">Stock Based Compensation. </w:t>
      </w:r>
      <w:r>
        <w:rPr>
          <w:rFonts w:ascii="Arial" w:cs="Arial" w:eastAsia="Arial" w:hAnsi="Arial"/>
          <w:sz w:val="16"/>
          <w:szCs w:val="16"/>
          <w:color w:val="auto"/>
        </w:rPr>
        <w:t>We follow the fair value recognition provisions issued by the Financial Accounting Standards Board (“</w:t>
      </w:r>
      <w:r>
        <w:rPr>
          <w:rFonts w:ascii="Arial" w:cs="Arial" w:eastAsia="Arial" w:hAnsi="Arial"/>
          <w:sz w:val="16"/>
          <w:szCs w:val="16"/>
          <w:i w:val="1"/>
          <w:iCs w:val="1"/>
          <w:color w:val="auto"/>
        </w:rPr>
        <w:t>FASB</w:t>
      </w:r>
      <w:r>
        <w:rPr>
          <w:rFonts w:ascii="Arial" w:cs="Arial" w:eastAsia="Arial" w:hAnsi="Arial"/>
          <w:sz w:val="16"/>
          <w:szCs w:val="16"/>
          <w:color w:val="auto"/>
        </w:rPr>
        <w:t>”) in Accounting</w:t>
      </w:r>
      <w:r>
        <w:rPr>
          <w:rFonts w:ascii="Arial" w:cs="Arial" w:eastAsia="Arial" w:hAnsi="Arial"/>
          <w:sz w:val="16"/>
          <w:szCs w:val="16"/>
          <w:i w:val="1"/>
          <w:iCs w:val="1"/>
          <w:color w:val="auto"/>
        </w:rPr>
        <w:t xml:space="preserve"> </w:t>
      </w:r>
      <w:r>
        <w:rPr>
          <w:rFonts w:ascii="Arial" w:cs="Arial" w:eastAsia="Arial" w:hAnsi="Arial"/>
          <w:sz w:val="16"/>
          <w:szCs w:val="16"/>
          <w:color w:val="auto"/>
        </w:rPr>
        <w:t>Standards Codification (“</w:t>
      </w:r>
      <w:r>
        <w:rPr>
          <w:rFonts w:ascii="Arial" w:cs="Arial" w:eastAsia="Arial" w:hAnsi="Arial"/>
          <w:sz w:val="16"/>
          <w:szCs w:val="16"/>
          <w:i w:val="1"/>
          <w:iCs w:val="1"/>
          <w:color w:val="auto"/>
        </w:rPr>
        <w:t>ASC</w:t>
      </w:r>
      <w:r>
        <w:rPr>
          <w:rFonts w:ascii="Arial" w:cs="Arial" w:eastAsia="Arial" w:hAnsi="Arial"/>
          <w:sz w:val="16"/>
          <w:szCs w:val="16"/>
          <w:color w:val="auto"/>
        </w:rPr>
        <w:t>”) Topic 718, Stock Compensation (“</w:t>
      </w:r>
      <w:r>
        <w:rPr>
          <w:rFonts w:ascii="Arial" w:cs="Arial" w:eastAsia="Arial" w:hAnsi="Arial"/>
          <w:sz w:val="16"/>
          <w:szCs w:val="16"/>
          <w:i w:val="1"/>
          <w:iCs w:val="1"/>
          <w:color w:val="auto"/>
        </w:rPr>
        <w:t>ASC 718</w:t>
      </w:r>
      <w:r>
        <w:rPr>
          <w:rFonts w:ascii="Arial" w:cs="Arial" w:eastAsia="Arial" w:hAnsi="Arial"/>
          <w:sz w:val="16"/>
          <w:szCs w:val="16"/>
          <w:color w:val="auto"/>
        </w:rPr>
        <w:t>”) and we adopted Accounting Standards Update (“</w:t>
      </w:r>
      <w:r>
        <w:rPr>
          <w:rFonts w:ascii="Arial" w:cs="Arial" w:eastAsia="Arial" w:hAnsi="Arial"/>
          <w:sz w:val="16"/>
          <w:szCs w:val="16"/>
          <w:i w:val="1"/>
          <w:iCs w:val="1"/>
          <w:color w:val="auto"/>
        </w:rPr>
        <w:t>ASU</w:t>
      </w:r>
      <w:r>
        <w:rPr>
          <w:rFonts w:ascii="Arial" w:cs="Arial" w:eastAsia="Arial" w:hAnsi="Arial"/>
          <w:sz w:val="16"/>
          <w:szCs w:val="16"/>
          <w:color w:val="auto"/>
        </w:rPr>
        <w:t>”) 2018-07 for share-based transactions with non-employees. Share-based compensation expense includes stock option and restricted stock unit compensation expense. The grant date fair value of stock options is determined using the Black-Scholes option-pricing model. The grant date is the date at which an employer and employee or non-employee reach a mutual understanding of the key terms and conditions of a stock-based payment award. The Black-Scholes option-pricing model requires inputs including the market price of the Company’s Common Stock on the date of grant, the term that the stock options are expected to be outstanding, the implied stock volatilities of several publicly-traded peers over the expected term of stock options, risk-free interest rate and expected dividend. Each of these inputs is subjective and generally requires significant judgment to determine. The grant date fair value of restricted stock units is based upon the market price of the Company’s Common Stock on the date of the grant. We determine the amount of stock-based compensation expense based on awards that we ultimately expect to vest and account for forfeitures as they occur. The fair value of stock-based compensation is amortized to compensation expense over the vesting term.</w:t>
      </w:r>
    </w:p>
    <w:p>
      <w:pPr>
        <w:spacing w:after="0" w:line="180" w:lineRule="exact"/>
        <w:rPr>
          <w:sz w:val="20"/>
          <w:szCs w:val="20"/>
          <w:color w:val="auto"/>
        </w:rPr>
      </w:pPr>
    </w:p>
    <w:p>
      <w:pPr>
        <w:jc w:val="both"/>
        <w:spacing w:after="0" w:line="298" w:lineRule="auto"/>
        <w:rPr>
          <w:sz w:val="20"/>
          <w:szCs w:val="20"/>
          <w:color w:val="auto"/>
        </w:rPr>
      </w:pPr>
      <w:r>
        <w:rPr>
          <w:rFonts w:ascii="Arial" w:cs="Arial" w:eastAsia="Arial" w:hAnsi="Arial"/>
          <w:sz w:val="16"/>
          <w:szCs w:val="16"/>
          <w:i w:val="1"/>
          <w:iCs w:val="1"/>
          <w:color w:val="auto"/>
        </w:rPr>
        <w:t xml:space="preserve">Allowance for Doubtful Accounts. </w:t>
      </w:r>
      <w:r>
        <w:rPr>
          <w:rFonts w:ascii="Arial" w:cs="Arial" w:eastAsia="Arial" w:hAnsi="Arial"/>
          <w:sz w:val="16"/>
          <w:szCs w:val="16"/>
          <w:color w:val="auto"/>
        </w:rPr>
        <w:t>Our products are sold to customers in many different markets and geographic locations. We estimate our bad debt reserve on</w:t>
      </w:r>
      <w:r>
        <w:rPr>
          <w:rFonts w:ascii="Arial" w:cs="Arial" w:eastAsia="Arial" w:hAnsi="Arial"/>
          <w:sz w:val="16"/>
          <w:szCs w:val="16"/>
          <w:i w:val="1"/>
          <w:iCs w:val="1"/>
          <w:color w:val="auto"/>
        </w:rPr>
        <w:t xml:space="preserve"> </w:t>
      </w:r>
      <w:r>
        <w:rPr>
          <w:rFonts w:ascii="Arial" w:cs="Arial" w:eastAsia="Arial" w:hAnsi="Arial"/>
          <w:sz w:val="16"/>
          <w:szCs w:val="16"/>
          <w:color w:val="auto"/>
        </w:rPr>
        <w:t>a case-by-case basis due to a limited number of customers mostly government agencies or well-established distributors. We base these estimates on many factors including customer credit worthiness, past transaction history with the customer, current economic industry trends and changes in customer payment terms. Our judgments and estimates regarding collectability of accounts receivable have an impact on our financial statements.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Valuation of Inventory</w:t>
      </w:r>
      <w:r>
        <w:rPr>
          <w:rFonts w:ascii="Arial" w:cs="Arial" w:eastAsia="Arial" w:hAnsi="Arial"/>
          <w:sz w:val="18"/>
          <w:szCs w:val="18"/>
          <w:color w:val="auto"/>
        </w:rPr>
        <w:t>. Our inventory is comprised of raw materials, assemblies and finished products. We must periodically make judgments and estimates</w:t>
      </w:r>
      <w:r>
        <w:rPr>
          <w:rFonts w:ascii="Arial" w:cs="Arial" w:eastAsia="Arial" w:hAnsi="Arial"/>
          <w:sz w:val="18"/>
          <w:szCs w:val="18"/>
          <w:i w:val="1"/>
          <w:iCs w:val="1"/>
          <w:color w:val="auto"/>
        </w:rPr>
        <w:t xml:space="preserve"> </w:t>
      </w:r>
      <w:r>
        <w:rPr>
          <w:rFonts w:ascii="Arial" w:cs="Arial" w:eastAsia="Arial" w:hAnsi="Arial"/>
          <w:sz w:val="18"/>
          <w:szCs w:val="18"/>
          <w:color w:val="auto"/>
        </w:rPr>
        <w:t>regarding the future utility and carrying value of our inventory. The carrying value of our inventory is periodically reviewed and impairments, if any, are recognized when the expected future benefit from our inventory is less than carrying value.</w:t>
      </w:r>
    </w:p>
    <w:p>
      <w:pPr>
        <w:spacing w:after="0" w:line="19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i w:val="1"/>
          <w:iCs w:val="1"/>
          <w:color w:val="auto"/>
        </w:rPr>
        <w:t xml:space="preserve">Valuation of Intangible Assets. </w:t>
      </w:r>
      <w:r>
        <w:rPr>
          <w:rFonts w:ascii="Arial" w:cs="Arial" w:eastAsia="Arial" w:hAnsi="Arial"/>
          <w:sz w:val="16"/>
          <w:szCs w:val="16"/>
          <w:color w:val="auto"/>
        </w:rPr>
        <w:t>Intangible assets consist of patents and trademarks that are amortized over their estimated useful lives. We must make</w:t>
      </w:r>
      <w:r>
        <w:rPr>
          <w:rFonts w:ascii="Arial" w:cs="Arial" w:eastAsia="Arial" w:hAnsi="Arial"/>
          <w:sz w:val="16"/>
          <w:szCs w:val="16"/>
          <w:i w:val="1"/>
          <w:iCs w:val="1"/>
          <w:color w:val="auto"/>
        </w:rPr>
        <w:t xml:space="preserve"> </w:t>
      </w:r>
      <w:r>
        <w:rPr>
          <w:rFonts w:ascii="Arial" w:cs="Arial" w:eastAsia="Arial" w:hAnsi="Arial"/>
          <w:sz w:val="16"/>
          <w:szCs w:val="16"/>
          <w:color w:val="auto"/>
        </w:rPr>
        <w:t>judgments and estimates regarding the future utility and carrying value of intangible assets. The carrying values of such assets are periodically reviewed and impairments, if any, are recognized when the expected future benefit to be derived from an individual intangible asset is less than carrying value. This generally could occur when certain assets are no longer consistent with our business strategy and whose expected future value has decreased.</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Accrued Expenses. </w:t>
      </w:r>
      <w:r>
        <w:rPr>
          <w:rFonts w:ascii="Arial" w:cs="Arial" w:eastAsia="Arial" w:hAnsi="Arial"/>
          <w:sz w:val="18"/>
          <w:szCs w:val="18"/>
          <w:color w:val="auto"/>
        </w:rPr>
        <w:t>We establish a warranty reserve based on anticipated warranty claims at the time product revenue is recognized. This reserve requires us to</w:t>
      </w:r>
      <w:r>
        <w:rPr>
          <w:rFonts w:ascii="Arial" w:cs="Arial" w:eastAsia="Arial" w:hAnsi="Arial"/>
          <w:sz w:val="18"/>
          <w:szCs w:val="18"/>
          <w:i w:val="1"/>
          <w:iCs w:val="1"/>
          <w:color w:val="auto"/>
        </w:rPr>
        <w:t xml:space="preserve"> </w:t>
      </w:r>
      <w:r>
        <w:rPr>
          <w:rFonts w:ascii="Arial" w:cs="Arial" w:eastAsia="Arial" w:hAnsi="Arial"/>
          <w:sz w:val="18"/>
          <w:szCs w:val="18"/>
          <w:color w:val="auto"/>
        </w:rPr>
        <w:t>make estimates regarding the amount and costs of warranty repairs we expect to make over a period of time. Factors affecting warranty reserve levels include the number of units sold, anticipated cost of warranty repairs, and anticipated rates of warranty claims. We have very limited history to make such estimates and warranty estimates have an impact on our financial statements. Warranty expense is recorded in cost of revenues. We evaluate the adequacy of this reserve each reporting period.</w:t>
      </w:r>
    </w:p>
    <w:p>
      <w:pPr>
        <w:spacing w:after="0" w:line="20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We use the recognition criteria of ASC 450-20, “Loss Contingencies” to estimate the amount of bonuses when it becomes probable a bonus liability will be incurred and we recognize expense ratably over the service period. We accrue bonus expense each quarter based on estimated year-end results, and then adjust the actual in the fourth quarter based on our final results compared to targets.</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Historically, our assumptions, judgments and estimates relative to our critical accounting policies have not differed materially from actual results. There were no significant changes or modification of our critical accounting policies and estimates involving management valuation adjustments affecting our results for the six months ended June 30, 2020.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w:t>
      </w:r>
    </w:p>
    <w:p>
      <w:pPr>
        <w:spacing w:after="0" w:line="2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operating expense includes (i) selling, general and administrative expense, and (ii) research and development expense. Research and development expense is comprised of the costs incurred in performing research and development activities and developing production on our behalf, including compensation and consulting, design and prototype costs, contract services, patent costs and other outside expenses. The scope and magnitude of our future research and development expense is difficult to predict at this time and will depend on elections made regarding research projects, staffing levels and outside consulting and contract costs. The actual level of future selling, general and administrative expense will be dependent on staffing levels, elections regarding expenditures on sales, marketing and customer training, the use of outside resources, public company and regulatory costs, and other factors, some of which are outside of our control.</w:t>
      </w:r>
    </w:p>
    <w:p>
      <w:pPr>
        <w:sectPr>
          <w:pgSz w:w="11900" w:h="16838" w:orient="portrait"/>
          <w:cols w:equalWidth="0" w:num="1">
            <w:col w:w="11240"/>
          </w:cols>
          <w:pgMar w:left="320" w:top="1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type w:val="continuous"/>
        </w:sectPr>
      </w:pPr>
    </w:p>
    <w:bookmarkStart w:id="19" w:name="page20"/>
    <w:bookmarkEnd w:id="19"/>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We expect our operating costs will increase as we expand product distribution activities and expand our research and development, production, distribution, training, service and administrative functions in the near term. We may also incur substantial noncash stock-based compensation costs depending on future option and restricted stock unit grants that are impacted by stock prices and other valuation factors. Historical expenditures are not indicative of future expenditures.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2020 Compared to Three Months Ended June 30, 2019</w:t>
      </w:r>
    </w:p>
    <w:p>
      <w:pPr>
        <w:spacing w:after="0" w:line="22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following table sets forth for the periods indicated certain items of our condensed statement of operations. The financial information and the discussion below should be read in conjunction with the condensed financial statements and notes contained elsewhere in this Quarterly Report on Form 10-Q (the “</w:t>
      </w:r>
      <w:r>
        <w:rPr>
          <w:rFonts w:ascii="Arial" w:cs="Arial" w:eastAsia="Arial" w:hAnsi="Arial"/>
          <w:sz w:val="18"/>
          <w:szCs w:val="18"/>
          <w:i w:val="1"/>
          <w:iCs w:val="1"/>
          <w:color w:val="auto"/>
        </w:rPr>
        <w:t>Report</w:t>
      </w:r>
      <w:r>
        <w:rPr>
          <w:rFonts w:ascii="Arial" w:cs="Arial" w:eastAsia="Arial" w:hAnsi="Arial"/>
          <w:sz w:val="18"/>
          <w:szCs w:val="18"/>
          <w:color w:val="auto"/>
        </w:rPr>
        <w:t>”).</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2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80" w:type="dxa"/>
            <w:vAlign w:val="bottom"/>
            <w:gridSpan w:val="6"/>
          </w:tcPr>
          <w:p>
            <w:pPr>
              <w:jc w:val="right"/>
              <w:ind w:right="840"/>
              <w:spacing w:after="0"/>
              <w:rPr>
                <w:sz w:val="20"/>
                <w:szCs w:val="20"/>
                <w:color w:val="auto"/>
              </w:rPr>
            </w:pPr>
            <w:r>
              <w:rPr>
                <w:rFonts w:ascii="Arial" w:cs="Arial" w:eastAsia="Arial" w:hAnsi="Arial"/>
                <w:sz w:val="18"/>
                <w:szCs w:val="18"/>
                <w:b w:val="1"/>
                <w:bCs w:val="1"/>
                <w:color w:val="auto"/>
              </w:rPr>
              <w:t>Three Months</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426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380" w:type="dxa"/>
            <w:vAlign w:val="bottom"/>
            <w:gridSpan w:val="6"/>
          </w:tcPr>
          <w:p>
            <w:pPr>
              <w:jc w:val="right"/>
              <w:ind w:right="800"/>
              <w:spacing w:after="0"/>
              <w:rPr>
                <w:sz w:val="20"/>
                <w:szCs w:val="20"/>
                <w:color w:val="auto"/>
              </w:rPr>
            </w:pPr>
            <w:r>
              <w:rPr>
                <w:rFonts w:ascii="Arial" w:cs="Arial" w:eastAsia="Arial" w:hAnsi="Arial"/>
                <w:sz w:val="18"/>
                <w:szCs w:val="18"/>
                <w:b w:val="1"/>
                <w:bCs w:val="1"/>
                <w:color w:val="auto"/>
              </w:rPr>
              <w:t>Ended June 30,</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ind w:left="680"/>
              <w:spacing w:after="0"/>
              <w:rPr>
                <w:sz w:val="20"/>
                <w:szCs w:val="20"/>
                <w:color w:val="auto"/>
              </w:rPr>
            </w:pPr>
            <w:r>
              <w:rPr>
                <w:rFonts w:ascii="Arial" w:cs="Arial" w:eastAsia="Arial" w:hAnsi="Arial"/>
                <w:sz w:val="18"/>
                <w:szCs w:val="18"/>
                <w:b w:val="1"/>
                <w:bCs w:val="1"/>
                <w:color w:val="auto"/>
              </w:rPr>
              <w:t>Change</w:t>
            </w:r>
          </w:p>
        </w:tc>
        <w:tc>
          <w:tcPr>
            <w:tcW w:w="76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26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2020</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4260" w:type="dxa"/>
            <w:vAlign w:val="bottom"/>
          </w:tcPr>
          <w:p>
            <w:pPr>
              <w:spacing w:after="0"/>
              <w:rPr>
                <w:sz w:val="20"/>
                <w:szCs w:val="20"/>
                <w:color w:val="auto"/>
              </w:rPr>
            </w:pPr>
            <w:r>
              <w:rPr>
                <w:rFonts w:ascii="Arial" w:cs="Arial" w:eastAsia="Arial" w:hAnsi="Arial"/>
                <w:sz w:val="18"/>
                <w:szCs w:val="18"/>
                <w:b w:val="1"/>
                <w:bCs w:val="1"/>
                <w:color w:val="auto"/>
              </w:rPr>
              <w:t>Revenues:</w:t>
            </w:r>
          </w:p>
        </w:tc>
        <w:tc>
          <w:tcPr>
            <w:tcW w:w="1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4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Product sales</w:t>
            </w:r>
          </w:p>
        </w:tc>
        <w:tc>
          <w:tcPr>
            <w:tcW w:w="19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823,164</w:t>
            </w:r>
          </w:p>
        </w:tc>
        <w:tc>
          <w:tcPr>
            <w:tcW w:w="1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48,948</w:t>
            </w:r>
          </w:p>
        </w:tc>
        <w:tc>
          <w:tcPr>
            <w:tcW w:w="1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774,216</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60" w:type="dxa"/>
            <w:vAlign w:val="bottom"/>
          </w:tcPr>
          <w:p>
            <w:pPr>
              <w:ind w:left="100"/>
              <w:spacing w:after="0"/>
              <w:rPr>
                <w:sz w:val="20"/>
                <w:szCs w:val="20"/>
                <w:color w:val="auto"/>
              </w:rPr>
            </w:pPr>
            <w:r>
              <w:rPr>
                <w:rFonts w:ascii="Arial" w:cs="Arial" w:eastAsia="Arial" w:hAnsi="Arial"/>
                <w:sz w:val="18"/>
                <w:szCs w:val="18"/>
                <w:color w:val="auto"/>
              </w:rPr>
              <w:t>Other revenue</w:t>
            </w:r>
          </w:p>
        </w:tc>
        <w:tc>
          <w:tcPr>
            <w:tcW w:w="1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9,428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10,496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(1,068)</w:t>
            </w:r>
          </w:p>
        </w:tc>
        <w:tc>
          <w:tcPr>
            <w:tcW w:w="3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7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832,592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59,444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773,148</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60" w:type="dxa"/>
            <w:vAlign w:val="bottom"/>
          </w:tcPr>
          <w:p>
            <w:pPr>
              <w:spacing w:after="0"/>
              <w:rPr>
                <w:sz w:val="20"/>
                <w:szCs w:val="20"/>
                <w:color w:val="auto"/>
              </w:rPr>
            </w:pPr>
            <w:r>
              <w:rPr>
                <w:rFonts w:ascii="Arial" w:cs="Arial" w:eastAsia="Arial" w:hAnsi="Arial"/>
                <w:sz w:val="18"/>
                <w:szCs w:val="18"/>
                <w:color w:val="auto"/>
              </w:rPr>
              <w:t>Cost of revenues</w:t>
            </w:r>
          </w:p>
        </w:tc>
        <w:tc>
          <w:tcPr>
            <w:tcW w:w="17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564,970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35,695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529,275</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1483%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7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267,622</w:t>
            </w:r>
          </w:p>
        </w:tc>
        <w:tc>
          <w:tcPr>
            <w:tcW w:w="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23,749</w:t>
            </w:r>
          </w:p>
        </w:tc>
        <w:tc>
          <w:tcPr>
            <w:tcW w:w="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243,873</w:t>
            </w:r>
          </w:p>
        </w:tc>
        <w:tc>
          <w:tcPr>
            <w:tcW w:w="2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ind w:left="100"/>
              <w:spacing w:after="0"/>
              <w:rPr>
                <w:sz w:val="20"/>
                <w:szCs w:val="20"/>
                <w:color w:val="auto"/>
              </w:rPr>
            </w:pPr>
            <w:r>
              <w:rPr>
                <w:rFonts w:ascii="Arial" w:cs="Arial" w:eastAsia="Arial" w:hAnsi="Arial"/>
                <w:sz w:val="18"/>
                <w:szCs w:val="18"/>
                <w:color w:val="auto"/>
              </w:rPr>
              <w:t>Selling, general and administrative</w:t>
            </w: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2,537,547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1,481,187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1,056,360</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Research and development</w:t>
            </w:r>
          </w:p>
        </w:tc>
        <w:tc>
          <w:tcPr>
            <w:tcW w:w="17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577,478</w:t>
            </w:r>
          </w:p>
        </w:tc>
        <w:tc>
          <w:tcPr>
            <w:tcW w:w="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516,213</w:t>
            </w:r>
          </w:p>
        </w:tc>
        <w:tc>
          <w:tcPr>
            <w:tcW w:w="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61,265</w:t>
            </w:r>
          </w:p>
        </w:tc>
        <w:tc>
          <w:tcPr>
            <w:tcW w:w="2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3,115,025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1,997,400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1,117,625</w:t>
            </w:r>
          </w:p>
        </w:tc>
        <w:tc>
          <w:tcPr>
            <w:tcW w:w="3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2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7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(2,847,403)</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(1,973,651)</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(873,752)</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26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w:t>
      </w:r>
    </w:p>
    <w:p>
      <w:pPr>
        <w:spacing w:after="0" w:line="225" w:lineRule="exact"/>
        <w:rPr>
          <w:sz w:val="20"/>
          <w:szCs w:val="20"/>
          <w:color w:val="auto"/>
        </w:rPr>
      </w:pPr>
    </w:p>
    <w:p>
      <w:pPr>
        <w:jc w:val="both"/>
        <w:ind w:right="20"/>
        <w:spacing w:after="0" w:line="288" w:lineRule="auto"/>
        <w:rPr>
          <w:sz w:val="20"/>
          <w:szCs w:val="20"/>
          <w:color w:val="auto"/>
        </w:rPr>
      </w:pPr>
      <w:r>
        <w:rPr>
          <w:rFonts w:ascii="Arial" w:cs="Arial" w:eastAsia="Arial" w:hAnsi="Arial"/>
          <w:sz w:val="16"/>
          <w:szCs w:val="16"/>
          <w:color w:val="auto"/>
        </w:rPr>
        <w:t>We reported revenue of $832,592 for the three months ended June 30, 2020 from the sale of BolaWrap products and accessories and Wrap Armor tactical shields. This was a significant increase from the second quarter of the prior year when we had only recently commenced product sales and reported sales of $59,444. It is also a 21% increase over the immediately preceding quarter ended March 31, 2020 of $689,437. We believe our sales during the second quarter were negatively impacted by the COVID-19 pandemic as we were severely limited in our ability to make product demonstrations and conduct training both domestically and internationally. As some areas of the country eased restrictions late in the second quarter we were able to commence limited in-person demonstrations and training to supplement our webinar capabilities. We incurred product promotional costs of $125,278 during the three months ended June 30, 2020 related to the cost of demonstration products and accessories delivered to law enforcement agencies that were expensed as marketing costs. A total of $67,565 of such product marketing costs were incurred during the three months ended June 30, 2019.</w:t>
      </w:r>
    </w:p>
    <w:p>
      <w:pPr>
        <w:spacing w:after="0" w:line="178"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We had $594 of deferred revenue at June 30, 2020 related to products sold for which the related training revenue component had not been completed and $1,890 related to extended warranties.</w:t>
      </w:r>
    </w:p>
    <w:p>
      <w:pPr>
        <w:spacing w:after="0" w:line="186" w:lineRule="exact"/>
        <w:rPr>
          <w:sz w:val="20"/>
          <w:szCs w:val="20"/>
          <w:color w:val="auto"/>
        </w:rPr>
      </w:pPr>
    </w:p>
    <w:p>
      <w:pPr>
        <w:jc w:val="both"/>
        <w:ind w:right="20"/>
        <w:spacing w:after="0" w:line="298" w:lineRule="auto"/>
        <w:rPr>
          <w:sz w:val="20"/>
          <w:szCs w:val="20"/>
          <w:color w:val="auto"/>
        </w:rPr>
      </w:pPr>
      <w:r>
        <w:rPr>
          <w:rFonts w:ascii="Arial" w:cs="Arial" w:eastAsia="Arial" w:hAnsi="Arial"/>
          <w:sz w:val="16"/>
          <w:szCs w:val="16"/>
          <w:color w:val="auto"/>
        </w:rPr>
        <w:t>We believe we can accelerate sales in the future but the impact of the COVID-19 coronavirus has created much uncertainty in the global marketplace. We believe the pandemic had a negative impact on our sales in the second quarter. We are unable to predict the impact on demand for our products in future quarters. We expect sales may be sporadic as we grow both our domestic and international distributor and customer base and due to COVID-19 restrictions. There can be no assurance, especially given the uncertainties of the COVID-19 crisis, that we can increase quarterly revenues during the balance of 2020.</w:t>
      </w:r>
    </w:p>
    <w:p>
      <w:pPr>
        <w:spacing w:after="0" w:line="200" w:lineRule="exact"/>
        <w:rPr>
          <w:sz w:val="20"/>
          <w:szCs w:val="20"/>
          <w:color w:val="auto"/>
        </w:rPr>
      </w:pPr>
    </w:p>
    <w:p>
      <w:pPr>
        <w:spacing w:after="0" w:line="39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131" w:right="319" w:bottom="1440" w:gutter="0" w:footer="0" w:header="0"/>
        </w:sectPr>
      </w:pPr>
    </w:p>
    <w:bookmarkStart w:id="20" w:name="page21"/>
    <w:bookmarkEnd w:id="20"/>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June 30, 2020, we had $183,537 of customer deposits on orders and had backlog of approximately $1.5 million expected to be delivered in the next twelve months. Distributor and customer orders for future deliveries are generally subject to modification, rescheduling or in some instance’s cancellation in the normal course of business.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Gross Profit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cost of revenue for the three months ended June 30, 2020 was $564,970 resulting in a gross margin of 32%. The gross margin for the three months ended June 30, 2019 was 40% on a small revenue base. We curtailed production for ten weeks during the second quarter due the Covid-19 restrictions in Arizona and this down time negatively impacted our gross margin.</w:t>
      </w:r>
    </w:p>
    <w:p>
      <w:pPr>
        <w:spacing w:after="0" w:line="19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Due to our history of minimal revenue and startup costs incurred to establish volume manufacturing historical margins may not be indicative of future margins. In addition, our margins vary based on the sales channels through which our products are sold and product mix. Due to timing of international orders our mix of cartridges was higher in the second quarter than the first quarter and as compared to prior comparable quarters. Currently, our cartridges have lower margins than BolaWrap devices, but we are pursuing initiatives to improve gross margins attributable to our cartridges. We continue to implement product updates and changes, including raw material and component changes that may impact product costs. With such product updates and changes we have limited warranty cost experience and estimated future warranty costs can impact our gross margins.</w:t>
      </w:r>
    </w:p>
    <w:p>
      <w:pPr>
        <w:spacing w:after="0" w:line="174" w:lineRule="exact"/>
        <w:rPr>
          <w:sz w:val="20"/>
          <w:szCs w:val="20"/>
          <w:color w:val="auto"/>
        </w:rPr>
      </w:pPr>
    </w:p>
    <w:p>
      <w:pPr>
        <w:jc w:val="both"/>
        <w:ind w:right="20"/>
        <w:spacing w:after="0" w:line="331" w:lineRule="auto"/>
        <w:rPr>
          <w:sz w:val="20"/>
          <w:szCs w:val="20"/>
          <w:color w:val="auto"/>
        </w:rPr>
      </w:pPr>
      <w:r>
        <w:rPr>
          <w:rFonts w:ascii="Arial" w:cs="Arial" w:eastAsia="Arial" w:hAnsi="Arial"/>
          <w:sz w:val="16"/>
          <w:szCs w:val="16"/>
          <w:color w:val="auto"/>
        </w:rPr>
        <w:t>In September 2019 we relocated manufacturing operations and commenced production at our new facility in Tempe, Arizona. While this significantly increases our capacity, we expect that larger allocations of overhead and costs may have a negative impact on product margins until revenues grow.</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Selling, General and Administrative Expense</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Selling, general and administrative expense for the three months ended June 30, 2020 increased by $1,056,360 when compared to the three months ended June 30, 2019. We increased our staffing and promotion activities in 2020 to address growing market opportunities. We incurred a $150,819 increase in non-cash stock-based compensation expense allocated to selling, general and administrative expense that totaled $496,036 in the three months ended June 30, 2020 compared to $345,217 in the three months ended June 30, 2019. Other increases included a $569,112 increase in cash compensation and recruiting costs from an increase in headcount since the prior year and a $101,447 increase in public company related costs. Marketing and promotion costs increased $215,423 due primarily to promotional products and online advertising. Due to the Covid-19 pandemic we suspended most travel in the second quarter. Our travel costs related to sales, demonstrations and training decreased by $79,794 due to COVID-19 restrictions.</w:t>
      </w:r>
    </w:p>
    <w:p>
      <w:pPr>
        <w:spacing w:after="0" w:line="17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Due in part to the receipt of $414,362 in proceeds from the PPP Loan we maintained staffing in April, May and June positioning us to respond to limited re-openings late in the second quarter and develop and employ new tools such as webinars to communicate with prospective and existing customers. We believe these staffing decisions positioned us to respond to increased opportunities resulting from recent highly publicized policing issues and an increased focus on less lethal engagement.</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expect to expend increased resources on the marketing and selling of our products, training distributors and customers and administratively supporting our operations during the balance of 2020 to respond to increased opportunities but amounts could vary depending on sales levels, the impact of the COVID-19 pandemic and other factors outside of our control.</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Research and Development Expense</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Research and development expense increased $61,265 during the three months ended June 30, 2020, when compared to the comparable period in 2019. We incurred a $24,319 period over period increase in non-cash stock-based compensation expense allocated to research and development expense as a result of new award grants and vesting timing. The increase in costs during the 2020 period, when compared to the comparable period in 2019, included a $93,487 increase in cash compensation costs resulting from an increase in headcount primarily associated with product development. Prototype related costs decreased $42,614 in the 2020 period, primarily related to the timing of projects. We expect our research and development costs to increase during the balance of 2020 was we are adding staff and expanding our research initiatives in response to market opportunities.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1" w:name="page22"/>
    <w:bookmarkEnd w:id="21"/>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Loss</w:t>
      </w:r>
    </w:p>
    <w:p>
      <w:pPr>
        <w:spacing w:after="0" w:line="225"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Loss from operations during the three months ended June 30, 2020 increased by $873,752 when compared to the three months ended June 30, 2019, resulting, primarily, from increased operating costs due to increased personnel and marketing and selling and supporting activities.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2020 Compared to Six Months Ended June 30, 2019</w:t>
      </w:r>
    </w:p>
    <w:p>
      <w:pPr>
        <w:spacing w:after="0" w:line="225"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The following table sets forth for the periods indicated certain items of our condensed statement of operations. The financial information and the discussion below should be read in conjunction with the condensed financial statements and notes contained elsewhere in this Report.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2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gridSpan w:val="4"/>
          </w:tcPr>
          <w:p>
            <w:pPr>
              <w:jc w:val="right"/>
              <w:spacing w:after="0"/>
              <w:rPr>
                <w:sz w:val="20"/>
                <w:szCs w:val="20"/>
                <w:color w:val="auto"/>
              </w:rPr>
            </w:pPr>
            <w:r>
              <w:rPr>
                <w:rFonts w:ascii="Arial" w:cs="Arial" w:eastAsia="Arial" w:hAnsi="Arial"/>
                <w:sz w:val="18"/>
                <w:szCs w:val="18"/>
                <w:b w:val="1"/>
                <w:bCs w:val="1"/>
                <w:color w:val="auto"/>
              </w:rPr>
              <w:t>Six Months</w:t>
            </w: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52"/>
        </w:trPr>
        <w:tc>
          <w:tcPr>
            <w:tcW w:w="426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380" w:type="dxa"/>
            <w:vAlign w:val="bottom"/>
            <w:gridSpan w:val="6"/>
          </w:tcPr>
          <w:p>
            <w:pPr>
              <w:jc w:val="right"/>
              <w:ind w:right="800"/>
              <w:spacing w:after="0"/>
              <w:rPr>
                <w:sz w:val="20"/>
                <w:szCs w:val="20"/>
                <w:color w:val="auto"/>
              </w:rPr>
            </w:pPr>
            <w:r>
              <w:rPr>
                <w:rFonts w:ascii="Arial" w:cs="Arial" w:eastAsia="Arial" w:hAnsi="Arial"/>
                <w:sz w:val="18"/>
                <w:szCs w:val="18"/>
                <w:b w:val="1"/>
                <w:bCs w:val="1"/>
                <w:color w:val="auto"/>
              </w:rPr>
              <w:t>Ended June 30,</w:t>
            </w: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3"/>
          </w:tcPr>
          <w:p>
            <w:pPr>
              <w:ind w:left="700"/>
              <w:spacing w:after="0"/>
              <w:rPr>
                <w:sz w:val="20"/>
                <w:szCs w:val="20"/>
                <w:color w:val="auto"/>
              </w:rPr>
            </w:pPr>
            <w:r>
              <w:rPr>
                <w:rFonts w:ascii="Arial" w:cs="Arial" w:eastAsia="Arial" w:hAnsi="Arial"/>
                <w:sz w:val="18"/>
                <w:szCs w:val="18"/>
                <w:b w:val="1"/>
                <w:bCs w:val="1"/>
                <w:color w:val="auto"/>
              </w:rPr>
              <w:t>Change</w:t>
            </w:r>
          </w:p>
        </w:tc>
        <w:tc>
          <w:tcPr>
            <w:tcW w:w="76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426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2020</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1"/>
        </w:trPr>
        <w:tc>
          <w:tcPr>
            <w:tcW w:w="4260" w:type="dxa"/>
            <w:vAlign w:val="bottom"/>
          </w:tcPr>
          <w:p>
            <w:pPr>
              <w:spacing w:after="0"/>
              <w:rPr>
                <w:sz w:val="20"/>
                <w:szCs w:val="20"/>
                <w:color w:val="auto"/>
              </w:rPr>
            </w:pPr>
            <w:r>
              <w:rPr>
                <w:rFonts w:ascii="Arial" w:cs="Arial" w:eastAsia="Arial" w:hAnsi="Arial"/>
                <w:sz w:val="18"/>
                <w:szCs w:val="18"/>
                <w:b w:val="1"/>
                <w:bCs w:val="1"/>
                <w:color w:val="auto"/>
              </w:rPr>
              <w:t>Revenues:</w:t>
            </w:r>
          </w:p>
        </w:tc>
        <w:tc>
          <w:tcPr>
            <w:tcW w:w="1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8"/>
        </w:trPr>
        <w:tc>
          <w:tcPr>
            <w:tcW w:w="4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Product sales</w:t>
            </w:r>
          </w:p>
        </w:tc>
        <w:tc>
          <w:tcPr>
            <w:tcW w:w="19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1,497,777</w:t>
            </w:r>
          </w:p>
        </w:tc>
        <w:tc>
          <w:tcPr>
            <w:tcW w:w="1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162,901</w:t>
            </w:r>
          </w:p>
        </w:tc>
        <w:tc>
          <w:tcPr>
            <w:tcW w:w="1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1,334,876</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819%</w:t>
            </w:r>
          </w:p>
        </w:tc>
        <w:tc>
          <w:tcPr>
            <w:tcW w:w="20" w:type="dxa"/>
            <w:vAlign w:val="bottom"/>
          </w:tcPr>
          <w:p>
            <w:pPr>
              <w:spacing w:after="0"/>
              <w:rPr>
                <w:sz w:val="18"/>
                <w:szCs w:val="18"/>
                <w:color w:val="auto"/>
              </w:rPr>
            </w:pPr>
          </w:p>
        </w:tc>
      </w:tr>
      <w:tr>
        <w:trPr>
          <w:trHeight w:val="223"/>
        </w:trPr>
        <w:tc>
          <w:tcPr>
            <w:tcW w:w="4260" w:type="dxa"/>
            <w:vAlign w:val="bottom"/>
          </w:tcPr>
          <w:p>
            <w:pPr>
              <w:ind w:left="100"/>
              <w:spacing w:after="0"/>
              <w:rPr>
                <w:sz w:val="20"/>
                <w:szCs w:val="20"/>
                <w:color w:val="auto"/>
              </w:rPr>
            </w:pPr>
            <w:r>
              <w:rPr>
                <w:rFonts w:ascii="Arial" w:cs="Arial" w:eastAsia="Arial" w:hAnsi="Arial"/>
                <w:sz w:val="18"/>
                <w:szCs w:val="18"/>
                <w:color w:val="auto"/>
              </w:rPr>
              <w:t>Other revenue</w:t>
            </w:r>
          </w:p>
        </w:tc>
        <w:tc>
          <w:tcPr>
            <w:tcW w:w="17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24,252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14,354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9,898</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69%</w:t>
            </w:r>
          </w:p>
        </w:tc>
        <w:tc>
          <w:tcPr>
            <w:tcW w:w="20" w:type="dxa"/>
            <w:vAlign w:val="bottom"/>
          </w:tcPr>
          <w:p>
            <w:pPr>
              <w:spacing w:after="0"/>
              <w:rPr>
                <w:sz w:val="19"/>
                <w:szCs w:val="19"/>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1,522,029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177,255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1,344,774</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20" w:type="dxa"/>
            <w:vAlign w:val="bottom"/>
          </w:tcPr>
          <w:p>
            <w:pPr>
              <w:spacing w:after="0"/>
              <w:rPr>
                <w:sz w:val="18"/>
                <w:szCs w:val="18"/>
                <w:color w:val="auto"/>
              </w:rPr>
            </w:pPr>
          </w:p>
        </w:tc>
      </w:tr>
      <w:tr>
        <w:trPr>
          <w:trHeight w:val="223"/>
        </w:trPr>
        <w:tc>
          <w:tcPr>
            <w:tcW w:w="4260" w:type="dxa"/>
            <w:vAlign w:val="bottom"/>
          </w:tcPr>
          <w:p>
            <w:pPr>
              <w:spacing w:after="0"/>
              <w:rPr>
                <w:sz w:val="20"/>
                <w:szCs w:val="20"/>
                <w:color w:val="auto"/>
              </w:rPr>
            </w:pPr>
            <w:r>
              <w:rPr>
                <w:rFonts w:ascii="Arial" w:cs="Arial" w:eastAsia="Arial" w:hAnsi="Arial"/>
                <w:sz w:val="18"/>
                <w:szCs w:val="18"/>
                <w:color w:val="auto"/>
              </w:rPr>
              <w:t>Cost of revenues</w:t>
            </w:r>
          </w:p>
        </w:tc>
        <w:tc>
          <w:tcPr>
            <w:tcW w:w="17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970,782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96,915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873,867</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902%</w:t>
            </w:r>
          </w:p>
        </w:tc>
        <w:tc>
          <w:tcPr>
            <w:tcW w:w="20" w:type="dxa"/>
            <w:vAlign w:val="bottom"/>
          </w:tcPr>
          <w:p>
            <w:pPr>
              <w:spacing w:after="0"/>
              <w:rPr>
                <w:sz w:val="19"/>
                <w:szCs w:val="19"/>
                <w:color w:val="auto"/>
              </w:rPr>
            </w:pPr>
          </w:p>
        </w:tc>
      </w:tr>
      <w:tr>
        <w:trPr>
          <w:trHeight w:val="223"/>
        </w:trPr>
        <w:tc>
          <w:tcPr>
            <w:tcW w:w="4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7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551,247</w:t>
            </w:r>
          </w:p>
        </w:tc>
        <w:tc>
          <w:tcPr>
            <w:tcW w:w="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80,340</w:t>
            </w:r>
          </w:p>
        </w:tc>
        <w:tc>
          <w:tcPr>
            <w:tcW w:w="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470,907</w:t>
            </w:r>
          </w:p>
        </w:tc>
        <w:tc>
          <w:tcPr>
            <w:tcW w:w="2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20" w:type="dxa"/>
            <w:vAlign w:val="bottom"/>
          </w:tcPr>
          <w:p>
            <w:pPr>
              <w:spacing w:after="0"/>
              <w:rPr>
                <w:sz w:val="19"/>
                <w:szCs w:val="19"/>
                <w:color w:val="auto"/>
              </w:rPr>
            </w:pPr>
          </w:p>
        </w:tc>
      </w:tr>
      <w:tr>
        <w:trPr>
          <w:trHeight w:val="216"/>
        </w:trPr>
        <w:tc>
          <w:tcPr>
            <w:tcW w:w="4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260" w:type="dxa"/>
            <w:vAlign w:val="bottom"/>
          </w:tcPr>
          <w:p>
            <w:pPr>
              <w:ind w:left="100"/>
              <w:spacing w:after="0"/>
              <w:rPr>
                <w:sz w:val="20"/>
                <w:szCs w:val="20"/>
                <w:color w:val="auto"/>
              </w:rPr>
            </w:pPr>
            <w:r>
              <w:rPr>
                <w:rFonts w:ascii="Arial" w:cs="Arial" w:eastAsia="Arial" w:hAnsi="Arial"/>
                <w:sz w:val="18"/>
                <w:szCs w:val="18"/>
                <w:color w:val="auto"/>
              </w:rPr>
              <w:t>Selling, general and administrative</w:t>
            </w: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4,677,797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2,669,063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2,008,734</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75%</w:t>
            </w:r>
          </w:p>
        </w:tc>
        <w:tc>
          <w:tcPr>
            <w:tcW w:w="20" w:type="dxa"/>
            <w:vAlign w:val="bottom"/>
          </w:tcPr>
          <w:p>
            <w:pPr>
              <w:spacing w:after="0"/>
              <w:rPr>
                <w:sz w:val="18"/>
                <w:szCs w:val="18"/>
                <w:color w:val="auto"/>
              </w:rPr>
            </w:pPr>
          </w:p>
        </w:tc>
      </w:tr>
      <w:tr>
        <w:trPr>
          <w:trHeight w:val="223"/>
        </w:trPr>
        <w:tc>
          <w:tcPr>
            <w:tcW w:w="4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Research and development</w:t>
            </w:r>
          </w:p>
        </w:tc>
        <w:tc>
          <w:tcPr>
            <w:tcW w:w="1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1,110,956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891,032</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219,924</w:t>
            </w: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9"/>
                <w:szCs w:val="19"/>
                <w:color w:val="auto"/>
              </w:rPr>
            </w:pPr>
          </w:p>
        </w:tc>
      </w:tr>
      <w:tr>
        <w:trPr>
          <w:trHeight w:val="223"/>
        </w:trPr>
        <w:tc>
          <w:tcPr>
            <w:tcW w:w="42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 operating expenses</w:t>
            </w:r>
          </w:p>
        </w:tc>
        <w:tc>
          <w:tcPr>
            <w:tcW w:w="1720" w:type="dxa"/>
            <w:vAlign w:val="bottom"/>
            <w:tcBorders>
              <w:top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5,788,753</w:t>
            </w:r>
          </w:p>
        </w:tc>
        <w:tc>
          <w:tcPr>
            <w:tcW w:w="18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3,560,095</w:t>
            </w:r>
          </w:p>
        </w:tc>
        <w:tc>
          <w:tcPr>
            <w:tcW w:w="16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2,228,658</w:t>
            </w:r>
          </w:p>
        </w:tc>
        <w:tc>
          <w:tcPr>
            <w:tcW w:w="28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63%</w:t>
            </w:r>
          </w:p>
        </w:tc>
        <w:tc>
          <w:tcPr>
            <w:tcW w:w="20" w:type="dxa"/>
            <w:vAlign w:val="bottom"/>
          </w:tcPr>
          <w:p>
            <w:pPr>
              <w:spacing w:after="0"/>
              <w:rPr>
                <w:sz w:val="19"/>
                <w:szCs w:val="19"/>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7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(5,237,506)</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(3,479,755)</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(1,757,751)</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18"/>
                <w:szCs w:val="18"/>
                <w:color w:val="auto"/>
              </w:rPr>
            </w:pPr>
          </w:p>
        </w:tc>
      </w:tr>
      <w:tr>
        <w:trPr>
          <w:trHeight w:val="27"/>
        </w:trPr>
        <w:tc>
          <w:tcPr>
            <w:tcW w:w="426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w:t>
      </w:r>
    </w:p>
    <w:p>
      <w:pPr>
        <w:spacing w:after="0" w:line="225"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We reported revenue of $1,497,777 for the six months ended June 30, 2020 from the sale of BolaWrap products and accessories and Wrap Armor tactical shields. This was a significant increase from the first six month of the prior year when we had only recently commenced product sales and reported sales of $162,901. As disclosed above we believe our sales during the second quarter were negatively impacted by the COVID-19 pandemic as we were severely limited in our ability to make product demonstrations and conduct training both domestically and internationally. As some areas of the country eased restrictions late in the second quarter we were able to commence limited in-person demonstrations and training to supplement our webinar capabilities. We incurred product promotional costs of $310,973 during the six months ended June 30, 2020 related to the cost of demonstration products and accessories delivered to law enforcement agencies that were expensed as marketing costs. A total of $135,060 of such product marketing costs were incurred during the six months ended June 30, 2019.</w:t>
      </w:r>
    </w:p>
    <w:p>
      <w:pPr>
        <w:spacing w:after="0" w:line="198"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We had $594 of deferred revenue at June 30, 2020 related to products sold for which the related training revenue component had not been completed and $1,890 related to extended warranties.</w:t>
      </w:r>
    </w:p>
    <w:p>
      <w:pPr>
        <w:spacing w:after="0" w:line="186"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At June 30, 2020, we had $183,537 of customer deposits on orders and had backlog of approximately $1.5 million expected to be delivered in the next twelve months. Distributor and customer orders for future deliveries are generally subject to modification, rescheduling or in some instance’s cancellation in the normal course of business.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Gross Profit</w:t>
      </w:r>
    </w:p>
    <w:p>
      <w:pPr>
        <w:spacing w:after="0" w:line="22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Our cost of revenue for the six months ended June 30, 2020 was $970,782 resulting in a gross margin of 36%. The gross margin for the six months ended June 30, 2019 was 45% on a small revenue base. We curtailed production for ten weeks during the second quarter due the COVID-19 restrictions in Arizona and this down time negatively impacted our gross margin.</w:t>
      </w:r>
    </w:p>
    <w:p>
      <w:pPr>
        <w:spacing w:after="0" w:line="194"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Due to our history of minimal revenue and startup costs incurred to establish volume manufacturing historical margins may not be indicative of future margins. In addition, our margins vary based on the sales channels through which our products are sold and product mix. Due to timing of international orders our mix of cartridges was higher in the first six months of 2020 than 2019. Currently, our cartridges have lower margins than BolaWrap devices, however, we are pursuing initiatives to improve gross margins attributable to our cartridges. We continue to implement product updates and changes, including raw material and component changes that may impact product costs. With such product updates and changes we have limited warranty cost experience and estimated future warranty costs can impact our gross margins.</w:t>
      </w:r>
    </w:p>
    <w:p>
      <w:pPr>
        <w:sectPr>
          <w:pgSz w:w="11900" w:h="16838" w:orient="portrait"/>
          <w:cols w:equalWidth="0" w:num="1">
            <w:col w:w="11260"/>
          </w:cols>
          <w:pgMar w:left="320" w:top="131"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60"/>
          </w:cols>
          <w:pgMar w:left="320" w:top="131" w:right="319" w:bottom="1440" w:gutter="0" w:footer="0" w:header="0"/>
          <w:type w:val="continuous"/>
        </w:sectPr>
      </w:pPr>
    </w:p>
    <w:bookmarkStart w:id="22" w:name="page23"/>
    <w:bookmarkEnd w:id="22"/>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Selling, General and Administrative Expense</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Selling, general and administrative expense for the six months ended June 30, 2020 increased by $2,008,734 when compared to the six months ended June 30, 2019. We increased our staffing and promotion activities in 2020 to address growing market opportunities. We incurred a $376,717 increase in non-cash stock-based compensation expense allocated to selling, general and administrative expense that totaled $925,134 in the six months ended June 30, 2020 compared to $548,417 in the six months ended June 30, 2019. Other increases included a $828,223 increase in cash compensation and recruiting costs from an increase in headcount since the prior year and a $124,300 increase in public company related costs. Marketing and promotion costs increased $380,531 due primarily to promotional products and online advertising. Due to the COVID-19 pandemic we suspended most travel in the second quarter. Our travel costs related to sales, demonstrations and training increased by $35,555 from the prior year substantially resulting from increased travel during the first quarter.</w:t>
      </w:r>
    </w:p>
    <w:p>
      <w:pPr>
        <w:spacing w:after="0" w:line="15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Due in part to the receipt of $414,362 in proceeds from the PPP Loan, we maintained staffing in April, May and June positioning us to respond to limited re-openings late in the second quarter and develop and employ new tools such as webinars to communicate with prospective and existing customers. We believe these staffing decisions positioned us to respond to increased opportunities resulting from recent highly publicized policing issues and an increased focus on less lethal engagement.</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expect to expend increased resources on the marketing and selling of our products, training distributors and customers and administratively supporting our operations during the balance of 2020 to respond to increased opportunities but amounts could vary depending on sales levels, the impact of the COVID-19 crisis and other factors outside of our control.</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Research and Development Expense</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Research and development expense increased $219,924 during the six months ended June 30, 2020, when compared to the comparable period in 2019. We incurred a $38,620 period over period increase in non-cash stock-based compensation expense allocated to research and development expense as a result of new award grants and vesting timing. The increase in costs during the 2020 period, when compared to the comparable period in 2019, included a $214,976 increase in cash compensation costs resulting from an increase in headcount primarily associated with product development. Prototype related costs increased $35,116 in the 2020 period, primarily related to the timing of projects. We expect our research and development costs to increase during the balance of 2020 was we are adding staff and expanding our research initiatives in response to market opportunities.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Loss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Loss from operations during the six months ended June 30, 2020 increased by $1,757,751 when compared to the six months ended June 30, 2019, resulting, primarily, from increased operating costs due to increased personnel and marketing and selling and supporting activities.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experienced net losses and negative cash flows from operations since our inception. As of June 30, 2020, we had cash of $35,385,246 and positive working capital of $36,656,013 and had sustained cumulative losses attributable to stockholders of $17,892,302. We believe that our cash on hand will sustain our operations for at least the next twelve months from the date of this Report.</w:t>
      </w:r>
    </w:p>
    <w:p>
      <w:pPr>
        <w:spacing w:after="0" w:line="194"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During the six months ended June 30, 2020 we received $11,667,206 of net proceeds resulting from the consummation of a registered offering of our common stock in June 2020, and obtained $10,367,316 of net proceeds from the exercise of previously issued warrants and stock options. We also obtained $414,362 in proceeds from a PPP Loan during the period.</w:t>
      </w:r>
    </w:p>
    <w:p>
      <w:pPr>
        <w:spacing w:after="0" w:line="19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July 2020 through the date of this report we obtained $10,996,975 of net cash proceeds from the exercise of outstanding warrants and stock options to supplement our liquidity.</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3" w:name="page24"/>
    <w:bookmarkEnd w:id="23"/>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primary source of liquidity to date has been funding from our stockholders from the sale of equity securities and the exercise of derivative securities, consisting of options and warrants. We expect our primary source of future liquidity will be from the sale of products, exercise of stock options and warrants and if required from future equity or debt financings.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Requirements</w:t>
      </w:r>
    </w:p>
    <w:p>
      <w:pPr>
        <w:spacing w:after="0" w:line="22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We cannot currently estimate our future liquidity requirements or future capital needs, which will depend on, among other things, capital required to introduce our products and the staffing and support requirements, as well as the timing and amount of future revenue and product costs. We anticipate that demands for operating and working capital may grow depending on decisions on staffing, development, production, marketing, training and other functions and based on other factors outside of our control. We believe we have sufficient capital to sustain our operations for the next twelve months.</w:t>
      </w:r>
    </w:p>
    <w:p>
      <w:pPr>
        <w:spacing w:after="0" w:line="16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future capital requirements, cash flows and results of operations could be affected by, and will depend on, many factors, some of which are currently unknown to us, including, among other things:</w:t>
      </w:r>
    </w:p>
    <w:p>
      <w:pPr>
        <w:spacing w:after="0" w:line="186" w:lineRule="exact"/>
        <w:rPr>
          <w:sz w:val="20"/>
          <w:szCs w:val="20"/>
          <w:color w:val="auto"/>
        </w:rPr>
      </w:pPr>
    </w:p>
    <w:p>
      <w:pPr>
        <w:ind w:left="660" w:hanging="328"/>
        <w:spacing w:after="0" w:line="254"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impact and effects of the global outbreak of the COVID-19 pandemic, and other potential pandemics or contagious diseases or fear of such outbreaks;</w:t>
      </w: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decisions regarding staffing, development, production, marketing and other functions;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timing and extent of any market acceptance of our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timing and outcome of planned production and required customer and regulatory compliance of our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of preparing, filing and prosecuting our patent applications and defending any future intellectual property-related claims;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and timing of additional product development;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timing and outcome of any future warranty claims or litigation against us associated with any of our products;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timing and costs associated with any new financing.</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no off-balance sheet arrangements.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the six months ended June 30, 2020, net cash used in operating activities was $3,896,915. The net loss of $5,162,478 was decreased by non-cash expense of $1,109,670 consisting primarily of stock-based compensation expense of $1,016,235. Other major component changes using operating cash included an increase of $306,979 in accounts receivable, a $193,019 decrease in customer deposits and a $29,323 increase in prepaid expenses and other current assets. A decrease of $206,036 in inventories and an increase of $541,747 in accounts payable and accrued liabilities reduced the cash used in operating activities.</w:t>
      </w:r>
    </w:p>
    <w:p>
      <w:pPr>
        <w:spacing w:after="0" w:line="20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During the six months ended June 30, 2019, net cash used in operating activities was $3,725,677 consisting primarily of the net loss of $3,394,855 reduced by non-cash stock-based compensation of $600,898. Inventories increased $1,032,308 and prepaid expenses increased $71,182 both changes using operating cash while a $242,894 increase in accounts payable and accrued liabilities reduced cash used in operations.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We used $68,584 and $108,616 of cash for the purchase of property and equipment during the six months ended June 30, 2020 and 2019, respectively. We invested $82,003 and $68,501 in patents during the six months ended June 30, 2020 and 2019, respectively.</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4" w:name="page25"/>
    <w:bookmarkEnd w:id="24"/>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During the six months ended June 30, 2020 we received $11,667,206 of net proceeds resulting from the consummation of a registered offering of our common stock in June 2020, and obtained $10,367,316 of net proceeds from the exercise of previously issued warrants and stock options. We also obtained $414,362 in proceeds from a PPP Loan during the period.</w:t>
      </w:r>
    </w:p>
    <w:p>
      <w:pPr>
        <w:spacing w:after="0" w:line="194"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During the six months ended June 30, 2019 we received $11,351,214 of net proceeds resulting from the consummation of a registered offering of our common stock in June 2019, and obtained $1,581,660 from the exercise of previously issued warrants and stock options.</w:t>
      </w:r>
    </w:p>
    <w:p>
      <w:pPr>
        <w:spacing w:after="0" w:line="18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July 2020 through the date of this report our financing activities included $10,996,975 of net cash proceeds from the exercise of outstanding warrants and stock options.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are obligated to pay to Syzygy Licensing, LLC (“</w:t>
      </w:r>
      <w:r>
        <w:rPr>
          <w:rFonts w:ascii="Arial" w:cs="Arial" w:eastAsia="Arial" w:hAnsi="Arial"/>
          <w:sz w:val="18"/>
          <w:szCs w:val="18"/>
          <w:i w:val="1"/>
          <w:iCs w:val="1"/>
          <w:color w:val="auto"/>
        </w:rPr>
        <w:t>Syzygy</w:t>
      </w:r>
      <w:r>
        <w:rPr>
          <w:rFonts w:ascii="Arial" w:cs="Arial" w:eastAsia="Arial" w:hAnsi="Arial"/>
          <w:sz w:val="18"/>
          <w:szCs w:val="18"/>
          <w:color w:val="auto"/>
        </w:rPr>
        <w:t>”) a 4% royalty fee on future product sales up to an aggregate amount of $1.0 million in royalties or until September 30, 2026, whichever occurs earlier.</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We are committed to aggregate lease payments on facility leases of $72,362 for the balance of 2020, $101,406 in 2021 and $57,328 in 2022.</w:t>
      </w:r>
    </w:p>
    <w:p>
      <w:pPr>
        <w:spacing w:after="0" w:line="225" w:lineRule="exact"/>
        <w:rPr>
          <w:sz w:val="20"/>
          <w:szCs w:val="20"/>
          <w:color w:val="auto"/>
        </w:rPr>
      </w:pPr>
    </w:p>
    <w:p>
      <w:pPr>
        <w:jc w:val="both"/>
        <w:ind w:right="20"/>
        <w:spacing w:after="0" w:line="331" w:lineRule="auto"/>
        <w:rPr>
          <w:sz w:val="20"/>
          <w:szCs w:val="20"/>
          <w:color w:val="auto"/>
        </w:rPr>
      </w:pPr>
      <w:r>
        <w:rPr>
          <w:rFonts w:ascii="Arial" w:cs="Arial" w:eastAsia="Arial" w:hAnsi="Arial"/>
          <w:sz w:val="16"/>
          <w:szCs w:val="16"/>
          <w:color w:val="auto"/>
        </w:rPr>
        <w:t>At June 30, 2020 we were committed to approximately $1.7 million of purchase commitments for product components and contract services. These purchase commitments are generally subject to modification as to timing, quantities and scheduling and in certain instances may be cancelable without penalty.</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Inflation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We do not believe that inflation has had a material impact on our business, revenue or operating results during the periods presented.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There have been no recent accounting pronouncements or changes in accounting pronouncements during the period ended June 30, 2020, or subsequently thereto, that we believe are of potential significance to our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are required to maintain disclosure controls and procedures designed to ensure that material information related to us, including our consolidated subsidiaries, is recorded, processed, summarized and reported within the time periods specified in the SEC rules and forms.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Conclusion Regarding the Effectiveness of Disclosure Controls and Procedures</w:t>
      </w:r>
    </w:p>
    <w:p>
      <w:pPr>
        <w:spacing w:after="0" w:line="22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Under the supervision and with the participation of our management, including our principal executive officer and our principal financial officer, as of June 30, 2020 we conducted an evaluation of our disclosure controls and procedures as such term is defined under Rules 13a-15(e) and 15d-15(e) promulgated under the Securities Exchange Act of 1934, as amended. Based on this evaluation, our principal executive officer and our principal financial officer concluded that our disclosure controls and procedures were effective at the reasonable assurance level.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Changes in Internal Control over Financial Reporting</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There have been no changes in our internal control over financial reporting during our fiscal quarter ended June 30, 2020, that have materially affected, or are reasonably likely to materially affect, our internal control over financial reporting. Our process for evaluating controls and procedures is continuous and encompasses constant improvement of the design and effectiveness of established controls and procedures and the remediation of any deficiencies, which may be identified during this process.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5" w:name="page26"/>
    <w:bookmarkEnd w:id="25"/>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may at times become involved in litigation in the ordinary course of business. We will also, from time to time, when appropriate in management’s estimation, record adequate reserves in our financial statements for pending litigation. Currently, there are no pending material legal proceedings to which the Company is a party or to which any of its property is subject.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31"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As a Smaller Reporting Company as defined by Rule 12b-2 of the Exchange Act and in Item 10(f)(1) of Regulation S-K, we are electing scaled disclosure reporting obligations and therefore are not required to provide the information requested by this item.</w:t>
      </w:r>
    </w:p>
    <w:p>
      <w:pPr>
        <w:spacing w:after="0" w:line="18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Investors should carefully consider the risk factors included in the “Risk Factors” section of our Annual Report on Form 10-K for our year ended December 31, 2019, as filed with SEC on March 10, 2020. The Company’s business, operating results and financial condition could be adversely affected due to any of those risks including, but not limited to, the risk factor related to business interruptions, including interruptions resulting from the COVID-19 coronavirus. The extent to which the coronavirus impacts our operations or those of our third-party partners will depend on future developments, which are highly uncertain and cannot be predicted with confidence, including the duration of the outbreak, new information that may emerge concerning the severity of the coronavirus and the actions to contain the coronavirus or treat its impact, among others. Any losses or damages we incur could have a material adverse effect on our financial results and our ability to conduct business as expected</w:t>
      </w:r>
      <w:r>
        <w:rPr>
          <w:rFonts w:ascii="Arial" w:cs="Arial" w:eastAsia="Arial" w:hAnsi="Arial"/>
          <w:sz w:val="16"/>
          <w:szCs w:val="16"/>
          <w:b w:val="1"/>
          <w:bCs w:val="1"/>
          <w:i w:val="1"/>
          <w:iCs w:val="1"/>
          <w:color w:val="auto"/>
        </w:rPr>
        <w:t>.</w:t>
      </w:r>
    </w:p>
    <w:p>
      <w:pPr>
        <w:spacing w:after="0" w:line="17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Additionally, the continued spread of COVID-19 and uncertain market conditions may adversely affect our business, financial condition and results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No unregistered securities were issued during the three months ended June 30, 2020 that were not previously reported.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940" w:type="dxa"/>
            <w:vAlign w:val="bottom"/>
            <w:shd w:val="clear" w:color="auto" w:fill="CCEEFF"/>
          </w:tcPr>
          <w:p>
            <w:pPr>
              <w:spacing w:after="0"/>
              <w:rPr>
                <w:rFonts w:ascii="Arial" w:cs="Arial" w:eastAsia="Arial" w:hAnsi="Arial"/>
                <w:sz w:val="18"/>
                <w:szCs w:val="18"/>
                <w:u w:val="single" w:color="auto"/>
                <w:color w:val="0000EE"/>
                <w:w w:val="97"/>
              </w:rPr>
            </w:pPr>
            <w:hyperlink w:anchor="page28">
              <w:r>
                <w:rPr>
                  <w:rFonts w:ascii="Arial" w:cs="Arial" w:eastAsia="Arial" w:hAnsi="Arial"/>
                  <w:sz w:val="18"/>
                  <w:szCs w:val="18"/>
                  <w:u w:val="single" w:color="auto"/>
                  <w:color w:val="0000EE"/>
                  <w:w w:val="97"/>
                </w:rPr>
                <w:t>Exhibit 31.1</w:t>
              </w:r>
            </w:hyperlink>
          </w:p>
        </w:tc>
        <w:tc>
          <w:tcPr>
            <w:tcW w:w="80" w:type="dxa"/>
            <w:vAlign w:val="bottom"/>
            <w:shd w:val="clear" w:color="auto" w:fill="CCEEFF"/>
          </w:tcPr>
          <w:p>
            <w:pPr>
              <w:spacing w:after="0"/>
              <w:rPr>
                <w:sz w:val="18"/>
                <w:szCs w:val="18"/>
                <w:color w:val="auto"/>
              </w:rPr>
            </w:pPr>
          </w:p>
        </w:tc>
        <w:tc>
          <w:tcPr>
            <w:tcW w:w="10220" w:type="dxa"/>
            <w:vAlign w:val="bottom"/>
            <w:shd w:val="clear" w:color="auto" w:fill="CCEEFF"/>
          </w:tcPr>
          <w:p>
            <w:pPr>
              <w:ind w:left="460"/>
              <w:spacing w:after="0"/>
              <w:rPr>
                <w:sz w:val="20"/>
                <w:szCs w:val="20"/>
                <w:color w:val="auto"/>
              </w:rPr>
            </w:pPr>
            <w:r>
              <w:rPr>
                <w:rFonts w:ascii="Arial" w:cs="Arial" w:eastAsia="Arial" w:hAnsi="Arial"/>
                <w:sz w:val="18"/>
                <w:szCs w:val="18"/>
                <w:color w:val="auto"/>
                <w:w w:val="90"/>
              </w:rPr>
              <w:t>Certification of David Norris, Principal Executive Officer, pursuant to Rule 13a-14(a) or 15d-14(a) of the Securities and Exchange Act of</w:t>
            </w:r>
          </w:p>
        </w:tc>
        <w:tc>
          <w:tcPr>
            <w:tcW w:w="20" w:type="dxa"/>
            <w:vAlign w:val="bottom"/>
          </w:tcPr>
          <w:p>
            <w:pPr>
              <w:spacing w:after="0"/>
              <w:rPr>
                <w:sz w:val="18"/>
                <w:szCs w:val="18"/>
                <w:color w:val="auto"/>
              </w:rPr>
            </w:pPr>
          </w:p>
        </w:tc>
      </w:tr>
      <w:tr>
        <w:trPr>
          <w:trHeight w:val="224"/>
        </w:trPr>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1934, as amended, as adopted pursuant to Section 302 of the Sarbanes-Oxley Act of 2002.*</w:t>
            </w:r>
          </w:p>
        </w:tc>
        <w:tc>
          <w:tcPr>
            <w:tcW w:w="20" w:type="dxa"/>
            <w:vAlign w:val="bottom"/>
          </w:tcPr>
          <w:p>
            <w:pPr>
              <w:spacing w:after="0"/>
              <w:rPr>
                <w:sz w:val="19"/>
                <w:szCs w:val="19"/>
                <w:color w:val="auto"/>
              </w:rPr>
            </w:pPr>
          </w:p>
        </w:tc>
      </w:tr>
      <w:tr>
        <w:trPr>
          <w:trHeight w:val="208"/>
        </w:trPr>
        <w:tc>
          <w:tcPr>
            <w:tcW w:w="940" w:type="dxa"/>
            <w:vAlign w:val="bottom"/>
          </w:tcPr>
          <w:p>
            <w:pPr>
              <w:spacing w:after="0"/>
              <w:rPr>
                <w:rFonts w:ascii="Arial" w:cs="Arial" w:eastAsia="Arial" w:hAnsi="Arial"/>
                <w:sz w:val="18"/>
                <w:szCs w:val="18"/>
                <w:u w:val="single" w:color="auto"/>
                <w:color w:val="0000EE"/>
                <w:w w:val="97"/>
              </w:rPr>
            </w:pPr>
            <w:hyperlink w:anchor="page29">
              <w:r>
                <w:rPr>
                  <w:rFonts w:ascii="Arial" w:cs="Arial" w:eastAsia="Arial" w:hAnsi="Arial"/>
                  <w:sz w:val="18"/>
                  <w:szCs w:val="18"/>
                  <w:u w:val="single" w:color="auto"/>
                  <w:color w:val="0000EE"/>
                  <w:w w:val="97"/>
                </w:rPr>
                <w:t>Exhibit 31.2</w:t>
              </w:r>
            </w:hyperlink>
          </w:p>
        </w:tc>
        <w:tc>
          <w:tcPr>
            <w:tcW w:w="80" w:type="dxa"/>
            <w:vAlign w:val="bottom"/>
          </w:tcPr>
          <w:p>
            <w:pPr>
              <w:spacing w:after="0"/>
              <w:rPr>
                <w:sz w:val="18"/>
                <w:szCs w:val="18"/>
                <w:color w:val="auto"/>
              </w:rPr>
            </w:pPr>
          </w:p>
        </w:tc>
        <w:tc>
          <w:tcPr>
            <w:tcW w:w="10220" w:type="dxa"/>
            <w:vAlign w:val="bottom"/>
          </w:tcPr>
          <w:p>
            <w:pPr>
              <w:ind w:left="460"/>
              <w:spacing w:after="0"/>
              <w:rPr>
                <w:sz w:val="20"/>
                <w:szCs w:val="20"/>
                <w:color w:val="auto"/>
              </w:rPr>
            </w:pPr>
            <w:r>
              <w:rPr>
                <w:rFonts w:ascii="Arial" w:cs="Arial" w:eastAsia="Arial" w:hAnsi="Arial"/>
                <w:sz w:val="18"/>
                <w:szCs w:val="18"/>
                <w:color w:val="auto"/>
                <w:w w:val="89"/>
              </w:rPr>
              <w:t>Certification of James A. Barnes, Principal Financial Officer, pursuant to Rule 13a-14(a) or 15d-14(a) of the Securities and Exchange Act</w:t>
            </w:r>
          </w:p>
        </w:tc>
        <w:tc>
          <w:tcPr>
            <w:tcW w:w="20" w:type="dxa"/>
            <w:vAlign w:val="bottom"/>
          </w:tcPr>
          <w:p>
            <w:pPr>
              <w:spacing w:after="0"/>
              <w:rPr>
                <w:sz w:val="18"/>
                <w:szCs w:val="18"/>
                <w:color w:val="auto"/>
              </w:rPr>
            </w:pPr>
          </w:p>
        </w:tc>
      </w:tr>
      <w:tr>
        <w:trPr>
          <w:trHeight w:val="222"/>
        </w:trPr>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40" w:type="dxa"/>
            <w:vAlign w:val="bottom"/>
            <w:gridSpan w:val="2"/>
          </w:tcPr>
          <w:p>
            <w:pPr>
              <w:ind w:left="460"/>
              <w:spacing w:after="0"/>
              <w:rPr>
                <w:sz w:val="20"/>
                <w:szCs w:val="20"/>
                <w:color w:val="auto"/>
              </w:rPr>
            </w:pPr>
            <w:r>
              <w:rPr>
                <w:rFonts w:ascii="Arial" w:cs="Arial" w:eastAsia="Arial" w:hAnsi="Arial"/>
                <w:sz w:val="18"/>
                <w:szCs w:val="18"/>
                <w:color w:val="auto"/>
              </w:rPr>
              <w:t>of 1934, as amended, as adopted pursuant to Section 302 of the Sarbanes-Oxley Act of 2002.*</w:t>
            </w:r>
          </w:p>
        </w:tc>
      </w:tr>
      <w:tr>
        <w:trPr>
          <w:trHeight w:val="210"/>
        </w:trPr>
        <w:tc>
          <w:tcPr>
            <w:tcW w:w="940" w:type="dxa"/>
            <w:vAlign w:val="bottom"/>
            <w:shd w:val="clear" w:color="auto" w:fill="CCEEFF"/>
          </w:tcPr>
          <w:p>
            <w:pPr>
              <w:spacing w:after="0"/>
              <w:rPr>
                <w:rFonts w:ascii="Arial" w:cs="Arial" w:eastAsia="Arial" w:hAnsi="Arial"/>
                <w:sz w:val="18"/>
                <w:szCs w:val="18"/>
                <w:u w:val="single" w:color="auto"/>
                <w:color w:val="0000EE"/>
                <w:w w:val="97"/>
              </w:rPr>
            </w:pPr>
            <w:hyperlink w:anchor="page30">
              <w:r>
                <w:rPr>
                  <w:rFonts w:ascii="Arial" w:cs="Arial" w:eastAsia="Arial" w:hAnsi="Arial"/>
                  <w:sz w:val="18"/>
                  <w:szCs w:val="18"/>
                  <w:u w:val="single" w:color="auto"/>
                  <w:color w:val="0000EE"/>
                  <w:w w:val="97"/>
                </w:rPr>
                <w:t>Exhibit 32.1</w:t>
              </w:r>
            </w:hyperlink>
          </w:p>
        </w:tc>
        <w:tc>
          <w:tcPr>
            <w:tcW w:w="80" w:type="dxa"/>
            <w:vAlign w:val="bottom"/>
            <w:shd w:val="clear" w:color="auto" w:fill="CCEEFF"/>
          </w:tcPr>
          <w:p>
            <w:pPr>
              <w:spacing w:after="0"/>
              <w:rPr>
                <w:sz w:val="18"/>
                <w:szCs w:val="18"/>
                <w:color w:val="auto"/>
              </w:rPr>
            </w:pPr>
          </w:p>
        </w:tc>
        <w:tc>
          <w:tcPr>
            <w:tcW w:w="10220" w:type="dxa"/>
            <w:vAlign w:val="bottom"/>
            <w:shd w:val="clear" w:color="auto" w:fill="CCEEFF"/>
          </w:tcPr>
          <w:p>
            <w:pPr>
              <w:ind w:left="460"/>
              <w:spacing w:after="0"/>
              <w:rPr>
                <w:sz w:val="20"/>
                <w:szCs w:val="20"/>
                <w:color w:val="auto"/>
              </w:rPr>
            </w:pPr>
            <w:r>
              <w:rPr>
                <w:rFonts w:ascii="Arial" w:cs="Arial" w:eastAsia="Arial" w:hAnsi="Arial"/>
                <w:sz w:val="18"/>
                <w:szCs w:val="18"/>
                <w:color w:val="auto"/>
                <w:w w:val="91"/>
              </w:rPr>
              <w:t>Certification pursuant to 18 U.S.C. Section 1350, as adopted pursuant to Section 906 of the Sarbanes-Oxley Act of 2002, executed by</w:t>
            </w:r>
          </w:p>
        </w:tc>
        <w:tc>
          <w:tcPr>
            <w:tcW w:w="20" w:type="dxa"/>
            <w:vAlign w:val="bottom"/>
          </w:tcPr>
          <w:p>
            <w:pPr>
              <w:spacing w:after="0"/>
              <w:rPr>
                <w:sz w:val="18"/>
                <w:szCs w:val="18"/>
                <w:color w:val="auto"/>
              </w:rPr>
            </w:pPr>
          </w:p>
        </w:tc>
      </w:tr>
      <w:tr>
        <w:trPr>
          <w:trHeight w:val="224"/>
        </w:trPr>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David Norris, Principal Executive Officer, and James A. Barnes, Principal Financial Officer.*</w:t>
            </w:r>
          </w:p>
        </w:tc>
        <w:tc>
          <w:tcPr>
            <w:tcW w:w="20" w:type="dxa"/>
            <w:vAlign w:val="bottom"/>
          </w:tcPr>
          <w:p>
            <w:pPr>
              <w:spacing w:after="0"/>
              <w:rPr>
                <w:sz w:val="19"/>
                <w:szCs w:val="19"/>
                <w:color w:val="auto"/>
              </w:rPr>
            </w:pPr>
          </w:p>
        </w:tc>
      </w:tr>
      <w:tr>
        <w:trPr>
          <w:trHeight w:val="439"/>
        </w:trPr>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Extensible Business Reporting Language (XBRL) Exhibits*</w:t>
            </w:r>
          </w:p>
        </w:tc>
        <w:tc>
          <w:tcPr>
            <w:tcW w:w="20" w:type="dxa"/>
            <w:vAlign w:val="bottom"/>
          </w:tcPr>
          <w:p>
            <w:pPr>
              <w:spacing w:after="0"/>
              <w:rPr>
                <w:sz w:val="24"/>
                <w:szCs w:val="24"/>
                <w:color w:val="auto"/>
              </w:rPr>
            </w:pPr>
          </w:p>
        </w:tc>
      </w:tr>
      <w:tr>
        <w:trPr>
          <w:trHeight w:val="216"/>
        </w:trPr>
        <w:tc>
          <w:tcPr>
            <w:tcW w:w="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101.INS</w:t>
            </w:r>
          </w:p>
        </w:tc>
        <w:tc>
          <w:tcPr>
            <w:tcW w:w="103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XBRL Instance Document*</w:t>
            </w:r>
          </w:p>
        </w:tc>
        <w:tc>
          <w:tcPr>
            <w:tcW w:w="20" w:type="dxa"/>
            <w:vAlign w:val="bottom"/>
          </w:tcPr>
          <w:p>
            <w:pPr>
              <w:spacing w:after="0"/>
              <w:rPr>
                <w:sz w:val="18"/>
                <w:szCs w:val="18"/>
                <w:color w:val="auto"/>
              </w:rPr>
            </w:pPr>
          </w:p>
        </w:tc>
      </w:tr>
      <w:tr>
        <w:trPr>
          <w:trHeight w:val="216"/>
        </w:trPr>
        <w:tc>
          <w:tcPr>
            <w:tcW w:w="940" w:type="dxa"/>
            <w:vAlign w:val="bottom"/>
          </w:tcPr>
          <w:p>
            <w:pPr>
              <w:ind w:left="180"/>
              <w:spacing w:after="0"/>
              <w:rPr>
                <w:sz w:val="20"/>
                <w:szCs w:val="20"/>
                <w:color w:val="auto"/>
              </w:rPr>
            </w:pPr>
            <w:r>
              <w:rPr>
                <w:rFonts w:ascii="Arial" w:cs="Arial" w:eastAsia="Arial" w:hAnsi="Arial"/>
                <w:sz w:val="18"/>
                <w:szCs w:val="18"/>
                <w:color w:val="auto"/>
              </w:rPr>
              <w:t>101.SCH</w:t>
            </w:r>
          </w:p>
        </w:tc>
        <w:tc>
          <w:tcPr>
            <w:tcW w:w="10300" w:type="dxa"/>
            <w:vAlign w:val="bottom"/>
            <w:gridSpan w:val="2"/>
          </w:tcPr>
          <w:p>
            <w:pPr>
              <w:ind w:left="80"/>
              <w:spacing w:after="0"/>
              <w:rPr>
                <w:sz w:val="20"/>
                <w:szCs w:val="20"/>
                <w:color w:val="auto"/>
              </w:rPr>
            </w:pPr>
            <w:r>
              <w:rPr>
                <w:rFonts w:ascii="Arial" w:cs="Arial" w:eastAsia="Arial" w:hAnsi="Arial"/>
                <w:sz w:val="18"/>
                <w:szCs w:val="18"/>
                <w:color w:val="auto"/>
              </w:rPr>
              <w:t>XBRL Taxonomy Extension Schema Document*</w:t>
            </w:r>
          </w:p>
        </w:tc>
        <w:tc>
          <w:tcPr>
            <w:tcW w:w="20" w:type="dxa"/>
            <w:vAlign w:val="bottom"/>
          </w:tcPr>
          <w:p>
            <w:pPr>
              <w:spacing w:after="0"/>
              <w:rPr>
                <w:sz w:val="18"/>
                <w:szCs w:val="18"/>
                <w:color w:val="auto"/>
              </w:rPr>
            </w:pPr>
          </w:p>
        </w:tc>
      </w:tr>
      <w:tr>
        <w:trPr>
          <w:trHeight w:val="216"/>
        </w:trPr>
        <w:tc>
          <w:tcPr>
            <w:tcW w:w="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101.CAL</w:t>
            </w:r>
          </w:p>
        </w:tc>
        <w:tc>
          <w:tcPr>
            <w:tcW w:w="103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XBRL Taxonomy Extension Calculation Linkbase Document*</w:t>
            </w:r>
          </w:p>
        </w:tc>
        <w:tc>
          <w:tcPr>
            <w:tcW w:w="20" w:type="dxa"/>
            <w:vAlign w:val="bottom"/>
          </w:tcPr>
          <w:p>
            <w:pPr>
              <w:spacing w:after="0"/>
              <w:rPr>
                <w:sz w:val="18"/>
                <w:szCs w:val="18"/>
                <w:color w:val="auto"/>
              </w:rPr>
            </w:pPr>
          </w:p>
        </w:tc>
      </w:tr>
      <w:tr>
        <w:trPr>
          <w:trHeight w:val="216"/>
        </w:trPr>
        <w:tc>
          <w:tcPr>
            <w:tcW w:w="940" w:type="dxa"/>
            <w:vAlign w:val="bottom"/>
          </w:tcPr>
          <w:p>
            <w:pPr>
              <w:ind w:left="180"/>
              <w:spacing w:after="0"/>
              <w:rPr>
                <w:sz w:val="20"/>
                <w:szCs w:val="20"/>
                <w:color w:val="auto"/>
              </w:rPr>
            </w:pPr>
            <w:r>
              <w:rPr>
                <w:rFonts w:ascii="Arial" w:cs="Arial" w:eastAsia="Arial" w:hAnsi="Arial"/>
                <w:sz w:val="18"/>
                <w:szCs w:val="18"/>
                <w:color w:val="auto"/>
              </w:rPr>
              <w:t>101.DEF</w:t>
            </w:r>
          </w:p>
        </w:tc>
        <w:tc>
          <w:tcPr>
            <w:tcW w:w="10300" w:type="dxa"/>
            <w:vAlign w:val="bottom"/>
            <w:gridSpan w:val="2"/>
          </w:tcPr>
          <w:p>
            <w:pPr>
              <w:ind w:left="80"/>
              <w:spacing w:after="0"/>
              <w:rPr>
                <w:sz w:val="20"/>
                <w:szCs w:val="20"/>
                <w:color w:val="auto"/>
              </w:rPr>
            </w:pPr>
            <w:r>
              <w:rPr>
                <w:rFonts w:ascii="Arial" w:cs="Arial" w:eastAsia="Arial" w:hAnsi="Arial"/>
                <w:sz w:val="18"/>
                <w:szCs w:val="18"/>
                <w:color w:val="auto"/>
              </w:rPr>
              <w:t>XBRL Taxonomy Extension Definition Linkbase Document*</w:t>
            </w:r>
          </w:p>
        </w:tc>
        <w:tc>
          <w:tcPr>
            <w:tcW w:w="20" w:type="dxa"/>
            <w:vAlign w:val="bottom"/>
          </w:tcPr>
          <w:p>
            <w:pPr>
              <w:spacing w:after="0"/>
              <w:rPr>
                <w:sz w:val="18"/>
                <w:szCs w:val="18"/>
                <w:color w:val="auto"/>
              </w:rPr>
            </w:pPr>
          </w:p>
        </w:tc>
      </w:tr>
      <w:tr>
        <w:trPr>
          <w:trHeight w:val="216"/>
        </w:trPr>
        <w:tc>
          <w:tcPr>
            <w:tcW w:w="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101.LAB</w:t>
            </w:r>
          </w:p>
        </w:tc>
        <w:tc>
          <w:tcPr>
            <w:tcW w:w="103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XBRL Taxonomy Extension Labels Linkbase Document*</w:t>
            </w:r>
          </w:p>
        </w:tc>
        <w:tc>
          <w:tcPr>
            <w:tcW w:w="20" w:type="dxa"/>
            <w:vAlign w:val="bottom"/>
          </w:tcPr>
          <w:p>
            <w:pPr>
              <w:spacing w:after="0"/>
              <w:rPr>
                <w:sz w:val="18"/>
                <w:szCs w:val="18"/>
                <w:color w:val="auto"/>
              </w:rPr>
            </w:pPr>
          </w:p>
        </w:tc>
      </w:tr>
      <w:tr>
        <w:trPr>
          <w:trHeight w:val="222"/>
        </w:trPr>
        <w:tc>
          <w:tcPr>
            <w:tcW w:w="940" w:type="dxa"/>
            <w:vAlign w:val="bottom"/>
          </w:tcPr>
          <w:p>
            <w:pPr>
              <w:ind w:left="180"/>
              <w:spacing w:after="0"/>
              <w:rPr>
                <w:sz w:val="20"/>
                <w:szCs w:val="20"/>
                <w:color w:val="auto"/>
              </w:rPr>
            </w:pPr>
            <w:r>
              <w:rPr>
                <w:rFonts w:ascii="Arial" w:cs="Arial" w:eastAsia="Arial" w:hAnsi="Arial"/>
                <w:sz w:val="18"/>
                <w:szCs w:val="18"/>
                <w:color w:val="auto"/>
              </w:rPr>
              <w:t>101.PRE</w:t>
            </w:r>
          </w:p>
        </w:tc>
        <w:tc>
          <w:tcPr>
            <w:tcW w:w="10300" w:type="dxa"/>
            <w:vAlign w:val="bottom"/>
            <w:gridSpan w:val="2"/>
          </w:tcPr>
          <w:p>
            <w:pPr>
              <w:ind w:left="80"/>
              <w:spacing w:after="0"/>
              <w:rPr>
                <w:sz w:val="20"/>
                <w:szCs w:val="20"/>
                <w:color w:val="auto"/>
              </w:rPr>
            </w:pPr>
            <w:r>
              <w:rPr>
                <w:rFonts w:ascii="Arial" w:cs="Arial" w:eastAsia="Arial" w:hAnsi="Arial"/>
                <w:sz w:val="18"/>
                <w:szCs w:val="18"/>
                <w:color w:val="auto"/>
              </w:rPr>
              <w:t>XBRL Taxonomy Extension Presentation Linkbase Document*</w:t>
            </w:r>
          </w:p>
        </w:tc>
        <w:tc>
          <w:tcPr>
            <w:tcW w:w="20" w:type="dxa"/>
            <w:vAlign w:val="bottom"/>
          </w:tcPr>
          <w:p>
            <w:pPr>
              <w:spacing w:after="0"/>
              <w:rPr>
                <w:sz w:val="19"/>
                <w:szCs w:val="19"/>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 Filed concurrently herewith</w:t>
      </w:r>
    </w:p>
    <w:p>
      <w:pPr>
        <w:sectPr>
          <w:pgSz w:w="11900" w:h="16838" w:orient="portrait"/>
          <w:cols w:equalWidth="0" w:num="1">
            <w:col w:w="11240"/>
          </w:cols>
          <w:pgMar w:left="320" w:top="1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type w:val="continuous"/>
        </w:sectPr>
      </w:pPr>
    </w:p>
    <w:bookmarkStart w:id="26" w:name="page27"/>
    <w:bookmarkEnd w:id="26"/>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200" w:lineRule="exact"/>
        <w:rPr>
          <w:sz w:val="20"/>
          <w:szCs w:val="20"/>
          <w:color w:val="auto"/>
        </w:rPr>
      </w:pPr>
    </w:p>
    <w:p>
      <w:pPr>
        <w:spacing w:after="0" w:line="202" w:lineRule="exact"/>
        <w:rPr>
          <w:sz w:val="20"/>
          <w:szCs w:val="20"/>
          <w:color w:val="auto"/>
        </w:rPr>
      </w:pPr>
    </w:p>
    <w:tbl>
      <w:tblPr>
        <w:tblLayout w:type="fixed"/>
        <w:tblInd w:w="60" w:type="dxa"/>
        <w:tblCellMar>
          <w:top w:w="0" w:type="dxa"/>
          <w:left w:w="0" w:type="dxa"/>
          <w:bottom w:w="0" w:type="dxa"/>
          <w:right w:w="0" w:type="dxa"/>
        </w:tblCellMar>
      </w:tblPr>
      <w:tr>
        <w:trPr>
          <w:trHeight w:val="222"/>
        </w:trPr>
        <w:tc>
          <w:tcPr>
            <w:tcW w:w="3200" w:type="dxa"/>
            <w:vAlign w:val="bottom"/>
          </w:tcPr>
          <w:p>
            <w:pPr>
              <w:spacing w:after="0"/>
              <w:rPr>
                <w:sz w:val="19"/>
                <w:szCs w:val="19"/>
                <w:color w:val="auto"/>
              </w:rPr>
            </w:pPr>
          </w:p>
        </w:tc>
        <w:tc>
          <w:tcPr>
            <w:tcW w:w="5960" w:type="dxa"/>
            <w:vAlign w:val="bottom"/>
            <w:gridSpan w:val="3"/>
          </w:tcPr>
          <w:p>
            <w:pPr>
              <w:ind w:left="2260"/>
              <w:spacing w:after="0"/>
              <w:rPr>
                <w:sz w:val="20"/>
                <w:szCs w:val="20"/>
                <w:color w:val="auto"/>
              </w:rPr>
            </w:pPr>
            <w:r>
              <w:rPr>
                <w:rFonts w:ascii="Arial" w:cs="Arial" w:eastAsia="Arial" w:hAnsi="Arial"/>
                <w:sz w:val="18"/>
                <w:szCs w:val="18"/>
                <w:color w:val="auto"/>
              </w:rPr>
              <w:t>WRAP TECHNOLOGIES, INC.</w:t>
            </w:r>
          </w:p>
        </w:tc>
        <w:tc>
          <w:tcPr>
            <w:tcW w:w="0" w:type="dxa"/>
            <w:vAlign w:val="bottom"/>
          </w:tcPr>
          <w:p>
            <w:pPr>
              <w:spacing w:after="0"/>
              <w:rPr>
                <w:sz w:val="1"/>
                <w:szCs w:val="1"/>
                <w:color w:val="auto"/>
              </w:rPr>
            </w:pPr>
          </w:p>
        </w:tc>
      </w:tr>
      <w:tr>
        <w:trPr>
          <w:trHeight w:val="393"/>
        </w:trPr>
        <w:tc>
          <w:tcPr>
            <w:tcW w:w="3200" w:type="dxa"/>
            <w:vAlign w:val="bottom"/>
            <w:vMerge w:val="restart"/>
          </w:tcPr>
          <w:p>
            <w:pPr>
              <w:spacing w:after="0"/>
              <w:rPr>
                <w:sz w:val="20"/>
                <w:szCs w:val="20"/>
                <w:color w:val="auto"/>
              </w:rPr>
            </w:pPr>
            <w:r>
              <w:rPr>
                <w:rFonts w:ascii="Arial" w:cs="Arial" w:eastAsia="Arial" w:hAnsi="Arial"/>
                <w:sz w:val="18"/>
                <w:szCs w:val="18"/>
                <w:color w:val="auto"/>
              </w:rPr>
              <w:t>July 30, 2020</w:t>
            </w:r>
          </w:p>
        </w:tc>
        <w:tc>
          <w:tcPr>
            <w:tcW w:w="5960" w:type="dxa"/>
            <w:vAlign w:val="bottom"/>
            <w:gridSpan w:val="3"/>
          </w:tcPr>
          <w:p>
            <w:pPr>
              <w:ind w:left="2260"/>
              <w:spacing w:after="0"/>
              <w:rPr>
                <w:sz w:val="20"/>
                <w:szCs w:val="20"/>
                <w:color w:val="auto"/>
              </w:rPr>
            </w:pPr>
            <w:r>
              <w:rPr>
                <w:rFonts w:ascii="Arial" w:cs="Arial" w:eastAsia="Arial" w:hAnsi="Arial"/>
                <w:sz w:val="18"/>
                <w:szCs w:val="18"/>
                <w:color w:val="auto"/>
              </w:rPr>
              <w:t>By: /s/ JAMES A. BARNES</w:t>
            </w:r>
          </w:p>
        </w:tc>
        <w:tc>
          <w:tcPr>
            <w:tcW w:w="0" w:type="dxa"/>
            <w:vAlign w:val="bottom"/>
          </w:tcPr>
          <w:p>
            <w:pPr>
              <w:spacing w:after="0"/>
              <w:rPr>
                <w:sz w:val="1"/>
                <w:szCs w:val="1"/>
                <w:color w:val="auto"/>
              </w:rPr>
            </w:pPr>
          </w:p>
        </w:tc>
      </w:tr>
      <w:tr>
        <w:trPr>
          <w:trHeight w:val="20"/>
        </w:trPr>
        <w:tc>
          <w:tcPr>
            <w:tcW w:w="3200" w:type="dxa"/>
            <w:vAlign w:val="bottom"/>
            <w:vMerge w:val="continue"/>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3200" w:type="dxa"/>
            <w:vAlign w:val="bottom"/>
            <w:vMerge w:val="continue"/>
          </w:tcPr>
          <w:p>
            <w:pPr>
              <w:spacing w:after="0"/>
              <w:rPr>
                <w:sz w:val="11"/>
                <w:szCs w:val="11"/>
                <w:color w:val="auto"/>
              </w:rPr>
            </w:pPr>
          </w:p>
        </w:tc>
        <w:tc>
          <w:tcPr>
            <w:tcW w:w="5960" w:type="dxa"/>
            <w:vAlign w:val="bottom"/>
            <w:gridSpan w:val="3"/>
            <w:vMerge w:val="restart"/>
          </w:tcPr>
          <w:p>
            <w:pPr>
              <w:ind w:left="2580"/>
              <w:spacing w:after="0"/>
              <w:rPr>
                <w:sz w:val="20"/>
                <w:szCs w:val="20"/>
                <w:color w:val="auto"/>
              </w:rPr>
            </w:pPr>
            <w:r>
              <w:rPr>
                <w:rFonts w:ascii="Arial" w:cs="Arial" w:eastAsia="Arial" w:hAnsi="Arial"/>
                <w:sz w:val="18"/>
                <w:szCs w:val="18"/>
                <w:color w:val="auto"/>
              </w:rPr>
              <w:t>James A. Barnes</w:t>
            </w:r>
          </w:p>
        </w:tc>
        <w:tc>
          <w:tcPr>
            <w:tcW w:w="0" w:type="dxa"/>
            <w:vAlign w:val="bottom"/>
          </w:tcPr>
          <w:p>
            <w:pPr>
              <w:spacing w:after="0"/>
              <w:rPr>
                <w:sz w:val="1"/>
                <w:szCs w:val="1"/>
                <w:color w:val="auto"/>
              </w:rPr>
            </w:pPr>
          </w:p>
        </w:tc>
      </w:tr>
      <w:tr>
        <w:trPr>
          <w:trHeight w:val="102"/>
        </w:trPr>
        <w:tc>
          <w:tcPr>
            <w:tcW w:w="3200" w:type="dxa"/>
            <w:vAlign w:val="bottom"/>
          </w:tcPr>
          <w:p>
            <w:pPr>
              <w:spacing w:after="0"/>
              <w:rPr>
                <w:sz w:val="8"/>
                <w:szCs w:val="8"/>
                <w:color w:val="auto"/>
              </w:rPr>
            </w:pPr>
          </w:p>
        </w:tc>
        <w:tc>
          <w:tcPr>
            <w:tcW w:w="59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5960" w:type="dxa"/>
            <w:vAlign w:val="bottom"/>
            <w:gridSpan w:val="3"/>
          </w:tcPr>
          <w:p>
            <w:pPr>
              <w:ind w:left="2580"/>
              <w:spacing w:after="0"/>
              <w:rPr>
                <w:sz w:val="20"/>
                <w:szCs w:val="20"/>
                <w:color w:val="auto"/>
              </w:rPr>
            </w:pPr>
            <w:r>
              <w:rPr>
                <w:rFonts w:ascii="Arial" w:cs="Arial" w:eastAsia="Arial" w:hAnsi="Arial"/>
                <w:sz w:val="18"/>
                <w:szCs w:val="18"/>
                <w:color w:val="auto"/>
                <w:w w:val="87"/>
              </w:rPr>
              <w:t>Chief Financial Officer, Secretary and Treasurer</w:t>
            </w:r>
          </w:p>
        </w:tc>
        <w:tc>
          <w:tcPr>
            <w:tcW w:w="0" w:type="dxa"/>
            <w:vAlign w:val="bottom"/>
          </w:tcPr>
          <w:p>
            <w:pPr>
              <w:spacing w:after="0"/>
              <w:rPr>
                <w:sz w:val="1"/>
                <w:szCs w:val="1"/>
                <w:color w:val="auto"/>
              </w:rPr>
            </w:pPr>
          </w:p>
        </w:tc>
      </w:tr>
      <w:tr>
        <w:trPr>
          <w:trHeight w:val="222"/>
        </w:trPr>
        <w:tc>
          <w:tcPr>
            <w:tcW w:w="3200" w:type="dxa"/>
            <w:vAlign w:val="bottom"/>
          </w:tcPr>
          <w:p>
            <w:pPr>
              <w:spacing w:after="0"/>
              <w:rPr>
                <w:sz w:val="19"/>
                <w:szCs w:val="19"/>
                <w:color w:val="auto"/>
              </w:rPr>
            </w:pPr>
          </w:p>
        </w:tc>
        <w:tc>
          <w:tcPr>
            <w:tcW w:w="5960" w:type="dxa"/>
            <w:vAlign w:val="bottom"/>
            <w:gridSpan w:val="3"/>
          </w:tcPr>
          <w:p>
            <w:pPr>
              <w:ind w:left="2580"/>
              <w:spacing w:after="0"/>
              <w:rPr>
                <w:sz w:val="20"/>
                <w:szCs w:val="20"/>
                <w:color w:val="auto"/>
              </w:rPr>
            </w:pPr>
            <w:r>
              <w:rPr>
                <w:rFonts w:ascii="Arial" w:cs="Arial" w:eastAsia="Arial" w:hAnsi="Arial"/>
                <w:sz w:val="18"/>
                <w:szCs w:val="18"/>
                <w:color w:val="auto"/>
              </w:rPr>
              <w:t>(Principal Accounting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31.1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I, David Norris, certify that:</w:t>
      </w:r>
    </w:p>
    <w:p>
      <w:pPr>
        <w:spacing w:after="0" w:line="158" w:lineRule="exact"/>
        <w:rPr>
          <w:sz w:val="20"/>
          <w:szCs w:val="20"/>
          <w:color w:val="auto"/>
        </w:rPr>
      </w:pPr>
    </w:p>
    <w:p>
      <w:pPr>
        <w:ind w:left="980" w:hanging="648"/>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Wrap Technologies, Inc.;</w:t>
      </w:r>
    </w:p>
    <w:p>
      <w:pPr>
        <w:spacing w:after="0" w:line="225" w:lineRule="exact"/>
        <w:rPr>
          <w:rFonts w:ascii="Arial" w:cs="Arial" w:eastAsia="Arial" w:hAnsi="Arial"/>
          <w:sz w:val="18"/>
          <w:szCs w:val="18"/>
          <w:color w:val="auto"/>
        </w:rPr>
      </w:pPr>
    </w:p>
    <w:p>
      <w:pPr>
        <w:jc w:val="both"/>
        <w:ind w:left="980" w:hanging="648"/>
        <w:spacing w:after="0" w:line="259"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3" w:lineRule="exact"/>
        <w:rPr>
          <w:rFonts w:ascii="Arial" w:cs="Arial" w:eastAsia="Arial" w:hAnsi="Arial"/>
          <w:sz w:val="18"/>
          <w:szCs w:val="18"/>
          <w:color w:val="auto"/>
        </w:rPr>
      </w:pPr>
    </w:p>
    <w:p>
      <w:pPr>
        <w:ind w:left="980" w:hanging="648"/>
        <w:spacing w:after="0" w:line="331" w:lineRule="auto"/>
        <w:tabs>
          <w:tab w:leader="none" w:pos="9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0" w:lineRule="exact"/>
        <w:rPr>
          <w:rFonts w:ascii="Arial" w:cs="Arial" w:eastAsia="Arial" w:hAnsi="Arial"/>
          <w:sz w:val="16"/>
          <w:szCs w:val="16"/>
          <w:color w:val="auto"/>
        </w:rPr>
      </w:pPr>
    </w:p>
    <w:p>
      <w:pPr>
        <w:ind w:left="980" w:hanging="648"/>
        <w:spacing w:after="0" w:line="254"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jc w:val="both"/>
        <w:ind w:left="1620" w:hanging="640"/>
        <w:spacing w:after="0" w:line="281" w:lineRule="auto"/>
        <w:tabs>
          <w:tab w:leader="none" w:pos="1620" w:val="left"/>
        </w:tabs>
        <w:numPr>
          <w:ilvl w:val="1"/>
          <w:numId w:val="1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6"/>
          <w:szCs w:val="16"/>
          <w:color w:val="auto"/>
        </w:rPr>
      </w:pPr>
    </w:p>
    <w:p>
      <w:pPr>
        <w:ind w:left="1620" w:hanging="640"/>
        <w:spacing w:after="0" w:line="300" w:lineRule="auto"/>
        <w:tabs>
          <w:tab w:leader="none" w:pos="1620" w:val="left"/>
        </w:tabs>
        <w:numPr>
          <w:ilvl w:val="1"/>
          <w:numId w:val="14"/>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1620" w:hanging="640"/>
        <w:spacing w:after="0" w:line="255" w:lineRule="auto"/>
        <w:tabs>
          <w:tab w:leader="none" w:pos="16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7" w:lineRule="exact"/>
        <w:rPr>
          <w:rFonts w:ascii="Arial" w:cs="Arial" w:eastAsia="Arial" w:hAnsi="Arial"/>
          <w:sz w:val="18"/>
          <w:szCs w:val="18"/>
          <w:color w:val="auto"/>
        </w:rPr>
      </w:pPr>
    </w:p>
    <w:p>
      <w:pPr>
        <w:ind w:left="980" w:hanging="648"/>
        <w:spacing w:after="0" w:line="285" w:lineRule="auto"/>
        <w:tabs>
          <w:tab w:leader="none" w:pos="9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1620" w:hanging="640"/>
        <w:spacing w:after="0" w:line="281" w:lineRule="auto"/>
        <w:tabs>
          <w:tab w:leader="none" w:pos="1620" w:val="left"/>
        </w:tabs>
        <w:numPr>
          <w:ilvl w:val="1"/>
          <w:numId w:val="1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620" w:hanging="640"/>
        <w:spacing w:after="0" w:line="260" w:lineRule="auto"/>
        <w:tabs>
          <w:tab w:leader="none" w:pos="16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Date: July 30, 2020</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DAVID NORRIS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161099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610995"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David Norris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31.2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I, James A. Barnes, certify that:</w:t>
      </w:r>
    </w:p>
    <w:p>
      <w:pPr>
        <w:spacing w:after="0" w:line="158" w:lineRule="exact"/>
        <w:rPr>
          <w:sz w:val="20"/>
          <w:szCs w:val="20"/>
          <w:color w:val="auto"/>
        </w:rPr>
      </w:pPr>
    </w:p>
    <w:p>
      <w:pPr>
        <w:ind w:left="980" w:hanging="486"/>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Wrap Technologies, Inc.;</w:t>
      </w:r>
    </w:p>
    <w:p>
      <w:pPr>
        <w:spacing w:after="0" w:line="225" w:lineRule="exact"/>
        <w:rPr>
          <w:rFonts w:ascii="Arial" w:cs="Arial" w:eastAsia="Arial" w:hAnsi="Arial"/>
          <w:sz w:val="18"/>
          <w:szCs w:val="18"/>
          <w:color w:val="auto"/>
        </w:rPr>
      </w:pPr>
    </w:p>
    <w:p>
      <w:pPr>
        <w:jc w:val="both"/>
        <w:ind w:left="980" w:hanging="486"/>
        <w:spacing w:after="0" w:line="259"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3" w:lineRule="exact"/>
        <w:rPr>
          <w:rFonts w:ascii="Arial" w:cs="Arial" w:eastAsia="Arial" w:hAnsi="Arial"/>
          <w:sz w:val="18"/>
          <w:szCs w:val="18"/>
          <w:color w:val="auto"/>
        </w:rPr>
      </w:pPr>
    </w:p>
    <w:p>
      <w:pPr>
        <w:ind w:left="980" w:hanging="486"/>
        <w:spacing w:after="0" w:line="331" w:lineRule="auto"/>
        <w:tabs>
          <w:tab w:leader="none" w:pos="9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0" w:lineRule="exact"/>
        <w:rPr>
          <w:rFonts w:ascii="Arial" w:cs="Arial" w:eastAsia="Arial" w:hAnsi="Arial"/>
          <w:sz w:val="16"/>
          <w:szCs w:val="16"/>
          <w:color w:val="auto"/>
        </w:rPr>
      </w:pPr>
    </w:p>
    <w:p>
      <w:pPr>
        <w:ind w:left="980" w:hanging="486"/>
        <w:spacing w:after="0" w:line="254"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jc w:val="both"/>
        <w:ind w:left="1620" w:hanging="640"/>
        <w:spacing w:after="0" w:line="281" w:lineRule="auto"/>
        <w:tabs>
          <w:tab w:leader="none" w:pos="1620" w:val="left"/>
        </w:tabs>
        <w:numPr>
          <w:ilvl w:val="1"/>
          <w:numId w:val="1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6"/>
          <w:szCs w:val="16"/>
          <w:color w:val="auto"/>
        </w:rPr>
      </w:pPr>
    </w:p>
    <w:p>
      <w:pPr>
        <w:ind w:left="1620" w:hanging="640"/>
        <w:spacing w:after="0" w:line="300" w:lineRule="auto"/>
        <w:tabs>
          <w:tab w:leader="none" w:pos="1620" w:val="left"/>
        </w:tabs>
        <w:numPr>
          <w:ilvl w:val="1"/>
          <w:numId w:val="15"/>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1620" w:hanging="640"/>
        <w:spacing w:after="0" w:line="255" w:lineRule="auto"/>
        <w:tabs>
          <w:tab w:leader="none" w:pos="16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7" w:lineRule="exact"/>
        <w:rPr>
          <w:rFonts w:ascii="Arial" w:cs="Arial" w:eastAsia="Arial" w:hAnsi="Arial"/>
          <w:sz w:val="18"/>
          <w:szCs w:val="18"/>
          <w:color w:val="auto"/>
        </w:rPr>
      </w:pPr>
    </w:p>
    <w:p>
      <w:pPr>
        <w:ind w:left="980" w:hanging="486"/>
        <w:spacing w:after="0" w:line="285" w:lineRule="auto"/>
        <w:tabs>
          <w:tab w:leader="none" w:pos="9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1620" w:hanging="640"/>
        <w:spacing w:after="0" w:line="281" w:lineRule="auto"/>
        <w:tabs>
          <w:tab w:leader="none" w:pos="1620" w:val="left"/>
        </w:tabs>
        <w:numPr>
          <w:ilvl w:val="1"/>
          <w:numId w:val="1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620" w:hanging="640"/>
        <w:spacing w:after="0" w:line="260" w:lineRule="auto"/>
        <w:tabs>
          <w:tab w:leader="none" w:pos="16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Date: July 30, 2020</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JAMES A. BARNES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159131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59131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James A. Barnes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Secretary and Treasurer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PRINCIPAL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Each of the undersigned hereby certifies, in accordance with 18 U.S.C. 1350, as adopted pursuant to Section 906 of the Sarbanes-Oxley Act of 2002, in his or her capacity as an officer of Wrap Technologies, Inc. (the “</w:t>
      </w:r>
      <w:r>
        <w:rPr>
          <w:rFonts w:ascii="Arial" w:cs="Arial" w:eastAsia="Arial" w:hAnsi="Arial"/>
          <w:sz w:val="16"/>
          <w:szCs w:val="16"/>
          <w:i w:val="1"/>
          <w:iCs w:val="1"/>
          <w:color w:val="auto"/>
        </w:rPr>
        <w:t>Company</w:t>
      </w:r>
      <w:r>
        <w:rPr>
          <w:rFonts w:ascii="Arial" w:cs="Arial" w:eastAsia="Arial" w:hAnsi="Arial"/>
          <w:sz w:val="16"/>
          <w:szCs w:val="16"/>
          <w:color w:val="auto"/>
        </w:rPr>
        <w:t>”), that, to his or her knowledge, the Quarterly Report of the Company on Form 10-Q for the period ended June 30, 2020, fully complies with the requirements of Section 13(a) or Section 15(d) of the Securities Exchange Act of 1934, as amended, and that the information contained in such report fairly presents, in all material respects, the financial condition and results of operation of the Company.</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color w:val="auto"/>
        </w:rPr>
        <w:t>Date: July 30,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DAVID NORRIS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175006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75006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David Norris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Date: July 30,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JAMES A. BARNES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175831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758315"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James A. Barnes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Secretary and Treasurer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3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foregoing certification is being furnished solely to accompany the Report pursuant to 18 U.S.C. Section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248285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4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1."/>
      <w:numFmt w:val="decimal"/>
      <w:start w:val="1"/>
    </w:lvl>
  </w:abstractNum>
  <w:abstractNum w:abstractNumId="1">
    <w:nsid w:val="515F007C"/>
    <w:multiLevelType w:val="hybridMultilevel"/>
    <w:lvl w:ilvl="0">
      <w:lvlJc w:val="left"/>
      <w:lvlText w:val="%1."/>
      <w:numFmt w:val="decimal"/>
      <w:start w:val="2"/>
    </w:lvl>
  </w:abstractNum>
  <w:abstractNum w:abstractNumId="2">
    <w:nsid w:val="5BD062C2"/>
    <w:multiLevelType w:val="hybridMultilevel"/>
    <w:lvl w:ilvl="0">
      <w:lvlJc w:val="left"/>
      <w:lvlText w:val="%1."/>
      <w:numFmt w:val="decimal"/>
      <w:start w:val="3"/>
    </w:lvl>
  </w:abstractNum>
  <w:abstractNum w:abstractNumId="3">
    <w:nsid w:val="12200854"/>
    <w:multiLevelType w:val="hybridMultilevel"/>
    <w:lvl w:ilvl="0">
      <w:lvlJc w:val="left"/>
      <w:lvlText w:val="%1."/>
      <w:numFmt w:val="decimal"/>
      <w:start w:val="4"/>
    </w:lvl>
  </w:abstractNum>
  <w:abstractNum w:abstractNumId="4">
    <w:nsid w:val="4DB127F8"/>
    <w:multiLevelType w:val="hybridMultilevel"/>
    <w:lvl w:ilvl="0">
      <w:lvlJc w:val="left"/>
      <w:lvlText w:val="%1."/>
      <w:numFmt w:val="decimal"/>
      <w:start w:val="5"/>
    </w:lvl>
  </w:abstractNum>
  <w:abstractNum w:abstractNumId="5">
    <w:nsid w:val="216231B"/>
    <w:multiLevelType w:val="hybridMultilevel"/>
    <w:lvl w:ilvl="0">
      <w:lvlJc w:val="left"/>
      <w:lvlText w:val="%1."/>
      <w:numFmt w:val="decimal"/>
      <w:start w:val="6"/>
    </w:lvl>
  </w:abstractNum>
  <w:abstractNum w:abstractNumId="6">
    <w:nsid w:val="1F16E9E8"/>
    <w:multiLevelType w:val="hybridMultilevel"/>
    <w:lvl w:ilvl="0">
      <w:lvlJc w:val="left"/>
      <w:lvlText w:val="%1."/>
      <w:numFmt w:val="decimal"/>
      <w:start w:val="7"/>
    </w:lvl>
  </w:abstractNum>
  <w:abstractNum w:abstractNumId="7">
    <w:nsid w:val="1190CDE7"/>
    <w:multiLevelType w:val="hybridMultilevel"/>
    <w:lvl w:ilvl="0">
      <w:lvlJc w:val="left"/>
      <w:lvlText w:val="%1."/>
      <w:numFmt w:val="decimal"/>
      <w:start w:val="8"/>
    </w:lvl>
  </w:abstractNum>
  <w:abstractNum w:abstractNumId="8">
    <w:nsid w:val="66EF438D"/>
    <w:multiLevelType w:val="hybridMultilevel"/>
    <w:lvl w:ilvl="0">
      <w:lvlJc w:val="left"/>
      <w:lvlText w:val="%1."/>
      <w:numFmt w:val="decimal"/>
      <w:start w:val="9"/>
    </w:lvl>
  </w:abstractNum>
  <w:abstractNum w:abstractNumId="9">
    <w:nsid w:val="140E0F76"/>
    <w:multiLevelType w:val="hybridMultilevel"/>
    <w:lvl w:ilvl="0">
      <w:lvlJc w:val="left"/>
      <w:lvlText w:val="(%1)"/>
      <w:numFmt w:val="decimal"/>
      <w:start w:val="1"/>
    </w:lvl>
  </w:abstractNum>
  <w:abstractNum w:abstractNumId="10">
    <w:nsid w:val="3352255A"/>
    <w:multiLevelType w:val="hybridMultilevel"/>
    <w:lvl w:ilvl="0">
      <w:lvlJc w:val="left"/>
      <w:lvlText w:val="%1."/>
      <w:numFmt w:val="decimal"/>
      <w:start w:val="10"/>
    </w:lvl>
  </w:abstractNum>
  <w:abstractNum w:abstractNumId="11">
    <w:nsid w:val="109CF92E"/>
    <w:multiLevelType w:val="hybridMultilevel"/>
    <w:lvl w:ilvl="0">
      <w:lvlJc w:val="left"/>
      <w:lvlText w:val="%1."/>
      <w:numFmt w:val="decimal"/>
      <w:start w:val="11"/>
    </w:lvl>
  </w:abstractNum>
  <w:abstractNum w:abstractNumId="12">
    <w:nsid w:val="DED7263"/>
    <w:multiLevelType w:val="hybridMultilevel"/>
    <w:lvl w:ilvl="0">
      <w:lvlJc w:val="left"/>
      <w:lvlText w:val="●"/>
      <w:numFmt w:val="bullet"/>
      <w:start w:val="1"/>
    </w:lvl>
  </w:abstractNum>
  <w:abstractNum w:abstractNumId="13">
    <w:nsid w:val="7FDCC233"/>
    <w:multiLevelType w:val="hybridMultilevel"/>
    <w:lvl w:ilvl="0">
      <w:lvlJc w:val="left"/>
      <w:lvlText w:val="%1."/>
      <w:numFmt w:val="decimal"/>
      <w:start w:val="1"/>
    </w:lvl>
    <w:lvl w:ilvl="1">
      <w:lvlJc w:val="left"/>
      <w:lvlText w:val="%2)"/>
      <w:numFmt w:val="lowerLetter"/>
      <w:start w:val="1"/>
    </w:lvl>
  </w:abstractNum>
  <w:abstractNum w:abstractNumId="14">
    <w:nsid w:val="1BEFD79F"/>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2020-07-31T05:29:13Z</dcterms:created>
  <dcterms:modified xsi:type="dcterms:W3CDTF">2020-07-31T05:29:13Z</dcterms:modified>
</cp:coreProperties>
</file>