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Savas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8"/>
        <w:gridCol w:w="931"/>
        <w:gridCol w:w="799"/>
        <w:gridCol w:w="618"/>
        <w:gridCol w:w="348"/>
        <w:gridCol w:w="930"/>
        <w:gridCol w:w="436"/>
        <w:gridCol w:w="604"/>
        <w:gridCol w:w="1145"/>
        <w:gridCol w:w="989"/>
        <w:gridCol w:w="12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21,154</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Savbo Investments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On the date of grant, 13,750 of the RSUs vested and the remainder of the RSUs vest ratably in eight monthly tranches.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Savbo Investments LLC ("Savbo") and may be deemed to be beneficially owned by the Reporting Person as Chief Executive Officer of Savbo.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Savas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170"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3507</Characters>
  <CharactersWithSpaces>4084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