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60" w:right="2780" w:hanging="1275"/>
        <w:spacing w:after="0" w:line="277" w:lineRule="auto"/>
        <w:tabs>
          <w:tab w:leader="none" w:pos="29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9" w:lineRule="exact"/>
        <w:rPr>
          <w:sz w:val="24"/>
          <w:szCs w:val="24"/>
          <w:color w:val="auto"/>
        </w:rPr>
      </w:pPr>
    </w:p>
    <w:p>
      <w:pPr>
        <w:ind w:left="4060" w:right="2760" w:hanging="1286"/>
        <w:spacing w:after="0" w:line="277" w:lineRule="auto"/>
        <w:tabs>
          <w:tab w:leader="none" w:pos="297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66"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2980055</wp:posOffset>
            </wp:positionH>
            <wp:positionV relativeFrom="paragraph">
              <wp:posOffset>151765</wp:posOffset>
            </wp:positionV>
            <wp:extent cx="11830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Wrap Technologies, Inc.</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40" w:type="dxa"/>
            <w:vAlign w:val="bottom"/>
            <w:gridSpan w:val="7"/>
          </w:tcPr>
          <w:p>
            <w:pPr>
              <w:jc w:val="center"/>
              <w:ind w:right="20"/>
              <w:spacing w:after="0"/>
              <w:rPr>
                <w:sz w:val="20"/>
                <w:szCs w:val="20"/>
                <w:color w:val="auto"/>
              </w:rPr>
            </w:pPr>
            <w:r>
              <w:rPr>
                <w:rFonts w:ascii="Arial" w:cs="Arial" w:eastAsia="Arial" w:hAnsi="Arial"/>
                <w:sz w:val="18"/>
                <w:szCs w:val="18"/>
                <w:color w:val="auto"/>
                <w:w w:val="90"/>
              </w:rPr>
              <w:t>(Exact name of registrant as specified in its charter)</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Delaware</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98-0551945</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gridSpan w:val="3"/>
          </w:tcPr>
          <w:p>
            <w:pPr>
              <w:jc w:val="center"/>
              <w:ind w:right="102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vMerge w:val="restart"/>
          </w:tcPr>
          <w:p>
            <w:pPr>
              <w:jc w:val="center"/>
              <w:ind w:right="1180"/>
              <w:spacing w:after="0"/>
              <w:rPr>
                <w:sz w:val="20"/>
                <w:szCs w:val="20"/>
                <w:color w:val="auto"/>
              </w:rPr>
            </w:pPr>
            <w:r>
              <w:rPr>
                <w:rFonts w:ascii="Arial" w:cs="Arial" w:eastAsia="Arial" w:hAnsi="Arial"/>
                <w:sz w:val="18"/>
                <w:szCs w:val="18"/>
                <w:color w:val="auto"/>
                <w:w w:val="89"/>
              </w:rPr>
              <w:t>1817 W 4th Street</w:t>
            </w:r>
          </w:p>
        </w:tc>
        <w:tc>
          <w:tcPr>
            <w:tcW w:w="20" w:type="dxa"/>
            <w:vAlign w:val="bottom"/>
          </w:tcPr>
          <w:p>
            <w:pPr>
              <w:spacing w:after="0"/>
              <w:rPr>
                <w:sz w:val="20"/>
                <w:szCs w:val="20"/>
                <w:color w:val="auto"/>
              </w:rPr>
            </w:pPr>
          </w:p>
        </w:tc>
        <w:tc>
          <w:tcPr>
            <w:tcW w:w="3180" w:type="dxa"/>
            <w:vAlign w:val="bottom"/>
            <w:gridSpan w:val="3"/>
          </w:tcPr>
          <w:p>
            <w:pPr>
              <w:jc w:val="center"/>
              <w:ind w:right="1020"/>
              <w:spacing w:after="0"/>
              <w:rPr>
                <w:sz w:val="20"/>
                <w:szCs w:val="20"/>
                <w:color w:val="auto"/>
              </w:rPr>
            </w:pPr>
            <w:r>
              <w:rPr>
                <w:rFonts w:ascii="Arial" w:cs="Arial" w:eastAsia="Arial" w:hAnsi="Arial"/>
                <w:sz w:val="18"/>
                <w:szCs w:val="18"/>
                <w:color w:val="auto"/>
                <w:w w:val="95"/>
              </w:rPr>
              <w:t>Identification Number)</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6"/>
          </w:tcPr>
          <w:p>
            <w:pPr>
              <w:jc w:val="center"/>
              <w:ind w:right="1060"/>
              <w:spacing w:after="0" w:line="190" w:lineRule="exact"/>
              <w:rPr>
                <w:sz w:val="20"/>
                <w:szCs w:val="20"/>
                <w:color w:val="auto"/>
              </w:rPr>
            </w:pPr>
            <w:r>
              <w:rPr>
                <w:rFonts w:ascii="Arial" w:cs="Arial" w:eastAsia="Arial" w:hAnsi="Arial"/>
                <w:sz w:val="18"/>
                <w:szCs w:val="18"/>
                <w:color w:val="auto"/>
                <w:w w:val="90"/>
              </w:rPr>
              <w:t>Tempe, Arizona 85281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4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(800) 583-2652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00" w:type="dxa"/>
            <w:vAlign w:val="bottom"/>
            <w:gridSpan w:val="12"/>
          </w:tcPr>
          <w:p>
            <w:pPr>
              <w:jc w:val="center"/>
              <w:ind w:right="2440"/>
              <w:spacing w:after="0"/>
              <w:rPr>
                <w:sz w:val="20"/>
                <w:szCs w:val="20"/>
                <w:color w:val="auto"/>
              </w:rPr>
            </w:pPr>
            <w:r>
              <w:rPr>
                <w:rFonts w:ascii="Arial" w:cs="Arial" w:eastAsia="Arial" w:hAnsi="Arial"/>
                <w:sz w:val="18"/>
                <w:szCs w:val="18"/>
                <w:color w:val="auto"/>
                <w:w w:val="90"/>
              </w:rPr>
              <w:t>(Registrant’s Telephone Number, Including Area Code)</w:t>
            </w:r>
          </w:p>
        </w:tc>
        <w:tc>
          <w:tcPr>
            <w:tcW w:w="0" w:type="dxa"/>
            <w:vAlign w:val="bottom"/>
          </w:tcPr>
          <w:p>
            <w:pPr>
              <w:spacing w:after="0"/>
              <w:rPr>
                <w:sz w:val="1"/>
                <w:szCs w:val="1"/>
                <w:color w:val="auto"/>
              </w:rPr>
            </w:pPr>
          </w:p>
        </w:tc>
      </w:tr>
      <w:tr>
        <w:trPr>
          <w:trHeight w:val="418"/>
        </w:trPr>
        <w:tc>
          <w:tcPr>
            <w:tcW w:w="7500" w:type="dxa"/>
            <w:vAlign w:val="bottom"/>
            <w:gridSpan w:val="1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30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0"/>
              </w:rPr>
              <w:t>Title of each class</w:t>
            </w:r>
          </w:p>
        </w:tc>
        <w:tc>
          <w:tcPr>
            <w:tcW w:w="96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center"/>
              <w:ind w:right="1200"/>
              <w:spacing w:after="0" w:line="190" w:lineRule="exact"/>
              <w:rPr>
                <w:sz w:val="20"/>
                <w:szCs w:val="20"/>
                <w:color w:val="auto"/>
              </w:rPr>
            </w:pPr>
            <w:r>
              <w:rPr>
                <w:rFonts w:ascii="Arial" w:cs="Arial" w:eastAsia="Arial" w:hAnsi="Arial"/>
                <w:sz w:val="18"/>
                <w:szCs w:val="18"/>
                <w:color w:val="auto"/>
                <w:w w:val="92"/>
              </w:rPr>
              <w:t>Trading Symbol(s)</w:t>
            </w:r>
          </w:p>
        </w:tc>
        <w:tc>
          <w:tcPr>
            <w:tcW w:w="3200" w:type="dxa"/>
            <w:vAlign w:val="bottom"/>
            <w:gridSpan w:val="4"/>
          </w:tcPr>
          <w:p>
            <w:pPr>
              <w:jc w:val="center"/>
              <w:spacing w:after="0" w:line="190"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gridSpan w:val="5"/>
          </w:tcPr>
          <w:p>
            <w:pPr>
              <w:jc w:val="center"/>
              <w:ind w:left="430"/>
              <w:spacing w:after="0"/>
              <w:rPr>
                <w:sz w:val="20"/>
                <w:szCs w:val="20"/>
                <w:color w:val="auto"/>
              </w:rPr>
            </w:pPr>
            <w:r>
              <w:rPr>
                <w:rFonts w:ascii="Arial" w:cs="Arial" w:eastAsia="Arial" w:hAnsi="Arial"/>
                <w:sz w:val="18"/>
                <w:szCs w:val="18"/>
                <w:color w:val="auto"/>
                <w:w w:val="89"/>
              </w:rPr>
              <w:t>Common Stock, par value $0.0001 per share</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center"/>
              <w:ind w:right="1320"/>
              <w:spacing w:after="0"/>
              <w:rPr>
                <w:sz w:val="20"/>
                <w:szCs w:val="20"/>
                <w:color w:val="auto"/>
              </w:rPr>
            </w:pPr>
            <w:r>
              <w:rPr>
                <w:rFonts w:ascii="Arial" w:cs="Arial" w:eastAsia="Arial" w:hAnsi="Arial"/>
                <w:sz w:val="18"/>
                <w:szCs w:val="18"/>
                <w:color w:val="auto"/>
                <w:w w:val="96"/>
              </w:rPr>
              <w:t>WRAP</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4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color w:val="auto"/>
        </w:rPr>
        <w:t>As of August 9, 2023 a total of 41,968,389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80" w:type="dxa"/>
            <w:vAlign w:val="bottom"/>
            <w:gridSpan w:val="24"/>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WRAP TECHNOLOGIES, INC.</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9"/>
          </w:tcPr>
          <w:p>
            <w:pPr>
              <w:jc w:val="center"/>
              <w:ind w:right="298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8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PART I. FINANCIAL INFORMATION</w:t>
            </w:r>
          </w:p>
        </w:tc>
        <w:tc>
          <w:tcPr>
            <w:tcW w:w="7900" w:type="dxa"/>
            <w:vAlign w:val="bottom"/>
            <w:gridSpan w:val="11"/>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412"/>
        </w:trPr>
        <w:tc>
          <w:tcPr>
            <w:tcW w:w="11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rPr>
                <w:sz w:val="20"/>
                <w:szCs w:val="20"/>
                <w:color w:val="auto"/>
              </w:rPr>
            </w:pPr>
            <w:r>
              <w:rPr>
                <w:rFonts w:ascii="Arial" w:cs="Arial" w:eastAsia="Arial" w:hAnsi="Arial"/>
                <w:sz w:val="18"/>
                <w:szCs w:val="18"/>
                <w:color w:val="0000EE"/>
              </w:rPr>
              <w:t>Financial Statements: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20"/>
          </w:tcPr>
          <w:p>
            <w:pPr>
              <w:spacing w:after="0" w:line="196" w:lineRule="exact"/>
              <w:rPr>
                <w:sz w:val="20"/>
                <w:szCs w:val="20"/>
                <w:color w:val="auto"/>
              </w:rPr>
            </w:pPr>
            <w:r>
              <w:rPr>
                <w:rFonts w:ascii="Arial" w:cs="Arial" w:eastAsia="Arial" w:hAnsi="Arial"/>
                <w:sz w:val="18"/>
                <w:szCs w:val="18"/>
                <w:color w:val="0000EE"/>
              </w:rPr>
              <w:t>Condensed Consolidated Balance Sheets as of June 30, 2023 (unaudited) and December 31, 2022</w:t>
            </w: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 for the three and six months ended June 30, 2023</w:t>
            </w:r>
          </w:p>
        </w:tc>
        <w:tc>
          <w:tcPr>
            <w:tcW w:w="3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2</w:t>
            </w: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and 2022 (unaudited)</w:t>
            </w:r>
          </w:p>
        </w:tc>
        <w:tc>
          <w:tcPr>
            <w:tcW w:w="794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Condensed Consolidated Statements of Stockholders’ Equity for the three and six months ended June 30, 2023 and 2022</w:t>
            </w:r>
          </w:p>
        </w:tc>
        <w:tc>
          <w:tcPr>
            <w:tcW w:w="80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w:t>
            </w: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20"/>
          </w:tcPr>
          <w:p>
            <w:pPr>
              <w:spacing w:after="0" w:line="196" w:lineRule="exact"/>
              <w:rPr>
                <w:sz w:val="20"/>
                <w:szCs w:val="20"/>
                <w:color w:val="auto"/>
              </w:rPr>
            </w:pPr>
            <w:r>
              <w:rPr>
                <w:rFonts w:ascii="Arial" w:cs="Arial" w:eastAsia="Arial" w:hAnsi="Arial"/>
                <w:sz w:val="18"/>
                <w:szCs w:val="18"/>
                <w:color w:val="0000EE"/>
              </w:rPr>
              <w:t>(unaudited)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20"/>
          </w:tcPr>
          <w:p>
            <w:pPr>
              <w:spacing w:after="0" w:line="196" w:lineRule="exact"/>
              <w:rPr>
                <w:sz w:val="20"/>
                <w:szCs w:val="20"/>
                <w:color w:val="auto"/>
              </w:rPr>
            </w:pPr>
            <w:r>
              <w:rPr>
                <w:rFonts w:ascii="Arial" w:cs="Arial" w:eastAsia="Arial" w:hAnsi="Arial"/>
                <w:sz w:val="18"/>
                <w:szCs w:val="18"/>
                <w:color w:val="0000EE"/>
              </w:rPr>
              <w:t>Condensed Consolidated Statements of Cash Flows for the six months ended June 30, 2023 and 2022 (unaudited)</w:t>
            </w: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w:t>
            </w: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Notes to Unaudited Condensed Consolidated Interim Financial Statements</w:t>
            </w:r>
          </w:p>
        </w:tc>
        <w:tc>
          <w:tcPr>
            <w:tcW w:w="280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36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6</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2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15</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528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27</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7"/>
              </w:rPr>
              <w:t>Controls and Procedures</w:t>
            </w:r>
          </w:p>
        </w:tc>
        <w:tc>
          <w:tcPr>
            <w:tcW w:w="788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27</w:t>
            </w:r>
          </w:p>
        </w:tc>
      </w:tr>
      <w:tr>
        <w:trPr>
          <w:trHeight w:val="412"/>
        </w:trPr>
        <w:tc>
          <w:tcPr>
            <w:tcW w:w="25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PART II. OTHER INFORMATION</w:t>
            </w:r>
          </w:p>
        </w:tc>
        <w:tc>
          <w:tcPr>
            <w:tcW w:w="820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EE"/>
              </w:rPr>
              <w:t>27</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3"/>
          </w:tcPr>
          <w:p>
            <w:pPr>
              <w:spacing w:after="0"/>
              <w:rPr>
                <w:sz w:val="17"/>
                <w:szCs w:val="17"/>
                <w:color w:val="auto"/>
              </w:rPr>
            </w:pPr>
          </w:p>
        </w:tc>
        <w:tc>
          <w:tcPr>
            <w:tcW w:w="832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73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Mine Safety Disclosures</w:t>
            </w:r>
          </w:p>
        </w:tc>
        <w:tc>
          <w:tcPr>
            <w:tcW w:w="788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2"/>
          </w:tcPr>
          <w:p>
            <w:pPr>
              <w:spacing w:after="0" w:line="196" w:lineRule="exact"/>
              <w:rPr>
                <w:sz w:val="20"/>
                <w:szCs w:val="20"/>
                <w:color w:val="auto"/>
              </w:rPr>
            </w:pPr>
            <w:r>
              <w:rPr>
                <w:rFonts w:ascii="Arial" w:cs="Arial" w:eastAsia="Arial" w:hAnsi="Arial"/>
                <w:sz w:val="18"/>
                <w:szCs w:val="18"/>
                <w:color w:val="0000EE"/>
              </w:rPr>
              <w:t>Other Information</w:t>
            </w: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28</w:t>
            </w:r>
          </w:p>
        </w:tc>
      </w:tr>
      <w:tr>
        <w:trPr>
          <w:trHeight w:val="196"/>
        </w:trPr>
        <w:tc>
          <w:tcPr>
            <w:tcW w:w="11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3"/>
          </w:tcPr>
          <w:p>
            <w:pPr>
              <w:spacing w:after="0"/>
              <w:rPr>
                <w:sz w:val="17"/>
                <w:szCs w:val="17"/>
                <w:color w:val="auto"/>
              </w:rPr>
            </w:pPr>
          </w:p>
        </w:tc>
        <w:tc>
          <w:tcPr>
            <w:tcW w:w="8340" w:type="dxa"/>
            <w:vAlign w:val="bottom"/>
            <w:gridSpan w:val="16"/>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28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0000EE"/>
                <w:w w:val="95"/>
              </w:rPr>
              <w:t>SIGNATURES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0000EE"/>
              </w:rPr>
              <w:t>29</w:t>
            </w:r>
          </w:p>
        </w:tc>
      </w:tr>
      <w:tr>
        <w:trPr>
          <w:trHeight w:val="595"/>
        </w:trPr>
        <w:tc>
          <w:tcPr>
            <w:tcW w:w="11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660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Wrap Technologies, Inc.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600" w:type="dxa"/>
            <w:vAlign w:val="bottom"/>
          </w:tcPr>
          <w:p>
            <w:pPr>
              <w:jc w:val="center"/>
              <w:ind w:left="20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color w:val="auto"/>
                <w:w w:val="88"/>
              </w:rPr>
              <w:t>(in thousands, except par value and share amounts)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and contract assets,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26,859</w:t>
            </w: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lease right-of-use asset,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50"/>
        </w:trPr>
        <w:tc>
          <w:tcPr>
            <w:tcW w:w="7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Deferred revenue- short term</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liability - short term</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long term</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 - long term</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r>
      <w:tr>
        <w:trPr>
          <w:trHeight w:val="209"/>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Preferred stock - 5,000,000 authorized; par value $0.0001 per share; none issued and outstanding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78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Common stock - 150,000,000 authorized; par value $0.0001 per share; 41,910,687 and 41,175,993 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at June 30, 2023 and December 31, 2022,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94,333</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(76,411)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(67,376)</w:t>
            </w:r>
          </w:p>
        </w:tc>
      </w:tr>
      <w:tr>
        <w:trPr>
          <w:trHeight w:val="216"/>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tcPr>
          <w:p>
            <w:pPr>
              <w:spacing w:after="0"/>
              <w:rPr>
                <w:sz w:val="18"/>
                <w:szCs w:val="18"/>
                <w:color w:val="auto"/>
              </w:rPr>
            </w:pPr>
          </w:p>
        </w:tc>
      </w:tr>
      <w:tr>
        <w:trPr>
          <w:trHeight w:val="250"/>
        </w:trPr>
        <w:tc>
          <w:tcPr>
            <w:tcW w:w="7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(9,339)</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(4,785)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per basic and diluted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Weighted average common shares used to compute net loss per basic and diluted</w:t>
            </w:r>
          </w:p>
        </w:tc>
        <w:tc>
          <w:tcPr>
            <w:tcW w:w="20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41,709,718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40,978,820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41,483,669</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40,943,241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common share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9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(4,785)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(loss) on short-term investments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(4,773)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June 30, 2023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9"/>
                <w:szCs w:val="19"/>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April 1, 2023</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41,270,300</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w w:val="97"/>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1,221</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640,387</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Balance at June 30,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41,910,687</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96,182</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(76,411)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2023</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41,175,993</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94,333</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w w:val="97"/>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734,444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 – US Treasury bills</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41,910,687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96,182</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gridSpan w:val="3"/>
            <w:vMerge w:val="restart"/>
          </w:tcPr>
          <w:p>
            <w:pPr>
              <w:jc w:val="right"/>
              <w:ind w:right="378"/>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at April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40,951,197</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40,964</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gridSpan w:val="4"/>
          </w:tcPr>
          <w:p>
            <w:pPr>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40,992,161</w:t>
            </w:r>
          </w:p>
        </w:tc>
        <w:tc>
          <w:tcPr>
            <w:tcW w:w="11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92,856</w:t>
            </w:r>
          </w:p>
        </w:tc>
        <w:tc>
          <w:tcPr>
            <w:tcW w:w="4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(59,976)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Six Months Ended June 30,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gridSpan w:val="3"/>
            <w:vMerge w:val="restart"/>
          </w:tcPr>
          <w:p>
            <w:pPr>
              <w:jc w:val="right"/>
              <w:ind w:right="378"/>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9"/>
                <w:szCs w:val="19"/>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40,851,945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tcPr>
          <w:p>
            <w:pPr>
              <w:spacing w:after="0" w:line="201" w:lineRule="exact"/>
              <w:rPr>
                <w:sz w:val="20"/>
                <w:szCs w:val="20"/>
                <w:color w:val="auto"/>
              </w:rPr>
            </w:pPr>
            <w:r>
              <w:rPr>
                <w:rFonts w:ascii="Arial" w:cs="Arial" w:eastAsia="Arial" w:hAnsi="Arial"/>
                <w:sz w:val="18"/>
                <w:szCs w:val="18"/>
                <w:color w:val="auto"/>
                <w:w w:val="97"/>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tcPr>
          <w:p>
            <w:pPr>
              <w:spacing w:after="0" w:line="201" w:lineRule="exact"/>
              <w:rPr>
                <w:sz w:val="20"/>
                <w:szCs w:val="20"/>
                <w:color w:val="auto"/>
              </w:rPr>
            </w:pPr>
            <w:r>
              <w:rPr>
                <w:rFonts w:ascii="Arial" w:cs="Arial" w:eastAsia="Arial" w:hAnsi="Arial"/>
                <w:sz w:val="18"/>
                <w:szCs w:val="18"/>
                <w:color w:val="auto"/>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90,216</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shares issued for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tcPr>
          <w:p>
            <w:pPr>
              <w:spacing w:after="0" w:line="201" w:lineRule="exact"/>
              <w:rPr>
                <w:sz w:val="20"/>
                <w:szCs w:val="20"/>
                <w:color w:val="auto"/>
              </w:rPr>
            </w:pPr>
            <w:r>
              <w:rPr>
                <w:rFonts w:ascii="Arial" w:cs="Arial" w:eastAsia="Arial" w:hAnsi="Arial"/>
                <w:sz w:val="18"/>
                <w:szCs w:val="18"/>
                <w:color w:val="auto"/>
              </w:rPr>
              <w:t>Net unrealized loss on short-term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40,992,161</w:t>
            </w:r>
          </w:p>
        </w:tc>
        <w:tc>
          <w:tcPr>
            <w:tcW w:w="11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92,856</w:t>
            </w:r>
          </w:p>
        </w:tc>
        <w:tc>
          <w:tcPr>
            <w:tcW w:w="4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(59,976)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Wrap Technologies,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00" w:type="dxa"/>
            <w:vAlign w:val="bottom"/>
          </w:tcPr>
          <w:p>
            <w:pPr>
              <w:jc w:val="center"/>
              <w:ind w:left="2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(9,035)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(10,217)</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Warranty provision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Prepaid expense and other current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Warranty settlement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09"/>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(14,890)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Capital expenditures for property and equipment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patents and trademarks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Proceeds from long-term deposits</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0"/>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7"/>
          <w:szCs w:val="17"/>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(1,294)</w:t>
            </w:r>
          </w:p>
        </w:tc>
      </w:tr>
      <w:tr>
        <w:trPr>
          <w:trHeight w:val="230"/>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40" w:type="dxa"/>
            <w:vAlign w:val="bottom"/>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w:t>
            </w: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0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Change in unrealized gain on short-term investments</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and liability recorded during period</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880" w:hanging="854"/>
        <w:spacing w:after="0"/>
        <w:tabs>
          <w:tab w:leader="none" w:pos="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Certain information and footnote disclosures normally included in financial statements prepared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2022, included in the Company’s Annual Report on Form 10-K for the year ended December 31, 2022 (the “</w:t>
      </w:r>
      <w:r>
        <w:rPr>
          <w:rFonts w:ascii="Arial" w:cs="Arial" w:eastAsia="Arial" w:hAnsi="Arial"/>
          <w:sz w:val="17"/>
          <w:szCs w:val="17"/>
          <w:i w:val="1"/>
          <w:iCs w:val="1"/>
          <w:color w:val="auto"/>
        </w:rPr>
        <w:t>Annual Report</w:t>
      </w:r>
      <w:r>
        <w:rPr>
          <w:rFonts w:ascii="Arial" w:cs="Arial" w:eastAsia="Arial" w:hAnsi="Arial"/>
          <w:sz w:val="17"/>
          <w:szCs w:val="17"/>
          <w:color w:val="auto"/>
        </w:rPr>
        <w:t>”), as filed with the SEC on March 2, 2023. The accompanying condensed consolidated balance sheet at December 31, 2022, has been derived from the audited consolidated balance sheet at December 31, 2022, contained in the Annual Report. Results of operations for interim periods are not necessarily indicative of the results of operations for a full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one wholly-owned subsidiary, Wrap Reality, Inc. formed in December 2020 that sells a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system primarily targeting law enforcement agencies. The consolidated financial statements include the accounts of this subsidiary after elimination of intercompany transactions and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restricted stock units exercisable or issuable for a total of 4,117,586 and 6,458,823 shares of Common Stock were outstanding at June 30, 2023, and 2022, respectively.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reviewed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9" w:lineRule="exact"/>
        <w:rPr>
          <w:sz w:val="20"/>
          <w:szCs w:val="20"/>
          <w:color w:val="auto"/>
        </w:rPr>
      </w:pPr>
    </w:p>
    <w:p>
      <w:pPr>
        <w:ind w:left="620" w:hanging="594"/>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consists of product revenue and other revenue. Product sales include BolaWrap products and accessories. Other revenue includes VR revenue, service, training and shipping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six months ended June 30, 2023.</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Customer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79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Deposits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Revenue</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Additions, net</w:t>
            </w:r>
          </w:p>
        </w:tc>
        <w:tc>
          <w:tcPr>
            <w:tcW w:w="1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to revenue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0"/>
        </w:trPr>
        <w:tc>
          <w:tcPr>
            <w:tcW w:w="79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Current portion</w:t>
            </w:r>
          </w:p>
        </w:tc>
        <w:tc>
          <w:tcPr>
            <w:tcW w:w="1260" w:type="dxa"/>
            <w:vAlign w:val="bottom"/>
            <w:tcBorders>
              <w:bottom w:val="single" w:sz="8" w:color="auto"/>
            </w:tcBorders>
            <w:shd w:val="clear" w:color="auto" w:fill="CCEEFF"/>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7960" w:type="dxa"/>
            <w:vAlign w:val="bottom"/>
          </w:tcPr>
          <w:p>
            <w:pPr>
              <w:ind w:left="180"/>
              <w:spacing w:after="0" w:line="196" w:lineRule="exact"/>
              <w:rPr>
                <w:sz w:val="20"/>
                <w:szCs w:val="20"/>
                <w:color w:val="auto"/>
              </w:rPr>
            </w:pPr>
            <w:r>
              <w:rPr>
                <w:rFonts w:ascii="Arial" w:cs="Arial" w:eastAsia="Arial" w:hAnsi="Arial"/>
                <w:sz w:val="18"/>
                <w:szCs w:val="18"/>
                <w:color w:val="auto"/>
              </w:rPr>
              <w:t>Long-term portion</w:t>
            </w:r>
          </w:p>
        </w:tc>
        <w:tc>
          <w:tcPr>
            <w:tcW w:w="1260" w:type="dxa"/>
            <w:vAlign w:val="bottom"/>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7"/>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Company’s deferred revenue of $340 consisted of $217 related to VR, $17 related to training and $106 related to BolaWrap extended warranties and services. At December 31, 2022, the Company’s deferred revenue of $333 consisted of $198 related to VR, $11 related to training and $124 related to BolaWrap extended warranties and services.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200" w:lineRule="exact"/>
        <w:rPr>
          <w:sz w:val="20"/>
          <w:szCs w:val="20"/>
          <w:color w:val="auto"/>
        </w:rPr>
      </w:pPr>
    </w:p>
    <w:p>
      <w:pPr>
        <w:spacing w:after="0" w:line="209"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and Certificate of Deposits are classified as Level 1 because they are valued using quoted market prices.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As of June 30, 2023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Adjusted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Market</w:t>
            </w:r>
          </w:p>
        </w:tc>
        <w:tc>
          <w:tcPr>
            <w:tcW w:w="100" w:type="dxa"/>
            <w:vAlign w:val="bottom"/>
          </w:tcPr>
          <w:p>
            <w:pPr>
              <w:spacing w:after="0"/>
              <w:rPr>
                <w:sz w:val="16"/>
                <w:szCs w:val="16"/>
                <w:color w:val="auto"/>
              </w:rPr>
            </w:pPr>
          </w:p>
        </w:tc>
      </w:tr>
      <w:tr>
        <w:trPr>
          <w:trHeight w:val="234"/>
        </w:trPr>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9" w:lineRule="exact"/>
        <w:rPr>
          <w:sz w:val="20"/>
          <w:szCs w:val="20"/>
          <w:color w:val="auto"/>
        </w:rPr>
      </w:pPr>
    </w:p>
    <w:p>
      <w:pPr>
        <w:ind w:right="1560"/>
        <w:spacing w:after="0" w:line="273" w:lineRule="auto"/>
        <w:rPr>
          <w:sz w:val="20"/>
          <w:szCs w:val="20"/>
          <w:color w:val="auto"/>
        </w:rPr>
      </w:pPr>
      <w:r>
        <w:rPr>
          <w:rFonts w:ascii="Arial" w:cs="Arial" w:eastAsia="Arial" w:hAnsi="Arial"/>
          <w:sz w:val="18"/>
          <w:szCs w:val="18"/>
          <w:color w:val="auto"/>
        </w:rPr>
        <w:t>U.S. Treasury securities in short-term investments Certificate of Deposits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Financial Assets</w:t>
      </w:r>
    </w:p>
    <w:p>
      <w:pPr>
        <w:spacing w:after="0" w:line="20" w:lineRule="exact"/>
        <w:rPr>
          <w:sz w:val="20"/>
          <w:szCs w:val="20"/>
          <w:color w:val="auto"/>
        </w:rPr>
      </w:pPr>
      <w:r>
        <w:rPr>
          <w:sz w:val="20"/>
          <w:szCs w:val="20"/>
          <w:color w:val="auto"/>
        </w:rPr>
        <w:br w:type="column"/>
      </w:r>
    </w:p>
    <w:p>
      <w:pPr>
        <w:ind w:left="1680"/>
        <w:spacing w:after="0"/>
        <w:rPr>
          <w:sz w:val="20"/>
          <w:szCs w:val="20"/>
          <w:color w:val="auto"/>
        </w:rPr>
      </w:pPr>
      <w:r>
        <w:rPr>
          <w:rFonts w:ascii="Arial" w:cs="Arial" w:eastAsia="Arial" w:hAnsi="Arial"/>
          <w:sz w:val="18"/>
          <w:szCs w:val="18"/>
          <w:b w:val="1"/>
          <w:bCs w:val="1"/>
          <w:color w:val="auto"/>
        </w:rPr>
        <w:t>As of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Adjusted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Market</w:t>
            </w:r>
          </w:p>
        </w:tc>
      </w:tr>
      <w:tr>
        <w:trPr>
          <w:trHeight w:val="234"/>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4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3,004</w:t>
            </w:r>
          </w:p>
        </w:tc>
      </w:tr>
      <w:tr>
        <w:trPr>
          <w:trHeight w:val="216"/>
        </w:trPr>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9,949</w:t>
            </w:r>
          </w:p>
        </w:tc>
      </w:tr>
      <w:tr>
        <w:trPr>
          <w:trHeight w:val="230"/>
        </w:trPr>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16,853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-719455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-445135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-162560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125" w:right="3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as they are classified as available for sale. During the three and six months ended June 30, 2023, a $0 gain and $0 loss was recorded to accumulated other comprehensive gain (loss), respectively. During the three and six months ended June 30, 2022, a $12 gain and $11 loss was recorded to accumulated other comprehensive gain (loss),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9" w:lineRule="exact"/>
        <w:rPr>
          <w:sz w:val="20"/>
          <w:szCs w:val="20"/>
          <w:color w:val="auto"/>
        </w:rPr>
      </w:pPr>
    </w:p>
    <w:p>
      <w:pPr>
        <w:ind w:left="620" w:hanging="594"/>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5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3,793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6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2,727</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Inventories - net</w:t>
            </w:r>
          </w:p>
        </w:tc>
        <w:tc>
          <w:tcPr>
            <w:tcW w:w="56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20" w:type="dxa"/>
            <w:vAlign w:val="bottom"/>
            <w:vMerge w:val="restart"/>
          </w:tcPr>
          <w:p>
            <w:pPr>
              <w:jc w:val="right"/>
              <w:ind w:right="2170"/>
              <w:spacing w:after="0"/>
              <w:rPr>
                <w:sz w:val="20"/>
                <w:szCs w:val="20"/>
                <w:color w:val="auto"/>
              </w:rPr>
            </w:pPr>
            <w:r>
              <w:rPr>
                <w:rFonts w:ascii="Arial" w:cs="Arial" w:eastAsia="Arial" w:hAnsi="Arial"/>
                <w:sz w:val="18"/>
                <w:szCs w:val="18"/>
                <w:color w:val="auto"/>
              </w:rPr>
              <w:t>-8-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4"/>
              </w:rPr>
              <w:t>Tooling</w:t>
            </w:r>
          </w:p>
        </w:tc>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Furniture, fixtures and improvements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0"/>
        </w:trPr>
        <w:tc>
          <w:tcPr>
            <w:tcW w:w="5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r>
      <w:tr>
        <w:trPr>
          <w:trHeight w:val="249"/>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$118 and $236 for the three and six months ended June 30, 2023, respectively, and $124 and $237 for the three and six months ended June 30, 2022, respectively.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ind w:left="20"/>
              <w:spacing w:after="0"/>
              <w:rPr>
                <w:sz w:val="20"/>
                <w:szCs w:val="20"/>
                <w:color w:val="auto"/>
              </w:rPr>
            </w:pPr>
            <w:r>
              <w:rPr>
                <w:rFonts w:ascii="Arial" w:cs="Arial" w:eastAsia="Arial" w:hAnsi="Arial"/>
                <w:sz w:val="18"/>
                <w:szCs w:val="18"/>
                <w:b w:val="1"/>
                <w:bCs w:val="1"/>
                <w:color w:val="auto"/>
                <w:w w:val="79"/>
              </w:rPr>
              <w:t>6.</w:t>
            </w:r>
          </w:p>
        </w:tc>
        <w:tc>
          <w:tcPr>
            <w:tcW w:w="5420" w:type="dxa"/>
            <w:vAlign w:val="bottom"/>
          </w:tcPr>
          <w:p>
            <w:pPr>
              <w:ind w:left="460"/>
              <w:spacing w:after="0"/>
              <w:rPr>
                <w:sz w:val="20"/>
                <w:szCs w:val="20"/>
                <w:color w:val="auto"/>
              </w:rPr>
            </w:pPr>
            <w:r>
              <w:rPr>
                <w:rFonts w:ascii="Arial" w:cs="Arial" w:eastAsia="Arial" w:hAnsi="Arial"/>
                <w:sz w:val="18"/>
                <w:szCs w:val="18"/>
                <w:b w:val="1"/>
                <w:bCs w:val="1"/>
                <w:color w:val="auto"/>
              </w:rPr>
              <w:t>INTANGIBLE ASSETS, NET</w:t>
            </w: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w:t>
            </w: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Patents</w:t>
            </w:r>
          </w:p>
        </w:tc>
        <w:tc>
          <w:tcPr>
            <w:tcW w:w="2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r>
      <w:tr>
        <w:trPr>
          <w:trHeight w:val="210"/>
        </w:trPr>
        <w:tc>
          <w:tcPr>
            <w:tcW w:w="1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0"/>
        </w:trPr>
        <w:tc>
          <w:tcPr>
            <w:tcW w:w="16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w:t>
            </w:r>
          </w:p>
        </w:tc>
        <w:tc>
          <w:tcPr>
            <w:tcW w:w="2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Indefinite life assets (non-amortizable)</w:t>
            </w:r>
          </w:p>
        </w:tc>
        <w:tc>
          <w:tcPr>
            <w:tcW w:w="2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$85 and $167 for the three and six months ended June 30, 2023, respectively, and $73 and $143 for the three and six months ended June 30, 2022,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At June 30, 2023, future amortization expense is as follows:</w:t>
            </w:r>
          </w:p>
        </w:tc>
        <w:tc>
          <w:tcPr>
            <w:tcW w:w="2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2023 (9 months)</w:t>
            </w:r>
          </w:p>
        </w:tc>
        <w:tc>
          <w:tcPr>
            <w:tcW w:w="32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2024</w:t>
            </w:r>
          </w:p>
        </w:tc>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2026</w:t>
            </w:r>
          </w:p>
        </w:tc>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Thereafter</w:t>
            </w:r>
          </w:p>
        </w:tc>
        <w:tc>
          <w:tcPr>
            <w:tcW w:w="2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2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hanging="594"/>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includes $40 and $127 due to related party Syzygy Licensing, LLC (“</w:t>
      </w:r>
      <w:r>
        <w:rPr>
          <w:rFonts w:ascii="Arial" w:cs="Arial" w:eastAsia="Arial" w:hAnsi="Arial"/>
          <w:sz w:val="16"/>
          <w:szCs w:val="16"/>
          <w:i w:val="1"/>
          <w:iCs w:val="1"/>
          <w:color w:val="auto"/>
        </w:rPr>
        <w:t>Syzygy</w:t>
      </w:r>
      <w:r>
        <w:rPr>
          <w:rFonts w:ascii="Arial" w:cs="Arial" w:eastAsia="Arial" w:hAnsi="Arial"/>
          <w:sz w:val="16"/>
          <w:szCs w:val="16"/>
          <w:color w:val="auto"/>
        </w:rPr>
        <w:t>”) as of June 30, 2023 and December 31,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Notes 11 for additional information on this related party.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consummated an offering of Series A Convertible Preferred Stock and Warrants (“</w:t>
      </w:r>
      <w:r>
        <w:rPr>
          <w:rFonts w:ascii="Arial" w:cs="Arial" w:eastAsia="Arial" w:hAnsi="Arial"/>
          <w:sz w:val="18"/>
          <w:szCs w:val="18"/>
          <w:i w:val="1"/>
          <w:iCs w:val="1"/>
          <w:color w:val="auto"/>
        </w:rPr>
        <w:t>Offering</w:t>
      </w:r>
      <w:r>
        <w:rPr>
          <w:rFonts w:ascii="Arial" w:cs="Arial" w:eastAsia="Arial" w:hAnsi="Arial"/>
          <w:sz w:val="18"/>
          <w:szCs w:val="18"/>
          <w:color w:val="auto"/>
        </w:rPr>
        <w:t>”), which Offering closed on July 5, 2023, resulting in gross proceeds to the Company of approximately $10 million of which $7.4 million was received on June 29, 2023. The $7.4 million received was recorded to cash with an offset to accrued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Accrued compensation</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Pre-funding of the sale of shares, preferred stock and warrants</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and other</w:t>
            </w: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8,562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25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5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Accrued compensation includes $80 and $1,022 in employee bonuses and commissions payable at June 30, 2023 and December 31, 2022,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estimated product warranty costs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760" w:type="dxa"/>
            <w:vAlign w:val="bottom"/>
            <w:gridSpan w:val="5"/>
          </w:tcPr>
          <w:p>
            <w:pPr>
              <w:jc w:val="right"/>
              <w:ind w:right="407"/>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gridSpan w:val="4"/>
          </w:tcPr>
          <w:p>
            <w:pPr>
              <w:jc w:val="right"/>
              <w:ind w:right="787"/>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Warranty settlements</w:t>
            </w:r>
          </w:p>
        </w:tc>
        <w:tc>
          <w:tcPr>
            <w:tcW w:w="10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Warranty provision</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16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hanging="594"/>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620" w:hanging="594"/>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31, 2017</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adopted, and the stockholders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Common Stock for issuance as awards to employees, directors or consultants. In May 2019</w:t>
      </w:r>
      <w:r>
        <w:rPr>
          <w:rFonts w:ascii="Arial" w:cs="Arial" w:eastAsia="Arial" w:hAnsi="Arial"/>
          <w:sz w:val="17"/>
          <w:szCs w:val="17"/>
          <w:i w:val="1"/>
          <w:iCs w:val="1"/>
          <w:color w:val="auto"/>
        </w:rPr>
        <w:t>,</w:t>
      </w:r>
      <w:r>
        <w:rPr>
          <w:rFonts w:ascii="Arial" w:cs="Arial" w:eastAsia="Arial" w:hAnsi="Arial"/>
          <w:sz w:val="17"/>
          <w:szCs w:val="17"/>
          <w:color w:val="auto"/>
        </w:rPr>
        <w:t xml:space="preserve">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June 30, 2023, there were 2,848,936 shares of Common Stock remaining available for grant under the Plan.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generally recognizes share-based compensation expense on the grant date and over the period of vesting or period that services will be provided. In April 2023 the Company recognized severance acceleration of $178 of share-based compensation expense resulting from the resignation of the Company’s Chief Executive Officer and Chief Operating Officer due to a reduction in force that resulted in changes in the composition of the executives of the Company. In January 2022 the Company recognized severance acceleration of $242 of share-based compensation expense resulting from the resignation of the Company’s Chief Executive Officer as part of a management transition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six months ended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Options on</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2023</w:t>
            </w:r>
          </w:p>
        </w:tc>
        <w:tc>
          <w:tcPr>
            <w:tcW w:w="20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Forfeited, cancelled, expired</w:t>
            </w:r>
          </w:p>
        </w:tc>
        <w:tc>
          <w:tcPr>
            <w:tcW w:w="3340" w:type="dxa"/>
            <w:vAlign w:val="bottom"/>
            <w:gridSpan w:val="3"/>
          </w:tcPr>
          <w:p>
            <w:pPr>
              <w:jc w:val="right"/>
              <w:ind w:right="80"/>
              <w:spacing w:after="0"/>
              <w:rPr>
                <w:sz w:val="20"/>
                <w:szCs w:val="20"/>
                <w:color w:val="auto"/>
              </w:rPr>
            </w:pPr>
            <w:r>
              <w:rPr>
                <w:rFonts w:ascii="Arial" w:cs="Arial" w:eastAsia="Arial" w:hAnsi="Arial"/>
                <w:sz w:val="18"/>
                <w:szCs w:val="18"/>
                <w:color w:val="auto"/>
              </w:rPr>
              <w:t>(1,982,900)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2023</w:t>
            </w:r>
          </w:p>
        </w:tc>
        <w:tc>
          <w:tcPr>
            <w:tcW w:w="20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3,568,249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Exercisable June 30, 2023</w:t>
            </w:r>
          </w:p>
        </w:tc>
        <w:tc>
          <w:tcPr>
            <w:tcW w:w="20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1,052,714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4.56</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6.79</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8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there were 1,954,019 service-based stock options outstanding, and 1,614,230 performance-based stock options outstanding, which performance-based stock options were granted in April 2022 to the Company’s former Chief Executive Officer and President, subject to future market capitalization targets. 1,049,145 of the 3,568,249 stock options granted included in the table above were granted in April 2022 outside the Plan as an employment inducement grant, but are subject to the terms and conditions of the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5000" w:type="dxa"/>
            <w:vAlign w:val="bottom"/>
            <w:gridSpan w:val="3"/>
          </w:tcPr>
          <w:p>
            <w:pPr>
              <w:jc w:val="center"/>
              <w:ind w:left="2590"/>
              <w:spacing w:after="0"/>
              <w:rPr>
                <w:sz w:val="20"/>
                <w:szCs w:val="20"/>
                <w:color w:val="auto"/>
              </w:rPr>
            </w:pPr>
            <w:r>
              <w:rPr>
                <w:rFonts w:ascii="Arial" w:cs="Arial" w:eastAsia="Arial" w:hAnsi="Arial"/>
                <w:sz w:val="18"/>
                <w:szCs w:val="18"/>
                <w:b w:val="1"/>
                <w:bCs w:val="1"/>
                <w:color w:val="auto"/>
                <w:w w:val="91"/>
              </w:rPr>
              <w:t>For the Six Months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8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89"/>
              </w:rPr>
              <w:t>Ended June 30,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10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3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6.66</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fair value of options granted</w:t>
            </w:r>
          </w:p>
        </w:tc>
        <w:tc>
          <w:tcPr>
            <w:tcW w:w="32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0.55</w:t>
            </w: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used the Monte Carlo Simulation Model to value at the grant date the aggregate of 1,614,230 market condition performance options granted in April 2022 to the Company’s former Chief Executive Officer and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 expense was $255 and $567 for the three and six months ended June 30, 2023, respectively, and $408 and $1,145 for the three and six months ended June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RSUs are settled in shares of the Company’s Common Stock as the RSUs become vested. The following table summarizes RSU activity for the six months ended June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Unvested at January 1, 2023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Granted - service based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 and cancelled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Unvested at June 30,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r>
      <w:tr>
        <w:trPr>
          <w:trHeight w:val="216"/>
        </w:trPr>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Service-Based</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34"/>
        </w:trPr>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0"/>
                <w:szCs w:val="20"/>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922,057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jc w:val="right"/>
              <w:ind w:right="950"/>
              <w:spacing w:after="0" w:line="195"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2.88</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2.11</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625,896</w:t>
            </w:r>
          </w:p>
        </w:tc>
        <w:tc>
          <w:tcPr>
            <w:tcW w:w="140" w:type="dxa"/>
            <w:vAlign w:val="bottom"/>
          </w:tcPr>
          <w:p>
            <w:pPr>
              <w:spacing w:after="0"/>
              <w:rPr>
                <w:sz w:val="18"/>
                <w:szCs w:val="18"/>
                <w:color w:val="auto"/>
              </w:rPr>
            </w:pPr>
          </w:p>
        </w:tc>
        <w:tc>
          <w:tcPr>
            <w:tcW w:w="12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(734,444)</w:t>
            </w:r>
          </w:p>
        </w:tc>
        <w:tc>
          <w:tcPr>
            <w:tcW w:w="12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2.87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(264,172)</w:t>
            </w:r>
          </w:p>
        </w:tc>
        <w:tc>
          <w:tcPr>
            <w:tcW w:w="12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2.49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2.03</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-719455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-161925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60" w:space="720"/>
            <w:col w:w="576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RSU expense was $966 and $1,282 for the three and six months ended June 30, 2023, respectively, and $319 and $611 for the three and six months ended June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ind w:right="507"/>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total estimated compensation cost of stock options granted and outstanding but not yet vested was $2,609 which is expected to be recognized over the weighted average period of 3.12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total estimated compensation cost of RSUs granted and outstanding but not yet vested was $1,115 which is expected to be recognized over the weighted average period of 1.82 years.</w:t>
      </w:r>
    </w:p>
    <w:p>
      <w:pPr>
        <w:spacing w:after="0" w:line="200" w:lineRule="exact"/>
        <w:rPr>
          <w:sz w:val="20"/>
          <w:szCs w:val="20"/>
          <w:color w:val="auto"/>
        </w:rPr>
      </w:pPr>
    </w:p>
    <w:p>
      <w:pPr>
        <w:spacing w:after="0" w:line="209"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each of the three and six months ended June 30, 2023 and year ended December 31, 2022 was $0.</w:t>
      </w:r>
    </w:p>
    <w:p>
      <w:pPr>
        <w:spacing w:after="0" w:line="200" w:lineRule="exact"/>
        <w:rPr>
          <w:sz w:val="20"/>
          <w:szCs w:val="20"/>
          <w:color w:val="auto"/>
        </w:rPr>
      </w:pPr>
    </w:p>
    <w:p>
      <w:pPr>
        <w:spacing w:after="0" w:line="204" w:lineRule="exact"/>
        <w:rPr>
          <w:sz w:val="20"/>
          <w:szCs w:val="20"/>
          <w:color w:val="auto"/>
        </w:rPr>
      </w:pPr>
    </w:p>
    <w:p>
      <w:pPr>
        <w:ind w:left="700" w:hanging="674"/>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Technology License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Arial" w:cs="Arial" w:eastAsia="Arial" w:hAnsi="Arial"/>
          <w:sz w:val="17"/>
          <w:szCs w:val="17"/>
          <w:i w:val="1"/>
          <w:iCs w:val="1"/>
          <w:color w:val="auto"/>
        </w:rPr>
        <w:t>,</w:t>
      </w:r>
      <w:r>
        <w:rPr>
          <w:rFonts w:ascii="Arial" w:cs="Arial" w:eastAsia="Arial" w:hAnsi="Arial"/>
          <w:sz w:val="17"/>
          <w:szCs w:val="17"/>
          <w:color w:val="auto"/>
        </w:rPr>
        <w:t xml:space="preserve"> whichever occurs earlier. The Company recorded $40 and $64 for royalties during the three and six months ended June 30, 2023, respectively, and $34 and $83 for royalties during the three and six months ended June 30, 2022, respectively. The maximum payout still available under this arrangement is $217 as of June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Provider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Professional Services and Technology Acquisition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entered into with Lumeto, Inc. and Spatial Industries Group, Inc. (collectively, “</w:t>
      </w:r>
      <w:r>
        <w:rPr>
          <w:rFonts w:ascii="Arial" w:cs="Arial" w:eastAsia="Arial" w:hAnsi="Arial"/>
          <w:sz w:val="18"/>
          <w:szCs w:val="18"/>
          <w:i w:val="1"/>
          <w:iCs w:val="1"/>
          <w:color w:val="auto"/>
        </w:rPr>
        <w:t>Service Provider</w:t>
      </w:r>
      <w:r>
        <w:rPr>
          <w:rFonts w:ascii="Arial" w:cs="Arial" w:eastAsia="Arial" w:hAnsi="Arial"/>
          <w:sz w:val="18"/>
          <w:szCs w:val="18"/>
          <w:color w:val="auto"/>
        </w:rPr>
        <w:t>”) on November 22, 2022, as amended on April 2, 2023, the Service Provider is to provide to the Company certain technology, services, and perpetual licenses for use within the Company’s Wrap Reality virtual simulation training platform (the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and License</w:t>
      </w:r>
      <w:r>
        <w:rPr>
          <w:rFonts w:ascii="Arial" w:cs="Arial" w:eastAsia="Arial" w:hAnsi="Arial"/>
          <w:sz w:val="18"/>
          <w:szCs w:val="18"/>
          <w:color w:val="auto"/>
        </w:rPr>
        <w:t>”) in consideration for a cash payment of $700 to the Service Provider.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the Company was committed for approximately $3,878 for future component deliveries that are generally subject to modification or rescheduling in the normal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Indemnifications and Guarantees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oversight from regulatory agencies regarding firearms that arises in the ordinary course of its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2020, Naresh Rammohan filed a shareholder derivative action in the US District Court for the Central District of California against current and former Company officers as well as current and former Company directors alleging unjust enrichment, breach of fiduciary duty, waste of corporate assets, and contribution claims under the Securities Exchange Act of 1934, docketed as Case No. 2:20-cv-10444-DMG-PVCx. The derivative action was dismissed with prejudice by stipulation of the parties on May 3, 2022.</w:t>
      </w:r>
    </w:p>
    <w:p>
      <w:pPr>
        <w:spacing w:after="0" w:line="200" w:lineRule="exact"/>
        <w:rPr>
          <w:sz w:val="20"/>
          <w:szCs w:val="20"/>
          <w:color w:val="auto"/>
        </w:rPr>
      </w:pPr>
    </w:p>
    <w:p>
      <w:pPr>
        <w:spacing w:after="0" w:line="226" w:lineRule="exact"/>
        <w:rPr>
          <w:sz w:val="20"/>
          <w:szCs w:val="20"/>
          <w:color w:val="auto"/>
        </w:rPr>
      </w:pPr>
    </w:p>
    <w:p>
      <w:pPr>
        <w:ind w:left="700" w:hanging="674"/>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in October 2017 the Company began reimbursing Mr. Elwood Norris, a former officer, current 10% stockholder and consultant of the Company, $1.5 per month on a month-to-month basis for laboratory facility expense, for an aggregate of $4.5 and $9 during the three and six months ended June 30, 2023, and 2022, respectively. Mr. Norris retired as the Company’s Chief Technology Officer effective June 30, 2021, and commencing July 1, 2021, was engaged as a month-to-month consultant. Mr. Norris was paid a monthly fee of $7.5 per month for aggregate consulting payments of $22.5 and $45 during each of the three and six months ended June 30, 2023 and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7, 11 and 14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ind w:left="700" w:hanging="674"/>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RELATED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2023, revenue from two distributors accounted for approximately 21% and 21% of revenue with no other single customer accounting for more than 10% of total revenue. For the three months ended June 30, 2022, revenue from three distributors and one agency accounted for approximately 24%, 18%, 12% and 11% of revenue with no other single customer accounting for more than 10% of total revenue.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revenue from three distributors accounted for approximately 15%, 14% and 13% of revenue with no other single customer accounting for more than 10% of total revenue. For the six months ended June 30, 2022, revenue from one distributor accounted for approximately 25% of revenue with no other single customer accounting for more than 10% of total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accounts receivable from three distributors accounted for 22%, 13% and 13% of net accounts receivable, with no other single customer accounting for more than 10% of the accounts receivable balance. At December 31, 2022, accounts receivable from one distributor accounted for 70% of net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 region. Revenue is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For the Six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ind w:left="400"/>
              <w:spacing w:after="0"/>
              <w:rPr>
                <w:sz w:val="20"/>
                <w:szCs w:val="20"/>
                <w:color w:val="auto"/>
              </w:rPr>
            </w:pPr>
            <w:r>
              <w:rPr>
                <w:rFonts w:ascii="Arial" w:cs="Arial" w:eastAsia="Arial" w:hAnsi="Arial"/>
                <w:sz w:val="18"/>
                <w:szCs w:val="18"/>
                <w:b w:val="1"/>
                <w:bCs w:val="1"/>
                <w:color w:val="auto"/>
              </w:rPr>
              <w:t>Ended June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80" w:type="dxa"/>
            <w:vAlign w:val="bottom"/>
            <w:vMerge w:val="restart"/>
          </w:tcPr>
          <w:p>
            <w:pPr>
              <w:jc w:val="right"/>
              <w:ind w:right="9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700" w:hanging="674"/>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29, 2023, the Company entered into a Securities Purchase Agreement with a founder and director of the Company and certain accredited and institutional investors (collectively, the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it agreed to sell to the Investors in a registered direct offering (the “</w:t>
      </w:r>
      <w:r>
        <w:rPr>
          <w:rFonts w:ascii="Arial" w:cs="Arial" w:eastAsia="Arial" w:hAnsi="Arial"/>
          <w:sz w:val="16"/>
          <w:szCs w:val="16"/>
          <w:i w:val="1"/>
          <w:iCs w:val="1"/>
          <w:color w:val="auto"/>
        </w:rPr>
        <w:t>Offering</w:t>
      </w:r>
      <w:r>
        <w:rPr>
          <w:rFonts w:ascii="Arial" w:cs="Arial" w:eastAsia="Arial" w:hAnsi="Arial"/>
          <w:sz w:val="16"/>
          <w:szCs w:val="16"/>
          <w:color w:val="auto"/>
        </w:rPr>
        <w:t>”) (i) an aggregate of 10,000 shares of the Company’s newly-designated Series A Convertible Preferred Stock, with a par value $0.0001 per share, and a stated value of $1,000 per share (“</w:t>
      </w:r>
      <w:r>
        <w:rPr>
          <w:rFonts w:ascii="Arial" w:cs="Arial" w:eastAsia="Arial" w:hAnsi="Arial"/>
          <w:sz w:val="16"/>
          <w:szCs w:val="16"/>
          <w:i w:val="1"/>
          <w:iCs w:val="1"/>
          <w:color w:val="auto"/>
        </w:rPr>
        <w:t>Series A Preferred</w:t>
      </w:r>
      <w:r>
        <w:rPr>
          <w:rFonts w:ascii="Arial" w:cs="Arial" w:eastAsia="Arial" w:hAnsi="Arial"/>
          <w:sz w:val="16"/>
          <w:szCs w:val="16"/>
          <w:color w:val="auto"/>
        </w:rPr>
        <w:t>”), initially convertible into up to 6,896,553 shares of the Company’s Common Stock, at a conversion price of $1.45 per share, and (ii) warrants to acquire up to an aggregate of 6,896,553 shares of Common Stock (“</w:t>
      </w:r>
      <w:r>
        <w:rPr>
          <w:rFonts w:ascii="Arial" w:cs="Arial" w:eastAsia="Arial" w:hAnsi="Arial"/>
          <w:sz w:val="16"/>
          <w:szCs w:val="16"/>
          <w:i w:val="1"/>
          <w:iCs w:val="1"/>
          <w:color w:val="auto"/>
        </w:rPr>
        <w:t>Warrants</w:t>
      </w:r>
      <w:r>
        <w:rPr>
          <w:rFonts w:ascii="Arial" w:cs="Arial" w:eastAsia="Arial" w:hAnsi="Arial"/>
          <w:sz w:val="16"/>
          <w:szCs w:val="16"/>
          <w:color w:val="auto"/>
        </w:rPr>
        <w:t>”). The Series A Preferred provide for the payment to holders thereof of cumulative dividends of 8% per annum, payable quarterly in arrears. The Warrants are exercisable six months after issuance at an exercise price of $1.45 per share, subject to adjustment, and expire five years from the date of issuance. The $1.45 per share conversion price of the Series A Preferred and exercise price of the Warrant represent the closing share price of the Company’s Common Stock on June 29, 2023. The Offering closed on July 5, 2023 (the “</w:t>
      </w:r>
      <w:r>
        <w:rPr>
          <w:rFonts w:ascii="Arial" w:cs="Arial" w:eastAsia="Arial" w:hAnsi="Arial"/>
          <w:sz w:val="16"/>
          <w:szCs w:val="16"/>
          <w:i w:val="1"/>
          <w:iCs w:val="1"/>
          <w:color w:val="auto"/>
        </w:rPr>
        <w:t>Closing</w:t>
      </w:r>
      <w:r>
        <w:rPr>
          <w:rFonts w:ascii="Arial" w:cs="Arial" w:eastAsia="Arial" w:hAnsi="Arial"/>
          <w:sz w:val="16"/>
          <w:szCs w:val="16"/>
          <w:color w:val="auto"/>
        </w:rPr>
        <w:t>”), resulting in aggregate gross proceeds from the Offering of approximately $10 million.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the Closing occurred subsequent to June 30, 2023, the Company received approximately $7.35 million in gross proceeds from the Offering on June 30, 2023 following the execution of the Securities Purchase Agreement and prior to the Closing, which amount is reflected in cash and cash equivalents, with an offset to accrued expense, each as reflected in the Company’s Condensed Consolidated Balance Sheet at June 30, 2023. At the Closing, the Company received additional gross proceeds from the Offering of approximately $2.65 million. After payment of placement agent fees and costs of the Offering, the net proceeds from the Offering were approximately $9 million. The Company intends to allocate the proceeds from the Offering to scale the Company’s sales team, support marketing efforts, and fuel the evolution and diversification of the Company’s product offerings.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evaluated other events subsequent to June 30, 2023 through the date the accompanying financial statements were filed with the Securities and Exchange Commission and noted that, other than as set forth above, there have been no other events or transactions which would affect the Company’s financial statements for the quarter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Intrensic, LLC</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9, 2023, the Company entered into a Membership Interest Purchase Agreement (the “Purchase Agreement”) with Intrensic, LLC, a Delaware limited liability company (“</w:t>
      </w:r>
      <w:r>
        <w:rPr>
          <w:rFonts w:ascii="Arial" w:cs="Arial" w:eastAsia="Arial" w:hAnsi="Arial"/>
          <w:sz w:val="16"/>
          <w:szCs w:val="16"/>
          <w:i w:val="1"/>
          <w:iCs w:val="1"/>
          <w:color w:val="auto"/>
        </w:rPr>
        <w:t>Intrensic</w:t>
      </w:r>
      <w:r>
        <w:rPr>
          <w:rFonts w:ascii="Arial" w:cs="Arial" w:eastAsia="Arial" w:hAnsi="Arial"/>
          <w:sz w:val="16"/>
          <w:szCs w:val="16"/>
          <w:color w:val="auto"/>
        </w:rPr>
        <w:t>”), and certain members of Intrensic, including Kevin Mullins, the Company’s Chief Executive Officer (collectively, “</w:t>
      </w:r>
      <w:r>
        <w:rPr>
          <w:rFonts w:ascii="Arial" w:cs="Arial" w:eastAsia="Arial" w:hAnsi="Arial"/>
          <w:sz w:val="16"/>
          <w:szCs w:val="16"/>
          <w:i w:val="1"/>
          <w:iCs w:val="1"/>
          <w:color w:val="auto"/>
        </w:rPr>
        <w:t>Sellers</w:t>
      </w:r>
      <w:r>
        <w:rPr>
          <w:rFonts w:ascii="Arial" w:cs="Arial" w:eastAsia="Arial" w:hAnsi="Arial"/>
          <w:sz w:val="16"/>
          <w:szCs w:val="16"/>
          <w:color w:val="auto"/>
        </w:rPr>
        <w:t>”). Under the terms of the Purchase Agreement, the Company agreed to purchase, and Sellers agreed to sell, 100% of the membership interests (the “</w:t>
      </w:r>
      <w:r>
        <w:rPr>
          <w:rFonts w:ascii="Arial" w:cs="Arial" w:eastAsia="Arial" w:hAnsi="Arial"/>
          <w:sz w:val="16"/>
          <w:szCs w:val="16"/>
          <w:i w:val="1"/>
          <w:iCs w:val="1"/>
          <w:color w:val="auto"/>
        </w:rPr>
        <w:t>Membership Interests</w:t>
      </w:r>
      <w:r>
        <w:rPr>
          <w:rFonts w:ascii="Arial" w:cs="Arial" w:eastAsia="Arial" w:hAnsi="Arial"/>
          <w:sz w:val="16"/>
          <w:szCs w:val="16"/>
          <w:color w:val="auto"/>
        </w:rPr>
        <w:t>”) of Intrensic for the following consideration upon the consummation of the sale of the Membership Interests (the “</w:t>
      </w:r>
      <w:r>
        <w:rPr>
          <w:rFonts w:ascii="Arial" w:cs="Arial" w:eastAsia="Arial" w:hAnsi="Arial"/>
          <w:sz w:val="16"/>
          <w:szCs w:val="16"/>
          <w:i w:val="1"/>
          <w:iCs w:val="1"/>
          <w:color w:val="auto"/>
        </w:rPr>
        <w:t>Intrensic</w:t>
      </w:r>
      <w:r>
        <w:rPr>
          <w:rFonts w:ascii="Arial" w:cs="Arial" w:eastAsia="Arial" w:hAnsi="Arial"/>
          <w:sz w:val="16"/>
          <w:szCs w:val="16"/>
          <w:color w:val="auto"/>
        </w:rPr>
        <w:t xml:space="preserve"> </w:t>
      </w:r>
      <w:r>
        <w:rPr>
          <w:rFonts w:ascii="Arial" w:cs="Arial" w:eastAsia="Arial" w:hAnsi="Arial"/>
          <w:sz w:val="16"/>
          <w:szCs w:val="16"/>
          <w:i w:val="1"/>
          <w:iCs w:val="1"/>
          <w:color w:val="auto"/>
        </w:rPr>
        <w:t>Closing</w:t>
      </w:r>
      <w:r>
        <w:rPr>
          <w:rFonts w:ascii="Arial" w:cs="Arial" w:eastAsia="Arial" w:hAnsi="Arial"/>
          <w:sz w:val="16"/>
          <w:szCs w:val="16"/>
          <w:color w:val="auto"/>
        </w:rPr>
        <w:t>”): (i) $553,588 in cash, subject to adjustment based upon the outstanding indebtedness of Intrensic and Intrensic’s working capital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Intrensic Closing; and (ii) 1,250,000 shares of Common Stock of the Company (collectively, the “</w:t>
      </w:r>
      <w:r>
        <w:rPr>
          <w:rFonts w:ascii="Arial" w:cs="Arial" w:eastAsia="Arial" w:hAnsi="Arial"/>
          <w:sz w:val="16"/>
          <w:szCs w:val="16"/>
          <w:i w:val="1"/>
          <w:iCs w:val="1"/>
          <w:color w:val="auto"/>
        </w:rPr>
        <w:t>Purchase Price</w:t>
      </w:r>
      <w:r>
        <w:rPr>
          <w:rFonts w:ascii="Arial" w:cs="Arial" w:eastAsia="Arial" w:hAnsi="Arial"/>
          <w:sz w:val="16"/>
          <w:szCs w:val="16"/>
          <w:color w:val="auto"/>
        </w:rPr>
        <w:t>”) (the “</w:t>
      </w:r>
      <w:r>
        <w:rPr>
          <w:rFonts w:ascii="Arial" w:cs="Arial" w:eastAsia="Arial" w:hAnsi="Arial"/>
          <w:sz w:val="16"/>
          <w:szCs w:val="16"/>
          <w:i w:val="1"/>
          <w:iCs w:val="1"/>
          <w:color w:val="auto"/>
        </w:rPr>
        <w:t>Intrensic Acquisition</w:t>
      </w:r>
      <w:r>
        <w:rPr>
          <w:rFonts w:ascii="Arial" w:cs="Arial" w:eastAsia="Arial" w:hAnsi="Arial"/>
          <w:sz w:val="16"/>
          <w:szCs w:val="16"/>
          <w:color w:val="auto"/>
        </w:rPr>
        <w: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contains representations, warranties and covenants of the Company and Sellers that are customary for a transaction of this nature, a customary indemnification provisions whereby Sellers will indemnify the Company for certain losses arising out of inaccuracies in, or breaches of, the representations, warranties and covenants of Sellers regarding Intrensic, ownership of the Membership Interest, and certain other matters, subject to certain caps and thresholds.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 of the Purchase Agreement does not purport to be complete and is qualified in its entirety by the full text of the Purchase Agreement, a copy of which is filed as an exhibit to this Quarterly Report and is incorporated by reference in this description of the Purchase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Kevin Mullins, a director of the Company and the Company’s Chief Executive Officer, owns approximately 9.53% of the Membership Interests, and as such, has a financial interest in the Intrensic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You should read the following discussion in conjunction with the financial statements and other financial information included elsewhere in this Quarterly Report on Form 10-Q (this </w:t>
      </w:r>
      <w:r>
        <w:rPr>
          <w:rFonts w:ascii="Arial" w:cs="Arial" w:eastAsia="Arial" w:hAnsi="Arial"/>
          <w:sz w:val="17"/>
          <w:szCs w:val="17"/>
          <w:color w:val="auto"/>
        </w:rPr>
        <w:t>“</w:t>
      </w:r>
      <w:r>
        <w:rPr>
          <w:rFonts w:ascii="Arial" w:cs="Arial" w:eastAsia="Arial" w:hAnsi="Arial"/>
          <w:sz w:val="17"/>
          <w:szCs w:val="17"/>
          <w:i w:val="1"/>
          <w:iCs w:val="1"/>
          <w:color w:val="auto"/>
        </w:rPr>
        <w:t>Report</w:t>
      </w:r>
      <w:r>
        <w:rPr>
          <w:rFonts w:ascii="Arial" w:cs="Arial" w:eastAsia="Arial" w:hAnsi="Arial"/>
          <w:sz w:val="17"/>
          <w:szCs w:val="17"/>
          <w:color w:val="auto"/>
        </w:rPr>
        <w:t>”</w:t>
      </w:r>
      <w:r>
        <w:rPr>
          <w:rFonts w:ascii="Arial" w:cs="Arial" w:eastAsia="Arial" w:hAnsi="Arial"/>
          <w:sz w:val="17"/>
          <w:szCs w:val="17"/>
          <w:i w:val="1"/>
          <w:iCs w:val="1"/>
          <w:color w:val="auto"/>
        </w:rPr>
        <w:t xml:space="preserve">) and with our audited financial statements and other information presented in our Annual Report on Form 10-K for the year ended December 31, 2022 (the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The following discussion may contain forward-looking statements that reflect our plans, estimates and beliefs. Words such as </w:t>
      </w:r>
      <w:r>
        <w:rPr>
          <w:rFonts w:ascii="Arial" w:cs="Arial" w:eastAsia="Arial" w:hAnsi="Arial"/>
          <w:sz w:val="17"/>
          <w:szCs w:val="17"/>
          <w:color w:val="auto"/>
        </w:rPr>
        <w:t>“</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w:t>
      </w:r>
      <w:r>
        <w:rPr>
          <w:rFonts w:ascii="Arial" w:cs="Arial" w:eastAsia="Arial" w:hAnsi="Arial"/>
          <w:sz w:val="17"/>
          <w:szCs w:val="17"/>
          <w:i w:val="1"/>
          <w:iCs w:val="1"/>
          <w:color w:val="auto"/>
        </w:rPr>
        <w:t xml:space="preserve">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 non-pain compliance tools and immersive training for the modern world. We began sales of our first public safety product, the BolaWrap 100 remote restraint device, in late 2018. In late 2020 we added a new solution to our public safety technologies, which is our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platform – Wrap Reality. Wrap Reality is now sold to law enforcement agencies for simulation training as well as corrections departments for the societal reentry scenarios. In Q1 2022 we delivered a new generation product, the BolaWrap 150. The BolaWrap 150 is electronically deployed and is more robust, smaller, lighter and simpler to deploy than the BolaWrap 100 that has been phased out.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BolaWrap Remote Restraint Device </w:t>
      </w:r>
      <w:r>
        <w:rPr>
          <w:rFonts w:ascii="Arial" w:cs="Arial" w:eastAsia="Arial" w:hAnsi="Arial"/>
          <w:sz w:val="16"/>
          <w:szCs w:val="16"/>
          <w:color w:val="auto"/>
        </w:rPr>
        <w:t>– is a hand-held remote restraint device that discharges a seven and half-foot Kevlar tether to entangle an individual at</w:t>
      </w:r>
      <w:r>
        <w:rPr>
          <w:rFonts w:ascii="Arial" w:cs="Arial" w:eastAsia="Arial" w:hAnsi="Arial"/>
          <w:sz w:val="16"/>
          <w:szCs w:val="16"/>
          <w:i w:val="1"/>
          <w:iCs w:val="1"/>
          <w:color w:val="auto"/>
        </w:rPr>
        <w:t xml:space="preserve"> </w:t>
      </w:r>
      <w:r>
        <w:rPr>
          <w:rFonts w:ascii="Arial" w:cs="Arial" w:eastAsia="Arial" w:hAnsi="Arial"/>
          <w:sz w:val="16"/>
          <w:szCs w:val="16"/>
          <w:color w:val="auto"/>
        </w:rPr>
        <w:t>a range of 10-25 feet. BolaWrap assists law enforcement to safely and effectively control encounters early without resorting to painful force options.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Wrap Reality </w:t>
      </w:r>
      <w:r>
        <w:rPr>
          <w:rFonts w:ascii="Arial" w:cs="Arial" w:eastAsia="Arial" w:hAnsi="Arial"/>
          <w:sz w:val="16"/>
          <w:szCs w:val="16"/>
          <w:color w:val="auto"/>
        </w:rPr>
        <w:t>– is a law enforcement 3D training system employing immersive computer graphics VR with proprietary software-enabled content. It allows</w:t>
      </w:r>
      <w:r>
        <w:rPr>
          <w:rFonts w:ascii="Arial" w:cs="Arial" w:eastAsia="Arial" w:hAnsi="Arial"/>
          <w:sz w:val="16"/>
          <w:szCs w:val="16"/>
          <w:i w:val="1"/>
          <w:iCs w:val="1"/>
          <w:color w:val="auto"/>
        </w:rPr>
        <w:t xml:space="preserve"> </w:t>
      </w:r>
      <w:r>
        <w:rPr>
          <w:rFonts w:ascii="Arial" w:cs="Arial" w:eastAsia="Arial" w:hAnsi="Arial"/>
          <w:sz w:val="16"/>
          <w:szCs w:val="16"/>
          <w:color w:val="auto"/>
        </w:rPr>
        <w:t>up to two participants to enter a simulated training environment simultaneously, and customized weapons controllers enable trainees to engage in strategic decision making along the force continuum. Wrap Reality has 38 scenarios for law enforcement and corrections and 25 scenarios at this time for societal reentry. Wrap Reality is one of the most robust 3D Virtual Reality solutions on the market for law enforcement and societal reentry today.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49 international distributors covering 54 countries. We focus significant sales, training and business development efforts to support our distribution network in addition to our internal sales team.</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17, 2023, Kevin Mullins was named Chief Executive Officer. In connection with Mr. Mullins' appointment, TJ Kennedy agreed to immediately step down as the Company’s Chief Executive Officer and a member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Additionally, on April 17, 2023, the Company performed a reduction in force that resulted in changes in the composition of the executives of the Company. As part of the reduction in force, Glenn Hickman stepped down as Chief Operating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our Company's products and solutions are gaining global recognition and awareness through active use across multiple agencies and continued acceptance worldwide as well as various marketing channels such as demos, social media, trade shows, and media exposure, among others. In part, this recognition and awareness can be attributed to positive feedback from law enforcement agencies and the successful deployment of our products. As a result, our brand, Wrap, is becoming increasingly recognized on a global scale as a leader in remote restraint and non-lethal solutions.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focused on aggressive marketing and public relations efforts. We are confident in the potential market opportunities for our remote restraint and virtual reality solutions in the law enforcement and security sectors worldwide. These opportunities are driven by the increasing demand for less-lethal policing.</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law enforcement sector, our BolaWrap product has been successfully deployed in the field, as reported by agencies worldwide. BolaWrap is now in use by almost 1,000 US law enforcement agencies and in 62 countries. Due to its safe remote restraint capabilities, many agencies do not deem its usage a categorical reportable use of force and rather place it underneath early use of force such as handcuffs. We train law enforcement agencies deploy BolaWrap when verbal commands breakdown but long before there is justifiable escalation to pain inducing tools such as: pepper spray, pepper ball, batons, bean bags, tasers or Conducted Electrical Weapons (CEW’s) or firearms.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Agencies voluntarily report usage to Wrap. In the usage reports we have been provided; officers have reported successful outcomes in 83%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Twenty-six percent of the reported persons who are wrapped with the BolaWrap are thought to be under the influence of alcohol or drugs.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reasons why we may not receive reports on all the use of the BolaWrap, including, when uses of BolaWrap are considered evidence in ongoing criminal cases, are controlled by local policy or regulation, or require officer and union and other released to be shared with us. However, many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anticipates that our portfolio of safe, remote restraint products and training tools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(i.e., after verbal commands break down and before the law enforcement officer is ready to escalate to pain compliance tools. Management believes that law enforcement trainers and officers who have been trained to use our products, or have witnessed demonstrations, are more inclined to support the acquisition and deployment of our products by their respective departments to drive successful outcomes. As of June 30, 2023, over 1,450 agencies have received BolaWrap training with over 4,827 training officers at those agencies certified as BolaWrap instructors and qualified to train the rest of their departments, representing a 18% increase in agencies and a 16% increase in trained officers as compared to June 30,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for the second quarter of fiscal 2023 increased $0.51 million, or 10%, to $5.75 million from $5.24 million in the prior year period. The increase in operating expense was the result of the Company incurring approximately $1.4 million of one-time items related to organizational changes including severance and legal fees that impacted operational expense. Excluding these one-time items, operational expense for the second quarter 2023 would have been $4.35 million or a 17% decrease from the prior year period. We expect to see the full benefit of the organizational changes we made in April during the back half of 2023.</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is confident that implementing the strategic changes it made in April will lead to substantial sales growth and put us on a path towards sustainable profitability. Although geopolitical tensions and macroeconomic challenges have affected our quarterly results in the past and may in the future, we believe our firm is uniquely positioned to provide lifesaving technologies and training that enable law enforcement officers worldwide to conduct safe and effective encounters while reducing the use of force. If departments follow our Use of Force Guarantee requirements, we are confident enough to offer that in 12 months we would buy their BolaWrap devices back if they do not reduce their reportable use of force by 10%. With an increasing addressable market, Wrap offers a unique value proposition. Our improved pricing strategy, coupled with reduced operating expense and our growing sales outlook, is expected to help reduce losses and improve cash flow in the future.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Looking ahead to the coming years, we plan to increase the number of product demonstrations and training sessions, particularly in international markets. Our new focus on the when and why BolaWrap is used is already showing improved results. This is a departure of the hardware product only approach of the past. Our sales of the BolaWrap 150 and Wrap Reality are expected to continue to rise, aided by our ongoing cost savings and cost control measures, which should lead to an overall reduction in cash burn.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June 30, 2023 we had backlog of approximately $25 thousand expected to be delivered in the third quarter of 2023. Additionally, we had deferred revenue of $340 thousand expected to be recognized generally over the next five years. Our deferred revenue mostly is from Wrap Reality subscription and other revenue. We expect our deferred revenue to grow in future years due to the SaaS business model on Wrap Reality. Distributor and customer orders for future deliveries are generally subject to modification, rescheduling or in some instances, cancellation, in the normal course of business.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we have generated significant losses from operations and anticipate that we will continue to generate significant losses from operations for the foreseeable future. We believe that we have adequate financial resources to sustain our operations for the next year. We increased our net loss during the second quarter of fiscal 2023 by more than $0.2 million as compared to the second quarter of fiscal 2022. The decrease in net loss was primarily the result of one-time items related to the organizational changes made during the second quarter 2023 including $1.4 million of non-cash expense related to stock compensation, severance, and legal fees. Excluding the one-time items, net loss for the second quarter 2023 would have been $3.61 million or a 25% decrease from the prior year period. Net cash used in operations during the six months ended June 30, 2023 was $5.43 million less than cash used in operations during the six months ended June 30, 2022. This improvement was a result of our strategic roadmap as well as our cost control measures implemented in Q2, Q3 and Q4 of our last fiscal year, and Q1 and Q2 of this fiscal year.</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that we will continue to innovate new applications for our public safety technology, open new geographies, develop new products and technologies to meet diverse customer requirements and identify and develop new markets for our products. We believe that our sales during the second quarter of fiscal 2023 were impacted by the timing of new orders, particularly on in the international market, and associated budgeting from our customers.</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Supply chain disruptions have affected our operations in the past and could negatively impact our ability to source materials, manufacture and distribute products in the future. Moreover, financial markets have continued to experience significant volatility, challenging the Company’s ability to access the capital markets to provide additional working capital to fund the Company’s growth. Despite these conditions, and following an analysis of our future capital needs, the Company consummated an offering of Series A Convertible Preferred Stock and Warrants (“</w:t>
      </w:r>
      <w:r>
        <w:rPr>
          <w:rFonts w:ascii="Arial" w:cs="Arial" w:eastAsia="Arial" w:hAnsi="Arial"/>
          <w:sz w:val="16"/>
          <w:szCs w:val="16"/>
          <w:i w:val="1"/>
          <w:iCs w:val="1"/>
          <w:color w:val="auto"/>
        </w:rPr>
        <w:t>Offering</w:t>
      </w:r>
      <w:r>
        <w:rPr>
          <w:rFonts w:ascii="Arial" w:cs="Arial" w:eastAsia="Arial" w:hAnsi="Arial"/>
          <w:sz w:val="16"/>
          <w:szCs w:val="16"/>
          <w:color w:val="auto"/>
        </w:rPr>
        <w:t>”), which Offering closed on July 5, 2023, resulting in gross proceeds to the Company of approximately $10 million of which $7.4 million was received on June 29, 2023. The $7.4 million received was recorded to cash with an offset to accrued expense. As a result, we had $18.2 million in cash and cash equivalents and short-term investments as of June 30, 2023. We therefore believe we have sufficient capital to fund our operations for the next twelve months. However, liquidity constraints and access to capital markets could still negatively affect our liquidity and require changes to our investment strategy.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global pandemics could potentially result in lost or delayed revenue for our Company, as occurred in the years ended December 31 2021 and 2022 due to the global COVID-19 pandemic. These potential future events could include restrictions on our suppliers' ability to meet delivery requirements and commitments, employees' inability to perform their work due to illness caused by a pandemic or local, state, or federal mandates requiring employees to stay home. Delays in carriers' ability to deliver our products to customers, unforeseen deviations from customers or foreign governments restricting the ability to conduct business, and customers' inability to pay us on a timely basis, if at all, could also limit our revenue.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Company may be positively or negatively impacted by social unrest, protests against racial inequality, and movements like "Defund the Police." Such unrest may be further fueled by misleading information or negative publicity about our solutions. We believe our solutions are actually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 earnings, and cash flows from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our management and other critical personnel have the potential to negatively affect our business. Such disruptions could have an adverse impact on our operations, programs, growth, financial condition, or results of operations. On the other hand, improvements in our operations, operating expense, and go-to-market approaches could positively influence the success of our business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sell our products to customers including law enforcement agencies, domestic distributors and international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such transactions is recognized in the periods that products are shipped (free on board (“</w:t>
      </w:r>
      <w:r>
        <w:rPr>
          <w:rFonts w:ascii="Arial" w:cs="Arial" w:eastAsia="Arial" w:hAnsi="Arial"/>
          <w:sz w:val="18"/>
          <w:szCs w:val="18"/>
          <w:i w:val="1"/>
          <w:iCs w:val="1"/>
          <w:color w:val="auto"/>
        </w:rPr>
        <w:t>FOB</w:t>
      </w:r>
      <w:r>
        <w:rPr>
          <w:rFonts w:ascii="Arial" w:cs="Arial" w:eastAsia="Arial" w:hAnsi="Arial"/>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We follow the fair value recognition provisions issued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we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June 30, 2023. Our accounting policies are more fully described in Note 1. Organization and Summary of Significant Accounting in the notes to our audited consolidated financial statements included in the Annual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pronouncements issued for future implementation are discussed in Note 1. Organization and Summary of Significant Accounting Policies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 includes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70" w:lineRule="auto"/>
        <w:tabs>
          <w:tab w:leader="none" w:pos="3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operating costs will reduce from the first half of 2023 as a result of the changes implemented in April 2023, and ongoing cost containment efforts. We may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0"/>
        </w:trPr>
        <w:tc>
          <w:tcPr>
            <w:tcW w:w="5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5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reported net revenue of $1.2 million for the three months ended June 30, 2023, as compared to $1.2 million for the quarter ended June 30, 2022, a 3% increase over the prior year. International revenue decreased from $75 thousand for the three months ended June 30, 2022 to $31 thousand for the three months ended June 30, 2023. We believe that our sales during the three months ended June 30, 2023, were impacted by the timing of new orders, particularly international and associated budgeting from our customers. We also incurred discounts of $42 thousand during the three months ended June 30, 2023, as a result of promotional programs designed to encourage customers to upgrade to the BolaWrap 150. Gross sales were $1.2 million for the three months ended June 30, 2023, before such discounts. The discounts compare to normal business discounts of $161 thousand in the comparable quarter of the prior year. We expect a decline to minimal discounts in 2023 as we have phased out our promotional upgrade offer.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revenue generally consists of larger orders with the end user being large, centralized government agencies. These orders continue to be lumpy and difficult to predict as to both timing and amount. International orders anticipated in the second quarter of 2022 were delayed significantly due to the changeover from the BolaWrap 100 but those orders for BolaWrap 150 are anticipated in future quarters.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latter half of 2023.</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$41 thousand during the three months ended June 30,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the prior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$340 thousand of deferred revenue at June 30, 2023, of which $217 thousand related to VR, $17 thousand was related to training and $106 thousand related to BolaWrap extended warranties and services. As we potentially secure increased bookings for Wrap Reality, as well as BolaWrap extended warranties, we expect our deferred revenue to grow in future quarters.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had backlog of $25 thousand expected to be delivered in the third quarter of 2023. Distributor and customer orders for future deliveries are generally subject to modification, rescheduling or in some instance’s cancellation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for the three months ended June 30, 2023 was $668 thousand, or a gross margin of 56%. Our cost of revenue for the three months ended June 30, 2022 was $457 thousand resulting in a gross margin of 39%. The increase in gross profit represented an 46% increase over prior year as a result of rolling out the BolaWrap 150 product, selling price adjustments implemented in September of 2022, and a reduction of promotional pricing, offset by some supply chain issues and inventory adjustments.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19% of our overall revenue in the three months ended June 30, 2023, and will continue to grow as a recurring revenue base as more BolaWrap devices are in the field and the usage of BolaWrap increases due to the need of officers to de-escalate earlier to prevent injuries and use of higher levels of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supply chain has experienced notable component shortages, extended lead times, cost fluctuations, and logistical constraints, all of which have affected our product costs. Although we have seen these supply chain obstacles ease in 2023, we acknowledge that future supplier shortages, quality problems, and logistics delays could impact our production schedules and have a material negative impact on our financial condition, results of operation,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i w:val="1"/>
          <w:iCs w:val="1"/>
          <w:color w:val="auto"/>
        </w:rPr>
        <w:t>SG&amp;A</w:t>
      </w:r>
      <w:r>
        <w:rPr>
          <w:rFonts w:ascii="Arial" w:cs="Arial" w:eastAsia="Arial" w:hAnsi="Arial"/>
          <w:sz w:val="18"/>
          <w:szCs w:val="18"/>
          <w:color w:val="auto"/>
        </w:rPr>
        <w:t>”) expense of $4.8 million for the three months ended June 30, 2023 increased by $1.0 million, when compared to $3.8 million for the three months ended June 30, 2022. The increase in selling general and administrative expense was the result of the Company incurring approximately $1.4 million of one-time items related to organizational changes including severance and legal fees that impacted operational expense. Excluding these one-time items, selling general and administrative expense for the second quarter 2023 would have been $3.35 million or a 11% decrease from the prior year period.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costs allocated to SG&amp;A increased to $990 thousand compared to $589 thousand for the comparable prior quarter. This $401 thousand increase resulted primarily from changes in management and one-time costs associated with the management changes in April 2023.</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burden costs of $1.53 million for the three months ended June 30, 2023 was a decrease of $10 thousand, or a 1% decrease, due to reduced headcount and one-time recruiting expense. During three months ended June 30, 2023, as compared to same period during the prior year, we increased professional fees by $308 thousand, and increased consulting and contract services fees by $182 thousand. We expect expenditures for SG&amp;A expense in 2023 to remain in line with 2022 despite expected revenue growth.</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and promotion costs were $282 thousand for the three months ended June 30, 2023, or a decrease of $51 thousand as compared to $333 thousand during the three months ended June 30, 2022. The changes in advertising costs were related to reductions in consultants and other cost containment efforts. However, the company expects advertising costs will increase in the future due to increased investment in strategic targeting and marketing campaigns as well as building brand awareness.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 decreased by $474 thousand for the three months ended June 30, 2023 when compared to the three months ended June 30, 2022. We incurred a $92 thousand period over period increase in share-based compensation expense allocated to research and development expense as a result of personnel changes made in April 2023. Outside consulting costs decreased by $145 thousand and prototype related costs decreased by $155 thousand primarily due to reduced costs related to finalizing the BolaWrap 150 product and continued cost containment efforts.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operations of $5.1 million during the three months ended June 30, 2023 was an increase of $0.3 million compared to loss from operations of $4.8 million during the three months ended June 30, 2022, reflecting increased margin and the focus on reducing operating costs. The increase in operating expense was the result of the Company incurring approximately $1.4 million of one-time items related to organizational changes including severance and legal fees that impacted operational expense. Excluding these one-time items, operational expense for the second quarter 2023 would have been $4.35 million or a 17% decrease from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2,431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0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revenue</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0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40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0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(9,339)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(10,217)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25"/>
        </w:trPr>
        <w:tc>
          <w:tcPr>
            <w:tcW w:w="4080" w:type="dxa"/>
            <w:vAlign w:val="bottom"/>
          </w:tcPr>
          <w:p>
            <w:pPr>
              <w:spacing w:after="0"/>
              <w:rPr>
                <w:sz w:val="24"/>
                <w:szCs w:val="24"/>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reported net revenue of $1.9 million for the six months ended June 30, 2023, as compared to $2.8 million for the six months ended June 30, 2022, a 31% decrease over the prior year. International revenue decreased from $479 thousand for the six months ended June 30, 2022 to $35 thousand for the six months ended June 30, 2023. We believe that our sales during the six months ended June 30, 2023 were impacted by the timing of new orders and associated budgeting from our customers. We also incurred discounts of $64 thousand during the six months ended June 30, 2023, as a result of promotional programs designed to encourage customers to upgrade to the BolaWrap 150. Gross sales were $1.98 million for the six months ended June 30, 2023, before such discounts. The discounts compare to normal business discounts of $549 thousand in the comparable six-month period of the prior year. We expect a decline to minimal discounts in 2023 as we have phased out our promotional upgrade offer.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revenue generally consists of larger orders with the end user being large, centralized government agencies. These orders continue to be lumpy and difficult to predict as to both timing and amount. International orders anticipated in the second quarter of 2022 were delayed significantly due to the changeover from the BolaWrap 100 but those orders for BolaWrap 150 are anticipated in future quarters.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latter half of 2023.</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$95 thousand during the six months ended June 30,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the prior year.</w:t>
      </w:r>
    </w:p>
    <w:p>
      <w:pPr>
        <w:spacing w:after="0" w:line="187"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We had $340 thousand of deferred revenue at June 30, 2023, of which $217 thousand related to VR, $17 thousand was related to training and $106 thousand related to BolaWrap extended warranties and services. As we potentially secure increased bookings for Wrap Reality, as well as BolaWrap extended warranties, we expect our deferred revenue to grow in future quarters.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had backlog of $25 thousand expected to be delivered in the third quarter of 2023. Distributor and customer orders for future deliveries are generally subject to modification, rescheduling or in some instance’s cancellation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profit for the six months ended June 30, 2023 was $1.02 million, or a gross margin of 53%. Our cost of revenue for the six months ended June 30, 2022 was $1.12 thousand resulting in a gross margin of 41%. The decrease in gross profit represented an 9% decrease over prior year as a result of decreased sales.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18% of our overall revenue in the six months ended June 30, 2023, and will continue to grow as a recurring revenue base as more BolaWrap devices are in the field and the usage of BolaWrap increases due to the need of officers to de-escalate earlier to prevent injuries and use of higher levels of force.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supply chain has experienced notable component shortages, extended lead times, cost fluctuations, and logistical constraints, all of which have affected our product costs. Although we anticipate these supply chain obstacles to ease in 2023, we acknowledge that future supplier shortages, quality problems, and logistics delays could impact our production schedules and have a material negative impact on our financial condition, results of operation,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 expense of $8.3 million for the six months ended June 30, 2023 decreased, by $0.1 million, when compared to $8.4 million for the six months ended June 30, 2022, due to cost containment efforts.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costs allocated to SG&amp;A increased to $1.6 million compared to $1.5 million for the comparable prior-year period. This $0.1 million increase resulted primarily due to changes in management, one-time costs in the prior year period, and changes in the stock price.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burden costs of $3.0 million for the six months ended June 30, 2023 was a decrease of $132 thousand, or a 4% decrease, due to reduced headcount and one-time recruiting expense. During six months ended June 30, 2023, as compared to same period during the prior year, we increased professional fees by $160 thousand, and increased consulting and contract services fees by $30 thousand. We expect expenditures for SG&amp;A expense in 2023 to remain in line with 2022 despite expected revenue growth.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and promotion costs were $445 thousand for the six months ended June 30, 2023, or a decrease of $216 thousand as compared to $661 thousand during the six months ended June 30, 2022. The changes in advertising costs were related to reductions in consultants and other cost containment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 decreased by $898 thousand for the six months ended June 30, 2023 when compared to the six months ended June 30, 2022. We incurred a $21 thousand period over period increase in share-based compensation expense allocated to research and development expense as a result of personnel changes made in April 2023. Outside consulting costs decreased by $252 thousand and prototype related costs decreased by $323 thousand for the six months ended June 30, 2023, primarily due to reduced costs related to finalizing the BolaWrap 150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Loss from operations of $9.3 million during the six months ended June 30, 2023 was a reduction of $878 thousand compared to loss from operations of $10.2 million during the six months ended June 30, 2022, reflecting increased margin and the focus on reducing operating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net losses and negative cash flows from operations since our inception. As of June 30, 2023, we had cash and cash equivalents of $11.7 million, short-term investments of $6.5 million, positive working capital of $16.6 million and had sustained cumulative losses attributable to stockholders of $76.4 million. Our working capital at June 30, 2023 was positively affected by an increase in inventories of approximately $2.5 million, which consisted of increases of inventory of the BolaWrap 150 in anticipation of future orders, and the receipt of $7.4 million from the Offering on June 29, 2023 that formally closed on July 5, 2023. The Offering was consummated following an analysis of our future capital needs, resulting in the issuance of Series A Convertible Preferred Stock and Warrants. The Offering generated gross proceeds to the Company of approximately $10 million. As a result, we had $18.2 million in cash and cash equivalents and short-term investments as of June 30, 2023. We therefore believe we have sufficient capital to fund our operations for the next twelve months. However, liquidity constraints and access to capital markets could still negatively affect our liquidity and require changes to our investment strategy.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future outbreaks pandemics or contagious diseases or fear of such outbreaks;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2023, net cash used in operating activities was $776 thousand. The net loss of $9.04 million was decreased by non-cash expense of $2.26 million consisting primarily of share-based compensation expense of $1.85 million. Other major component changes using operating cash included an increase of $2.55 million in inventories and a net increase in accounts payable and accrued liabilities of $7.66 million. A decrease in accounts receivable of $884 million reduced the cash used in operating activities.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net cash used in operating activities was $6.2 million. The net loss of $10.2 million was decreased by non-cash expense of $2.2 million consisting primarily of share-based compensation expense of $1.76 million. Other major component changes using operating cash included an increase of $467 thousand in inventories and a net reduction in accounts payable and accrued liabilities of $311 thousand. A decrease in accounts receivable of $2.4 million reduced the cash used in operating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we used $2.65 million of cash to purchase short-term investments and we had proceeds from maturities of short-term investments of $10 million. During the six months ended June 30, 2023, we used $66 thousand of cash for the purchase of property and equipment, and invested $176 thousand in patents.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we used $14.9 million of cash to purchase short-term investments and we had proceeds from maturities of short-term investments of $20 million. During the six months ended June 30, 2022, we used $168 thousand of cash for the purchase of property and equipment and invested $102 thousand in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and 2022, we received $0 and $75 thousand, respectively, in proceeds from the exercise of previously issued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and 2022, we received $7.4 million and $0 million in gross proceeds from the issuance of securities, which amount in the six months ended June 30, 2023 is reflected in cash and cash equivalents, with an offset to accrued expense, each as reflected in the Company’s Condensed Consolidated Balance Sheet at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Professional Services and Technology Acquisition Agreement (the “</w:t>
      </w:r>
      <w:r>
        <w:rPr>
          <w:rFonts w:ascii="Arial" w:cs="Arial" w:eastAsia="Arial" w:hAnsi="Arial"/>
          <w:sz w:val="16"/>
          <w:szCs w:val="16"/>
          <w:i w:val="1"/>
          <w:iCs w:val="1"/>
          <w:color w:val="auto"/>
        </w:rPr>
        <w:t>Agreement</w:t>
      </w:r>
      <w:r>
        <w:rPr>
          <w:rFonts w:ascii="Arial" w:cs="Arial" w:eastAsia="Arial" w:hAnsi="Arial"/>
          <w:sz w:val="16"/>
          <w:szCs w:val="16"/>
          <w:color w:val="auto"/>
        </w:rPr>
        <w:t>”) entered into with Lumeto, Inc. and Spatial Industries Group, Inc. (collectively, “</w:t>
      </w:r>
      <w:r>
        <w:rPr>
          <w:rFonts w:ascii="Arial" w:cs="Arial" w:eastAsia="Arial" w:hAnsi="Arial"/>
          <w:sz w:val="16"/>
          <w:szCs w:val="16"/>
          <w:i w:val="1"/>
          <w:iCs w:val="1"/>
          <w:color w:val="auto"/>
        </w:rPr>
        <w:t>Service Provider</w:t>
      </w:r>
      <w:r>
        <w:rPr>
          <w:rFonts w:ascii="Arial" w:cs="Arial" w:eastAsia="Arial" w:hAnsi="Arial"/>
          <w:sz w:val="16"/>
          <w:szCs w:val="16"/>
          <w:color w:val="auto"/>
        </w:rPr>
        <w:t>”) on November 22, 2022, as amended on April 2, 2023, which Agreement, provided that the Service Provider provide to the Company certain technology, services, and perpetual licenses for use within the Company’s Wrap Reality virtual simulation training platform (the “</w:t>
      </w:r>
      <w:r>
        <w:rPr>
          <w:rFonts w:ascii="Arial" w:cs="Arial" w:eastAsia="Arial" w:hAnsi="Arial"/>
          <w:sz w:val="16"/>
          <w:szCs w:val="16"/>
          <w:i w:val="1"/>
          <w:iCs w:val="1"/>
          <w:color w:val="auto"/>
        </w:rPr>
        <w:t>Technology, Services, and License</w:t>
      </w:r>
      <w:r>
        <w:rPr>
          <w:rFonts w:ascii="Arial" w:cs="Arial" w:eastAsia="Arial" w:hAnsi="Arial"/>
          <w:sz w:val="16"/>
          <w:szCs w:val="16"/>
          <w:color w:val="auto"/>
        </w:rPr>
        <w:t>”), in consideration for a cash payment of $700 made to the Service Provider upon the execution of the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we extended our facility lease for three years through July 2025 and we are committed to aggregate lease payments on the lease of $61 thousand for six months in 2023, $126 thousand in 2024 and $75 thousand in 2025.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were committed for approximately $3.9 million for future component deliveries and contract services that are generally subject to modification or rescheduling in the normal course of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2023, the Company entered into a Membership Interest Purchase Agreement (the “</w:t>
      </w:r>
      <w:r>
        <w:rPr>
          <w:rFonts w:ascii="Arial" w:cs="Arial" w:eastAsia="Arial" w:hAnsi="Arial"/>
          <w:sz w:val="18"/>
          <w:szCs w:val="18"/>
          <w:i w:val="1"/>
          <w:iCs w:val="1"/>
          <w:color w:val="auto"/>
        </w:rPr>
        <w:t>Purchase Agreement</w:t>
      </w:r>
      <w:r>
        <w:rPr>
          <w:rFonts w:ascii="Arial" w:cs="Arial" w:eastAsia="Arial" w:hAnsi="Arial"/>
          <w:sz w:val="18"/>
          <w:szCs w:val="18"/>
          <w:color w:val="auto"/>
        </w:rPr>
        <w:t>”) with Intrensic, LLC, a Delaware limited liability company (“</w:t>
      </w:r>
      <w:r>
        <w:rPr>
          <w:rFonts w:ascii="Arial" w:cs="Arial" w:eastAsia="Arial" w:hAnsi="Arial"/>
          <w:sz w:val="18"/>
          <w:szCs w:val="18"/>
          <w:i w:val="1"/>
          <w:iCs w:val="1"/>
          <w:color w:val="auto"/>
        </w:rPr>
        <w:t>Intrensic</w:t>
      </w:r>
      <w:r>
        <w:rPr>
          <w:rFonts w:ascii="Arial" w:cs="Arial" w:eastAsia="Arial" w:hAnsi="Arial"/>
          <w:sz w:val="18"/>
          <w:szCs w:val="18"/>
          <w:color w:val="auto"/>
        </w:rPr>
        <w:t>”), and certain members of Intrensic, including Kevin Mullins, the Company’s Chief Executive Officer (collectively, “</w:t>
      </w:r>
      <w:r>
        <w:rPr>
          <w:rFonts w:ascii="Arial" w:cs="Arial" w:eastAsia="Arial" w:hAnsi="Arial"/>
          <w:sz w:val="18"/>
          <w:szCs w:val="18"/>
          <w:i w:val="1"/>
          <w:iCs w:val="1"/>
          <w:color w:val="auto"/>
        </w:rPr>
        <w:t>Sellers</w:t>
      </w:r>
      <w:r>
        <w:rPr>
          <w:rFonts w:ascii="Arial" w:cs="Arial" w:eastAsia="Arial" w:hAnsi="Arial"/>
          <w:sz w:val="18"/>
          <w:szCs w:val="18"/>
          <w:color w:val="auto"/>
        </w:rPr>
        <w:t>”). Under the terms of the Purchase Agreement, the Company agreed to purchase, and Sellers agreed to sell, 100% of the membership interests (the “</w:t>
      </w:r>
      <w:r>
        <w:rPr>
          <w:rFonts w:ascii="Arial" w:cs="Arial" w:eastAsia="Arial" w:hAnsi="Arial"/>
          <w:sz w:val="18"/>
          <w:szCs w:val="18"/>
          <w:i w:val="1"/>
          <w:iCs w:val="1"/>
          <w:color w:val="auto"/>
        </w:rPr>
        <w:t>Membership Interests</w:t>
      </w:r>
      <w:r>
        <w:rPr>
          <w:rFonts w:ascii="Arial" w:cs="Arial" w:eastAsia="Arial" w:hAnsi="Arial"/>
          <w:sz w:val="18"/>
          <w:szCs w:val="18"/>
          <w:color w:val="auto"/>
        </w:rPr>
        <w:t>”) of Intrensic for the following consideration upon the consummation of the sale of the Membership Interests: (i) $553,588 in cash, subject to adjustment based upon the outstanding indebtedness of Intrensic and Intrensic’s working capital as of the closing; and (ii) 1,250,000 shares of Common Stock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and year ended December 31, 2022, we had experienced increased costs in labor and materials due to inflation. We believe in 2023 that low unemployment and higher salaries will create higher payroll costs and increased operating expense in the business. We have seen increases in costs from multiple suppliers for materials as well as labor.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June 30, 2023, or subsequently thereto, that we believe are of potential significance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as of June 30, 2023, we conducted an evaluation of our disclosure controls and procedures as such term is defined under Rules 13a-15(e) and 15d-15(e) promulgated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Based on this evaluation, our principal executive officer and our principal financial officer concluded that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June 30, 2023,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become subject to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June 30, 2023, we had no provision for liability under existing litigation.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Management is not aware of any material changes to the risk factors discussed in Part 1, Item 1A, of the Annual Report on Form 10-K for the year ended December 31, 2022. In addition to the other information set forth in this Quarterly Report on Form 10-Q, you should carefully consider the risk factors discussed in Part 1, Item 1A, of the Annual Report on Form 10-K for the year ended December 31, 2022, and subsequent reports filed pursuant to the Exchange Act which could materially and adversely affect the Company</w:t>
      </w:r>
      <w:r>
        <w:rPr>
          <w:rFonts w:ascii="Arial" w:cs="Arial" w:eastAsia="Arial" w:hAnsi="Arial"/>
          <w:sz w:val="17"/>
          <w:szCs w:val="17"/>
          <w:color w:val="auto"/>
        </w:rPr>
        <w:t>’</w:t>
      </w:r>
      <w:r>
        <w:rPr>
          <w:rFonts w:ascii="Arial" w:cs="Arial" w:eastAsia="Arial" w:hAnsi="Arial"/>
          <w:sz w:val="17"/>
          <w:szCs w:val="17"/>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unregistered securities were issued during the three months ended June 30, 2023, that were not previously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Exhibit 10.1</w:t>
            </w:r>
          </w:p>
        </w:tc>
        <w:tc>
          <w:tcPr>
            <w:tcW w:w="10100" w:type="dxa"/>
            <w:vAlign w:val="bottom"/>
            <w:tcBorders>
              <w:bottom w:val="single" w:sz="8" w:color="0000EE"/>
            </w:tcBorders>
            <w:gridSpan w:val="6"/>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Separation Agreement between the Company and Mr. Kennedy, incorporated by reference from Exhibit 10.1 to the Current Report on Form</w:t>
              </w:r>
            </w:hyperlink>
          </w:p>
        </w:tc>
      </w:tr>
      <w:tr>
        <w:trPr>
          <w:trHeight w:val="196"/>
        </w:trPr>
        <w:tc>
          <w:tcPr>
            <w:tcW w:w="114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8-K, filed on April 19, 2023.</w:t>
              </w:r>
            </w:hyperlink>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Exhibit 31.1</w:t>
            </w:r>
          </w:p>
        </w:tc>
        <w:tc>
          <w:tcPr>
            <w:tcW w:w="101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Kevin Mullins, Principal Executive Officer, pursuant to Rule 13a-14(a) or 15d-14(a) of the Securities and Exchange Act of</w:t>
            </w:r>
          </w:p>
        </w:tc>
      </w:tr>
      <w:tr>
        <w:trPr>
          <w:trHeight w:val="196"/>
        </w:trPr>
        <w:tc>
          <w:tcPr>
            <w:tcW w:w="1140" w:type="dxa"/>
            <w:vAlign w:val="bottom"/>
          </w:tcPr>
          <w:p>
            <w:pPr>
              <w:spacing w:after="0"/>
              <w:rPr>
                <w:sz w:val="17"/>
                <w:szCs w:val="17"/>
                <w:color w:val="auto"/>
              </w:rPr>
            </w:pPr>
          </w:p>
        </w:tc>
        <w:tc>
          <w:tcPr>
            <w:tcW w:w="6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1934, as amended, as adopted pursuant to Section 302 of the Sarbanes-Oxley Act of 2002.*</w:t>
            </w:r>
          </w:p>
        </w:tc>
        <w:tc>
          <w:tcPr>
            <w:tcW w:w="350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Exhibit 31.2</w:t>
            </w:r>
          </w:p>
        </w:tc>
        <w:tc>
          <w:tcPr>
            <w:tcW w:w="101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Certification of Chris DeAlmeida, Principal Accounting Officer, pursuant to Rule 13a-14(a) or 15d-14(a) of the Securities and Exchange</w:t>
            </w:r>
          </w:p>
        </w:tc>
      </w:tr>
      <w:tr>
        <w:trPr>
          <w:trHeight w:val="196"/>
        </w:trPr>
        <w:tc>
          <w:tcPr>
            <w:tcW w:w="114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Arial" w:cs="Arial" w:eastAsia="Arial" w:hAnsi="Arial"/>
                <w:sz w:val="18"/>
                <w:szCs w:val="18"/>
                <w:color w:val="0000EE"/>
              </w:rPr>
              <w:t>Act of 1934, as amended, as 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Exhibit 32.1</w:t>
            </w:r>
          </w:p>
        </w:tc>
        <w:tc>
          <w:tcPr>
            <w:tcW w:w="101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executed by Kevin</w:t>
            </w:r>
          </w:p>
        </w:tc>
      </w:tr>
      <w:tr>
        <w:trPr>
          <w:trHeight w:val="196"/>
        </w:trPr>
        <w:tc>
          <w:tcPr>
            <w:tcW w:w="1140" w:type="dxa"/>
            <w:vAlign w:val="bottom"/>
          </w:tcPr>
          <w:p>
            <w:pPr>
              <w:spacing w:after="0"/>
              <w:rPr>
                <w:sz w:val="17"/>
                <w:szCs w:val="17"/>
                <w:color w:val="auto"/>
              </w:rPr>
            </w:pPr>
          </w:p>
        </w:tc>
        <w:tc>
          <w:tcPr>
            <w:tcW w:w="65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Mullins, Principal Executive Officer, and Chris DeAlmeida, Principal Accounting Officer.*</w:t>
            </w:r>
          </w:p>
        </w:tc>
        <w:tc>
          <w:tcPr>
            <w:tcW w:w="3520" w:type="dxa"/>
            <w:vAlign w:val="bottom"/>
            <w:gridSpan w:val="3"/>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Extensible Business Reporting Language (XBRL) Exhibits*</w:t>
            </w:r>
          </w:p>
        </w:tc>
        <w:tc>
          <w:tcPr>
            <w:tcW w:w="5520" w:type="dxa"/>
            <w:vAlign w:val="bottom"/>
            <w:gridSpan w:val="4"/>
          </w:tcPr>
          <w:p>
            <w:pPr>
              <w:spacing w:after="0"/>
              <w:rPr>
                <w:sz w:val="24"/>
                <w:szCs w:val="24"/>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2340" w:firstLine="8"/>
        <w:spacing w:after="0" w:line="492" w:lineRule="auto"/>
        <w:tabs>
          <w:tab w:leader="none" w:pos="11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 * Filed concurrently herewith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WRAP TECHNOLOGIES,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9, 2023</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Mullins, certify that:</w:t>
      </w:r>
    </w:p>
    <w:p>
      <w:pPr>
        <w:spacing w:after="0" w:line="22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440" w:hanging="219"/>
        <w:spacing w:after="0" w:line="263" w:lineRule="auto"/>
        <w:tabs>
          <w:tab w:leader="none" w:pos="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40" w:hanging="219"/>
        <w:spacing w:after="0" w:line="263" w:lineRule="auto"/>
        <w:tabs>
          <w:tab w:leader="none" w:pos="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40" w:hanging="219"/>
        <w:spacing w:after="0" w:line="308" w:lineRule="auto"/>
        <w:tabs>
          <w:tab w:leader="none" w:pos="4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hanging="219"/>
        <w:spacing w:after="0" w:line="263" w:lineRule="auto"/>
        <w:tabs>
          <w:tab w:leader="none" w:pos="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hanging="219"/>
        <w:spacing w:after="0" w:line="277" w:lineRule="auto"/>
        <w:tabs>
          <w:tab w:leader="none" w:pos="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hanging="219"/>
        <w:spacing w:after="0" w:line="277" w:lineRule="auto"/>
        <w:tabs>
          <w:tab w:leader="none" w:pos="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MULLINS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Mullins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 DeAlmeida, certify that:</w:t>
      </w:r>
    </w:p>
    <w:p>
      <w:pPr>
        <w:spacing w:after="0" w:line="225"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440" w:hanging="219"/>
        <w:spacing w:after="0" w:line="263" w:lineRule="auto"/>
        <w:tabs>
          <w:tab w:leader="none" w:pos="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40" w:hanging="219"/>
        <w:spacing w:after="0" w:line="263" w:lineRule="auto"/>
        <w:tabs>
          <w:tab w:leader="none" w:pos="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40" w:hanging="219"/>
        <w:spacing w:after="0" w:line="308" w:lineRule="auto"/>
        <w:tabs>
          <w:tab w:leader="none" w:pos="4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hanging="219"/>
        <w:spacing w:after="0" w:line="263" w:lineRule="auto"/>
        <w:tabs>
          <w:tab w:leader="none" w:pos="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hanging="219"/>
        <w:spacing w:after="0" w:line="277" w:lineRule="auto"/>
        <w:tabs>
          <w:tab w:leader="none" w:pos="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hanging="219"/>
        <w:spacing w:after="0" w:line="277" w:lineRule="auto"/>
        <w:tabs>
          <w:tab w:leader="none" w:pos="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33" w:name="page34"/>
    <w:bookmarkEnd w:id="3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that, to his or her knowledge, the Quarterly Report of the Company on Form 10-Q for the period ended June 30, 2023,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MULLINS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Mullins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3"/>
    </w:lvl>
  </w:abstractNum>
  <w:abstractNum w:abstractNumId="13">
    <w:nsid w:val="25E45D32"/>
    <w:multiLevelType w:val="hybridMultilevel"/>
    <w:lvl w:ilvl="0">
      <w:lvlJc w:val="left"/>
      <w:lvlText w:val="%1."/>
      <w:numFmt w:val="decimal"/>
      <w:start w:val="14"/>
    </w:lvl>
  </w:abstractNum>
  <w:abstractNum w:abstractNumId="14">
    <w:nsid w:val="519B500D"/>
    <w:multiLevelType w:val="hybridMultilevel"/>
    <w:lvl w:ilvl="0">
      <w:lvlJc w:val="left"/>
      <w:lvlText w:val="(%1)"/>
      <w:numFmt w:val="lowerRoman"/>
      <w:start w:val="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0" Type="http://schemas.openxmlformats.org/officeDocument/2006/relationships/hyperlink" Target="http://www.sec.gov/Archives/edgar/data/1702924/000143774923010660/ex_5028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2023-08-10T14:39:11Z</dcterms:created>
  <dcterms:modified xsi:type="dcterms:W3CDTF">2023-08-10T14:39:11Z</dcterms:modified>
</cp:coreProperties>
</file>