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060" w:right="2740" w:hanging="1307"/>
        <w:spacing w:after="0" w:line="277" w:lineRule="auto"/>
        <w:tabs>
          <w:tab w:leader="none" w:pos="301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9" w:lineRule="exact"/>
        <w:rPr>
          <w:sz w:val="24"/>
          <w:szCs w:val="24"/>
          <w:color w:val="auto"/>
        </w:rPr>
      </w:pPr>
    </w:p>
    <w:p>
      <w:pPr>
        <w:ind w:left="4120" w:right="2680" w:hanging="1282"/>
        <w:spacing w:after="0" w:line="277" w:lineRule="auto"/>
        <w:tabs>
          <w:tab w:leader="none" w:pos="303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6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0" w:type="dxa"/>
            <w:vAlign w:val="bottom"/>
            <w:gridSpan w:val="7"/>
          </w:tcPr>
          <w:p>
            <w:pPr>
              <w:jc w:val="center"/>
              <w:ind w:left="32"/>
              <w:spacing w:after="0"/>
              <w:rPr>
                <w:sz w:val="20"/>
                <w:szCs w:val="20"/>
                <w:color w:val="auto"/>
              </w:rPr>
            </w:pPr>
            <w:r>
              <w:rPr>
                <w:rFonts w:ascii="Arial" w:cs="Arial" w:eastAsia="Arial" w:hAnsi="Arial"/>
                <w:sz w:val="18"/>
                <w:szCs w:val="18"/>
                <w:color w:val="auto"/>
                <w:w w:val="91"/>
              </w:rPr>
              <w:t>Commission File Number: 000-55838</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4"/>
        </w:trPr>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gridSpan w:val="7"/>
          </w:tcPr>
          <w:p>
            <w:pPr>
              <w:jc w:val="center"/>
              <w:ind w:left="12"/>
              <w:spacing w:after="0"/>
              <w:rPr>
                <w:sz w:val="20"/>
                <w:szCs w:val="20"/>
                <w:color w:val="auto"/>
              </w:rPr>
            </w:pPr>
            <w:r>
              <w:rPr>
                <w:rFonts w:ascii="Arial" w:cs="Arial" w:eastAsia="Arial" w:hAnsi="Arial"/>
                <w:sz w:val="32"/>
                <w:szCs w:val="32"/>
                <w:b w:val="1"/>
                <w:bCs w:val="1"/>
                <w:color w:val="auto"/>
                <w:w w:val="91"/>
              </w:rPr>
              <w:t>Wrap Technologies, Inc.</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60" w:type="dxa"/>
            <w:vAlign w:val="bottom"/>
            <w:gridSpan w:val="11"/>
          </w:tcPr>
          <w:p>
            <w:pPr>
              <w:jc w:val="center"/>
              <w:ind w:right="314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392"/>
        </w:trPr>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Delaware</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98-0551945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00" w:type="dxa"/>
            <w:vAlign w:val="bottom"/>
          </w:tcPr>
          <w:p>
            <w:pPr>
              <w:spacing w:after="0"/>
              <w:rPr>
                <w:sz w:val="19"/>
                <w:szCs w:val="19"/>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gridSpan w:val="5"/>
            <w:vMerge w:val="restart"/>
          </w:tcPr>
          <w:p>
            <w:pPr>
              <w:jc w:val="center"/>
              <w:ind w:right="1000"/>
              <w:spacing w:after="0"/>
              <w:rPr>
                <w:sz w:val="20"/>
                <w:szCs w:val="20"/>
                <w:color w:val="auto"/>
              </w:rPr>
            </w:pPr>
            <w:r>
              <w:rPr>
                <w:rFonts w:ascii="Arial" w:cs="Arial" w:eastAsia="Arial" w:hAnsi="Arial"/>
                <w:sz w:val="18"/>
                <w:szCs w:val="18"/>
                <w:color w:val="auto"/>
                <w:w w:val="87"/>
              </w:rPr>
              <w:t>1817 W 4</w:t>
            </w:r>
            <w:r>
              <w:rPr>
                <w:rFonts w:ascii="Arial" w:cs="Arial" w:eastAsia="Arial" w:hAnsi="Arial"/>
                <w:sz w:val="29"/>
                <w:szCs w:val="29"/>
                <w:color w:val="auto"/>
                <w:w w:val="87"/>
                <w:vertAlign w:val="superscript"/>
              </w:rPr>
              <w:t>th</w:t>
            </w:r>
            <w:r>
              <w:rPr>
                <w:rFonts w:ascii="Arial" w:cs="Arial" w:eastAsia="Arial" w:hAnsi="Arial"/>
                <w:sz w:val="18"/>
                <w:szCs w:val="18"/>
                <w:color w:val="auto"/>
                <w:w w:val="87"/>
              </w:rPr>
              <w:t xml:space="preserve"> Street</w:t>
            </w:r>
          </w:p>
        </w:tc>
        <w:tc>
          <w:tcPr>
            <w:tcW w:w="60" w:type="dxa"/>
            <w:vAlign w:val="bottom"/>
          </w:tcPr>
          <w:p>
            <w:pPr>
              <w:spacing w:after="0"/>
              <w:rPr>
                <w:sz w:val="20"/>
                <w:szCs w:val="20"/>
                <w:color w:val="auto"/>
              </w:rPr>
            </w:pPr>
          </w:p>
        </w:tc>
        <w:tc>
          <w:tcPr>
            <w:tcW w:w="3200" w:type="dxa"/>
            <w:vAlign w:val="bottom"/>
            <w:gridSpan w:val="3"/>
          </w:tcPr>
          <w:p>
            <w:pPr>
              <w:jc w:val="center"/>
              <w:ind w:right="800"/>
              <w:spacing w:after="0"/>
              <w:rPr>
                <w:sz w:val="20"/>
                <w:szCs w:val="20"/>
                <w:color w:val="auto"/>
              </w:rPr>
            </w:pPr>
            <w:r>
              <w:rPr>
                <w:rFonts w:ascii="Arial" w:cs="Arial" w:eastAsia="Arial" w:hAnsi="Arial"/>
                <w:sz w:val="18"/>
                <w:szCs w:val="18"/>
                <w:color w:val="auto"/>
                <w:w w:val="95"/>
              </w:rPr>
              <w:t>Identification Number)</w:t>
            </w:r>
          </w:p>
        </w:tc>
        <w:tc>
          <w:tcPr>
            <w:tcW w:w="0" w:type="dxa"/>
            <w:vAlign w:val="bottom"/>
          </w:tcPr>
          <w:p>
            <w:pPr>
              <w:spacing w:after="0"/>
              <w:rPr>
                <w:sz w:val="1"/>
                <w:szCs w:val="1"/>
                <w:color w:val="auto"/>
              </w:rPr>
            </w:pPr>
          </w:p>
        </w:tc>
      </w:tr>
      <w:tr>
        <w:trPr>
          <w:trHeight w:val="202"/>
        </w:trPr>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60" w:type="dxa"/>
            <w:vAlign w:val="bottom"/>
            <w:gridSpan w:val="6"/>
          </w:tcPr>
          <w:p>
            <w:pPr>
              <w:jc w:val="center"/>
              <w:ind w:right="920"/>
              <w:spacing w:after="0" w:line="190" w:lineRule="exact"/>
              <w:rPr>
                <w:sz w:val="20"/>
                <w:szCs w:val="20"/>
                <w:color w:val="auto"/>
              </w:rPr>
            </w:pPr>
            <w:r>
              <w:rPr>
                <w:rFonts w:ascii="Arial" w:cs="Arial" w:eastAsia="Arial" w:hAnsi="Arial"/>
                <w:sz w:val="18"/>
                <w:szCs w:val="18"/>
                <w:color w:val="auto"/>
                <w:w w:val="90"/>
              </w:rPr>
              <w:t>Tempe, Arizona 85281</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60" w:type="dxa"/>
            <w:vAlign w:val="bottom"/>
            <w:gridSpan w:val="11"/>
          </w:tcPr>
          <w:p>
            <w:pPr>
              <w:jc w:val="center"/>
              <w:ind w:right="3120"/>
              <w:spacing w:after="0"/>
              <w:rPr>
                <w:sz w:val="20"/>
                <w:szCs w:val="20"/>
                <w:color w:val="auto"/>
              </w:rPr>
            </w:pPr>
            <w:r>
              <w:rPr>
                <w:rFonts w:ascii="Arial" w:cs="Arial" w:eastAsia="Arial" w:hAnsi="Arial"/>
                <w:sz w:val="18"/>
                <w:szCs w:val="18"/>
                <w:color w:val="auto"/>
                <w:w w:val="92"/>
              </w:rPr>
              <w:t>(Address of principal executive offices) (Zip Code)</w:t>
            </w: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(800) 583-2652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60" w:type="dxa"/>
            <w:vAlign w:val="bottom"/>
            <w:gridSpan w:val="12"/>
          </w:tcPr>
          <w:p>
            <w:pPr>
              <w:jc w:val="center"/>
              <w:ind w:right="2340"/>
              <w:spacing w:after="0"/>
              <w:rPr>
                <w:sz w:val="20"/>
                <w:szCs w:val="20"/>
                <w:color w:val="auto"/>
              </w:rPr>
            </w:pPr>
            <w:r>
              <w:rPr>
                <w:rFonts w:ascii="Arial" w:cs="Arial" w:eastAsia="Arial" w:hAnsi="Arial"/>
                <w:sz w:val="18"/>
                <w:szCs w:val="18"/>
                <w:color w:val="auto"/>
                <w:w w:val="91"/>
              </w:rPr>
              <w:t>(Registrant’s Telephone Number, Including Area Code)</w:t>
            </w:r>
          </w:p>
        </w:tc>
        <w:tc>
          <w:tcPr>
            <w:tcW w:w="0" w:type="dxa"/>
            <w:vAlign w:val="bottom"/>
          </w:tcPr>
          <w:p>
            <w:pPr>
              <w:spacing w:after="0"/>
              <w:rPr>
                <w:sz w:val="1"/>
                <w:szCs w:val="1"/>
                <w:color w:val="auto"/>
              </w:rPr>
            </w:pPr>
          </w:p>
        </w:tc>
      </w:tr>
      <w:tr>
        <w:trPr>
          <w:trHeight w:val="418"/>
        </w:trPr>
        <w:tc>
          <w:tcPr>
            <w:tcW w:w="7360" w:type="dxa"/>
            <w:vAlign w:val="bottom"/>
            <w:gridSpan w:val="1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2260" w:type="dxa"/>
            <w:vAlign w:val="bottom"/>
            <w:gridSpan w:val="4"/>
          </w:tcPr>
          <w:p>
            <w:pPr>
              <w:jc w:val="center"/>
              <w:ind w:right="870"/>
              <w:spacing w:after="0" w:line="190" w:lineRule="exact"/>
              <w:rPr>
                <w:sz w:val="20"/>
                <w:szCs w:val="20"/>
                <w:color w:val="auto"/>
              </w:rPr>
            </w:pPr>
            <w:r>
              <w:rPr>
                <w:rFonts w:ascii="Arial" w:cs="Arial" w:eastAsia="Arial" w:hAnsi="Arial"/>
                <w:sz w:val="18"/>
                <w:szCs w:val="18"/>
                <w:color w:val="auto"/>
                <w:w w:val="90"/>
              </w:rPr>
              <w:t>Title of each class</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5"/>
          </w:tcPr>
          <w:p>
            <w:pPr>
              <w:jc w:val="center"/>
              <w:ind w:right="1140"/>
              <w:spacing w:after="0" w:line="190" w:lineRule="exact"/>
              <w:rPr>
                <w:sz w:val="20"/>
                <w:szCs w:val="20"/>
                <w:color w:val="auto"/>
              </w:rPr>
            </w:pPr>
            <w:r>
              <w:rPr>
                <w:rFonts w:ascii="Arial" w:cs="Arial" w:eastAsia="Arial" w:hAnsi="Arial"/>
                <w:sz w:val="18"/>
                <w:szCs w:val="18"/>
                <w:color w:val="auto"/>
                <w:w w:val="91"/>
              </w:rPr>
              <w:t>Trading Symbol(s)</w:t>
            </w:r>
          </w:p>
        </w:tc>
        <w:tc>
          <w:tcPr>
            <w:tcW w:w="3260" w:type="dxa"/>
            <w:vAlign w:val="bottom"/>
            <w:gridSpan w:val="4"/>
          </w:tcPr>
          <w:p>
            <w:pPr>
              <w:jc w:val="center"/>
              <w:spacing w:after="0" w:line="190" w:lineRule="exact"/>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gridSpan w:val="5"/>
          </w:tcPr>
          <w:p>
            <w:pPr>
              <w:jc w:val="center"/>
              <w:ind w:left="470"/>
              <w:spacing w:after="0"/>
              <w:rPr>
                <w:sz w:val="20"/>
                <w:szCs w:val="20"/>
                <w:color w:val="auto"/>
              </w:rPr>
            </w:pPr>
            <w:r>
              <w:rPr>
                <w:rFonts w:ascii="Arial" w:cs="Arial" w:eastAsia="Arial" w:hAnsi="Arial"/>
                <w:sz w:val="18"/>
                <w:szCs w:val="18"/>
                <w:color w:val="auto"/>
                <w:w w:val="89"/>
              </w:rPr>
              <w:t>Common Stock, par value $0.0001 per share</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4"/>
          </w:tcPr>
          <w:p>
            <w:pPr>
              <w:jc w:val="center"/>
              <w:ind w:right="1340"/>
              <w:spacing w:after="0"/>
              <w:rPr>
                <w:sz w:val="20"/>
                <w:szCs w:val="20"/>
                <w:color w:val="auto"/>
              </w:rPr>
            </w:pPr>
            <w:r>
              <w:rPr>
                <w:rFonts w:ascii="Arial" w:cs="Arial" w:eastAsia="Arial" w:hAnsi="Arial"/>
                <w:sz w:val="18"/>
                <w:szCs w:val="18"/>
                <w:color w:val="auto"/>
                <w:w w:val="96"/>
              </w:rPr>
              <w:t>WRAP</w:t>
            </w:r>
          </w:p>
        </w:tc>
        <w:tc>
          <w:tcPr>
            <w:tcW w:w="60" w:type="dxa"/>
            <w:vAlign w:val="bottom"/>
          </w:tcPr>
          <w:p>
            <w:pPr>
              <w:spacing w:after="0"/>
              <w:rPr>
                <w:sz w:val="20"/>
                <w:szCs w:val="20"/>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-2527935</wp:posOffset>
            </wp:positionV>
            <wp:extent cx="118300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920"/>
              <w:spacing w:after="0"/>
              <w:rPr>
                <w:sz w:val="20"/>
                <w:szCs w:val="20"/>
                <w:color w:val="auto"/>
              </w:rPr>
            </w:pPr>
            <w:r>
              <w:rPr>
                <w:rFonts w:ascii="Arial" w:cs="Arial" w:eastAsia="Arial" w:hAnsi="Arial"/>
                <w:sz w:val="18"/>
                <w:szCs w:val="18"/>
                <w:color w:val="auto"/>
                <w:w w:val="94"/>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19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980" w:type="dxa"/>
            <w:vAlign w:val="bottom"/>
          </w:tcPr>
          <w:p>
            <w:pPr>
              <w:ind w:left="1920"/>
              <w:spacing w:after="0"/>
              <w:rPr>
                <w:sz w:val="20"/>
                <w:szCs w:val="20"/>
                <w:color w:val="auto"/>
              </w:rPr>
            </w:pPr>
            <w:r>
              <w:rPr>
                <w:rFonts w:ascii="Arial" w:cs="Arial" w:eastAsia="Arial" w:hAnsi="Arial"/>
                <w:sz w:val="18"/>
                <w:szCs w:val="18"/>
                <w:color w:val="auto"/>
                <w:w w:val="95"/>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27, 2021 a total of 40,771,708 shares of the Registrant’s common stock, par value $0.0001, (“</w:t>
      </w:r>
      <w:r>
        <w:rPr>
          <w:rFonts w:ascii="Arial" w:cs="Arial" w:eastAsia="Arial" w:hAnsi="Arial"/>
          <w:sz w:val="16"/>
          <w:szCs w:val="16"/>
          <w:i w:val="1"/>
          <w:iCs w:val="1"/>
          <w:color w:val="auto"/>
        </w:rPr>
        <w:t>Common Stock</w:t>
      </w:r>
      <w:r>
        <w:rPr>
          <w:rFonts w:ascii="Arial" w:cs="Arial" w:eastAsia="Arial" w:hAnsi="Arial"/>
          <w:sz w:val="16"/>
          <w:szCs w:val="16"/>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4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rPr>
              <w:t>WRAP TECHNOLOGIES, INC.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40" w:type="dxa"/>
            <w:vAlign w:val="bottom"/>
            <w:gridSpan w:val="8"/>
          </w:tcPr>
          <w:p>
            <w:pPr>
              <w:jc w:val="center"/>
              <w:ind w:right="4600"/>
              <w:spacing w:after="0"/>
              <w:rPr>
                <w:sz w:val="20"/>
                <w:szCs w:val="20"/>
                <w:color w:val="auto"/>
              </w:rPr>
            </w:pPr>
            <w:r>
              <w:rPr>
                <w:rFonts w:ascii="Arial" w:cs="Arial" w:eastAsia="Arial" w:hAnsi="Arial"/>
                <w:sz w:val="18"/>
                <w:szCs w:val="18"/>
                <w:color w:val="auto"/>
              </w:rPr>
              <w:t>INDEX</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1"/>
        </w:trPr>
        <w:tc>
          <w:tcPr>
            <w:tcW w:w="308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56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2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2021 (unaudited) and December 31, 2020</w:t>
              </w:r>
            </w:hyperlink>
          </w:p>
        </w:tc>
        <w:tc>
          <w:tcPr>
            <w:tcW w:w="1800" w:type="dxa"/>
            <w:vAlign w:val="bottom"/>
            <w:gridSpan w:val="4"/>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Loss for the three and nine months</w:t>
              </w:r>
            </w:hyperlink>
          </w:p>
        </w:tc>
        <w:tc>
          <w:tcPr>
            <w:tcW w:w="100" w:type="dxa"/>
            <w:vAlign w:val="bottom"/>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5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ended September 30, 2021 and 2020 (unaudited)</w:t>
              </w:r>
            </w:hyperlink>
          </w:p>
        </w:tc>
        <w:tc>
          <w:tcPr>
            <w:tcW w:w="3860" w:type="dxa"/>
            <w:vAlign w:val="bottom"/>
            <w:tcBorders>
              <w:top w:val="single" w:sz="8" w:color="0000EE"/>
            </w:tcBorders>
            <w:gridSpan w:val="5"/>
          </w:tcPr>
          <w:p>
            <w:pPr>
              <w:spacing w:after="0"/>
              <w:rPr>
                <w:sz w:val="17"/>
                <w:szCs w:val="17"/>
                <w:color w:val="auto"/>
              </w:rPr>
            </w:pPr>
          </w:p>
        </w:tc>
        <w:tc>
          <w:tcPr>
            <w:tcW w:w="1580" w:type="dxa"/>
            <w:vAlign w:val="bottom"/>
            <w:gridSpan w:val="3"/>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for the three and nine months ended September</w:t>
              </w:r>
            </w:hyperlink>
          </w:p>
        </w:tc>
        <w:tc>
          <w:tcPr>
            <w:tcW w:w="100" w:type="dxa"/>
            <w:vAlign w:val="bottom"/>
          </w:tcPr>
          <w:p>
            <w:pPr>
              <w:jc w:val="cente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5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30, 2021 and 2020 (unaudited)</w:t>
              </w:r>
            </w:hyperlink>
          </w:p>
        </w:tc>
        <w:tc>
          <w:tcPr>
            <w:tcW w:w="5560" w:type="dxa"/>
            <w:vAlign w:val="bottom"/>
            <w:tcBorders>
              <w:top w:val="single" w:sz="8" w:color="0000EE"/>
            </w:tcBorders>
            <w:gridSpan w:val="8"/>
          </w:tcPr>
          <w:p>
            <w:pPr>
              <w:spacing w:after="0"/>
              <w:rPr>
                <w:sz w:val="17"/>
                <w:szCs w:val="17"/>
                <w:color w:val="auto"/>
              </w:rPr>
            </w:pPr>
          </w:p>
        </w:tc>
        <w:tc>
          <w:tcPr>
            <w:tcW w:w="1480" w:type="dxa"/>
            <w:vAlign w:val="bottom"/>
            <w:gridSpan w:val="2"/>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2021 and 2020</w:t>
              </w:r>
            </w:hyperlink>
          </w:p>
        </w:tc>
        <w:tc>
          <w:tcPr>
            <w:tcW w:w="100" w:type="dxa"/>
            <w:vAlign w:val="bottom"/>
          </w:tcPr>
          <w:p>
            <w:pPr>
              <w:jc w:val="cente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5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4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Interim Financial Statements</w:t>
              </w:r>
            </w:hyperlink>
          </w:p>
        </w:tc>
        <w:tc>
          <w:tcPr>
            <w:tcW w:w="100" w:type="dxa"/>
            <w:vAlign w:val="bottom"/>
          </w:tcPr>
          <w:p>
            <w:pPr>
              <w:jc w:val="cente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5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20">
              <w:r>
                <w:rPr>
                  <w:rFonts w:ascii="Arial" w:cs="Arial" w:eastAsia="Arial" w:hAnsi="Arial"/>
                  <w:sz w:val="17"/>
                  <w:szCs w:val="17"/>
                  <w:color w:val="0000EE"/>
                  <w:w w:val="73"/>
                </w:rPr>
                <w:t>18</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800" w:type="dxa"/>
            <w:vAlign w:val="bottom"/>
            <w:tcBorders>
              <w:right w:val="single" w:sz="8" w:color="0000EE"/>
            </w:tcBorders>
            <w:gridSpan w:val="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28</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900" w:type="dxa"/>
            <w:vAlign w:val="bottom"/>
            <w:tcBorders>
              <w:left w:val="single" w:sz="8" w:color="0000EE"/>
              <w:right w:val="single" w:sz="8" w:color="0000EE"/>
            </w:tcBorders>
            <w:gridSpan w:val="7"/>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28</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900" w:type="dxa"/>
            <w:vAlign w:val="bottom"/>
            <w:tcBorders>
              <w:right w:val="single" w:sz="8" w:color="0000EE"/>
            </w:tcBorders>
            <w:gridSpan w:val="7"/>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412"/>
        </w:trPr>
        <w:tc>
          <w:tcPr>
            <w:tcW w:w="27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7860" w:type="dxa"/>
            <w:vAlign w:val="bottom"/>
            <w:gridSpan w:val="14"/>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104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926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1">
              <w:r>
                <w:rPr>
                  <w:rFonts w:ascii="Arial" w:cs="Arial" w:eastAsia="Arial" w:hAnsi="Arial"/>
                  <w:sz w:val="17"/>
                  <w:szCs w:val="17"/>
                  <w:color w:val="0000EE"/>
                  <w:w w:val="73"/>
                </w:rPr>
                <w:t>29</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900" w:type="dxa"/>
            <w:vAlign w:val="bottom"/>
            <w:tcBorders>
              <w:right w:val="single" w:sz="8" w:color="0000EE"/>
            </w:tcBorders>
            <w:gridSpan w:val="7"/>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400" w:type="dxa"/>
            <w:vAlign w:val="bottom"/>
            <w:gridSpan w:val="2"/>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30</w:t>
              </w:r>
            </w:hyperlink>
          </w:p>
        </w:tc>
      </w:tr>
      <w:tr>
        <w:trPr>
          <w:trHeight w:val="20"/>
        </w:trPr>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900" w:type="dxa"/>
            <w:vAlign w:val="bottom"/>
            <w:tcBorders>
              <w:right w:val="single" w:sz="8" w:color="0000EE"/>
            </w:tcBorders>
            <w:gridSpan w:val="7"/>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2.</w:t>
              </w:r>
            </w:hyperlink>
          </w:p>
        </w:tc>
        <w:tc>
          <w:tcPr>
            <w:tcW w:w="400" w:type="dxa"/>
            <w:vAlign w:val="bottom"/>
            <w:gridSpan w:val="2"/>
          </w:tcPr>
          <w:p>
            <w:pPr>
              <w:spacing w:after="0"/>
              <w:rPr>
                <w:sz w:val="17"/>
                <w:szCs w:val="17"/>
                <w:color w:val="auto"/>
              </w:rPr>
            </w:pPr>
          </w:p>
        </w:tc>
        <w:tc>
          <w:tcPr>
            <w:tcW w:w="92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900" w:type="dxa"/>
            <w:vAlign w:val="bottom"/>
            <w:tcBorders>
              <w:right w:val="single" w:sz="8" w:color="0000EE"/>
            </w:tcBorders>
            <w:gridSpan w:val="7"/>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6"/>
            <w:shd w:val="clear" w:color="auto" w:fill="0000EE"/>
          </w:tcPr>
          <w:p>
            <w:pPr>
              <w:spacing w:after="0" w:line="20" w:lineRule="exact"/>
              <w:rPr>
                <w:sz w:val="1"/>
                <w:szCs w:val="1"/>
                <w:color w:val="auto"/>
              </w:rPr>
            </w:pPr>
          </w:p>
        </w:tc>
        <w:tc>
          <w:tcPr>
            <w:tcW w:w="6940" w:type="dxa"/>
            <w:vAlign w:val="bottom"/>
            <w:tcBorders>
              <w:right w:val="single" w:sz="8" w:color="0000EE"/>
            </w:tcBorders>
            <w:gridSpan w:val="9"/>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7480" w:type="dxa"/>
            <w:vAlign w:val="bottom"/>
            <w:tcBorders>
              <w:right w:val="single" w:sz="8" w:color="0000EE"/>
            </w:tcBorders>
            <w:gridSpan w:val="11"/>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940" w:type="dxa"/>
            <w:vAlign w:val="bottom"/>
            <w:tcBorders>
              <w:right w:val="single" w:sz="8" w:color="0000EE"/>
            </w:tcBorders>
            <w:gridSpan w:val="15"/>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926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3">
              <w:r>
                <w:rPr>
                  <w:rFonts w:ascii="Arial" w:cs="Arial" w:eastAsia="Arial" w:hAnsi="Arial"/>
                  <w:sz w:val="17"/>
                  <w:szCs w:val="17"/>
                  <w:color w:val="0000EE"/>
                  <w:w w:val="73"/>
                </w:rPr>
                <w:t>31</w:t>
              </w:r>
            </w:hyperlink>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gridSpan w:val="2"/>
          </w:tcPr>
          <w:p>
            <w:pPr>
              <w:jc w:val="center"/>
              <w:ind w:right="460"/>
              <w:spacing w:after="0"/>
              <w:rPr>
                <w:rFonts w:ascii="Arial" w:cs="Arial" w:eastAsia="Arial" w:hAnsi="Arial"/>
                <w:sz w:val="17"/>
                <w:szCs w:val="17"/>
                <w:color w:val="0000EE"/>
                <w:w w:val="73"/>
              </w:rPr>
            </w:pPr>
            <w:hyperlink w:anchor="page34">
              <w:r>
                <w:rPr>
                  <w:rFonts w:ascii="Arial" w:cs="Arial" w:eastAsia="Arial" w:hAnsi="Arial"/>
                  <w:sz w:val="17"/>
                  <w:szCs w:val="17"/>
                  <w:color w:val="0000EE"/>
                  <w:w w:val="73"/>
                </w:rPr>
                <w:t>32</w:t>
              </w:r>
            </w:hyperlink>
          </w:p>
        </w:tc>
      </w:tr>
      <w:tr>
        <w:trPr>
          <w:trHeight w:val="1027"/>
        </w:trPr>
        <w:tc>
          <w:tcPr>
            <w:tcW w:w="3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3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3"/>
        </w:trPr>
        <w:tc>
          <w:tcPr>
            <w:tcW w:w="8000" w:type="dxa"/>
            <w:vAlign w:val="bottom"/>
            <w:gridSpan w:val="2"/>
          </w:tcPr>
          <w:p>
            <w:pPr>
              <w:ind w:left="12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120"/>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280" w:type="dxa"/>
            <w:vAlign w:val="bottom"/>
          </w:tcPr>
          <w:p>
            <w:pPr>
              <w:spacing w:after="0"/>
              <w:rPr>
                <w:sz w:val="24"/>
                <w:szCs w:val="24"/>
                <w:color w:val="auto"/>
              </w:rPr>
            </w:pPr>
          </w:p>
        </w:tc>
        <w:tc>
          <w:tcPr>
            <w:tcW w:w="672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Wrap Technologies,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990"/>
              <w:spacing w:after="0"/>
              <w:rPr>
                <w:sz w:val="20"/>
                <w:szCs w:val="20"/>
                <w:color w:val="auto"/>
              </w:rPr>
            </w:pPr>
            <w:r>
              <w:rPr>
                <w:rFonts w:ascii="Arial" w:cs="Arial" w:eastAsia="Arial" w:hAnsi="Arial"/>
                <w:sz w:val="18"/>
                <w:szCs w:val="18"/>
                <w:color w:val="auto"/>
                <w:w w:val="87"/>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990"/>
              <w:spacing w:after="0"/>
              <w:rPr>
                <w:sz w:val="20"/>
                <w:szCs w:val="20"/>
                <w:color w:val="auto"/>
              </w:rPr>
            </w:pPr>
            <w:r>
              <w:rPr>
                <w:rFonts w:ascii="Arial" w:cs="Arial" w:eastAsia="Arial" w:hAnsi="Arial"/>
                <w:sz w:val="18"/>
                <w:szCs w:val="18"/>
                <w:color w:val="auto"/>
                <w:w w:val="88"/>
              </w:rPr>
              <w:t>(in thousands, except par value and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30,004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45,932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46,927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Operating lease right-of-use asset,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48,833</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short term</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 - short term</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Business acquisition liability - short term</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long term</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 - long term</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Business acquisition liability - long term</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3,209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Preferred stock - 5,000,000 authorized; par value $0.0001 per share; none issued and outstanding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- 150,000,000 authorized; par value $0.0001 per share; 40,748,861 and 37,554,162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each period,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(44,530)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 sales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Products and services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Product line exit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680"/>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ind w:right="2680"/>
        <w:spacing w:after="0"/>
        <w:rPr>
          <w:sz w:val="20"/>
          <w:szCs w:val="20"/>
          <w:color w:val="auto"/>
        </w:rPr>
      </w:pPr>
      <w:r>
        <w:rPr>
          <w:rFonts w:ascii="Arial" w:cs="Arial" w:eastAsia="Arial" w:hAnsi="Arial"/>
          <w:sz w:val="15"/>
          <w:szCs w:val="15"/>
          <w:b w:val="1"/>
          <w:bCs w:val="1"/>
          <w:color w:val="auto"/>
        </w:rPr>
        <w:t>Condensed Consolidated Statements of Operations and Comprehensive Loss</w:t>
      </w:r>
    </w:p>
    <w:p>
      <w:pPr>
        <w:spacing w:after="0" w:line="44"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2680"/>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3300" w:type="dxa"/>
        <w:tblCellMar>
          <w:top w:w="0" w:type="dxa"/>
          <w:left w:w="0" w:type="dxa"/>
          <w:bottom w:w="0" w:type="dxa"/>
          <w:right w:w="0" w:type="dxa"/>
        </w:tblCellMar>
      </w:tblPr>
      <w:tr>
        <w:trPr>
          <w:trHeight w:val="216"/>
        </w:trPr>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460" w:type="dxa"/>
            <w:vAlign w:val="bottom"/>
            <w:gridSpan w:val="6"/>
          </w:tcPr>
          <w:p>
            <w:pPr>
              <w:spacing w:after="0"/>
              <w:rPr>
                <w:sz w:val="20"/>
                <w:szCs w:val="20"/>
                <w:color w:val="auto"/>
              </w:rPr>
            </w:pPr>
            <w:r>
              <w:rPr>
                <w:rFonts w:ascii="Arial" w:cs="Arial" w:eastAsia="Arial" w:hAnsi="Arial"/>
                <w:sz w:val="18"/>
                <w:szCs w:val="18"/>
                <w:b w:val="1"/>
                <w:bCs w:val="1"/>
                <w:color w:val="auto"/>
                <w:w w:val="91"/>
              </w:rPr>
              <w:t>Nine Months Ended September</w:t>
            </w: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2,486</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09"/>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20" w:type="dxa"/>
            <w:vAlign w:val="bottom"/>
          </w:tcPr>
          <w:p>
            <w:pPr>
              <w:spacing w:after="0"/>
              <w:rPr>
                <w:sz w:val="18"/>
                <w:szCs w:val="18"/>
                <w:color w:val="auto"/>
              </w:rPr>
            </w:pPr>
          </w:p>
        </w:tc>
      </w:tr>
      <w:tr>
        <w:trPr>
          <w:trHeight w:val="411"/>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3,276</w:t>
            </w:r>
          </w:p>
        </w:tc>
        <w:tc>
          <w:tcPr>
            <w:tcW w:w="2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1,659</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-839470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-556895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-273685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980" w:space="700"/>
            <w:col w:w="856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cost of revenues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1,094</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4,023</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(6,019)</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(19,256)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basic and diluted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Weighted average common shares used to compute net loss per basic and diluted</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9"/>
              </w:rPr>
              <w:t>40,413,332</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36,419,771</w:t>
            </w: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38,767,009</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32,653,408</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common share</w:t>
            </w: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(loss) on short-term investments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(5,993)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(19,224)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9"/>
              </w:rPr>
              <w:t>Wrap Technologies,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38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7"/>
          </w:tcPr>
          <w:p>
            <w:pPr>
              <w:jc w:val="center"/>
              <w:ind w:right="120"/>
              <w:spacing w:after="0"/>
              <w:rPr>
                <w:sz w:val="20"/>
                <w:szCs w:val="20"/>
                <w:color w:val="auto"/>
              </w:rPr>
            </w:pPr>
            <w:r>
              <w:rPr>
                <w:rFonts w:ascii="Arial" w:cs="Arial" w:eastAsia="Arial" w:hAnsi="Arial"/>
                <w:sz w:val="18"/>
                <w:szCs w:val="18"/>
                <w:color w:val="auto"/>
                <w:w w:val="88"/>
              </w:rPr>
              <w:t>(in thousands, except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1"/>
          </w:tcPr>
          <w:p>
            <w:pPr>
              <w:jc w:val="right"/>
              <w:ind w:right="1160"/>
              <w:spacing w:after="0"/>
              <w:rPr>
                <w:sz w:val="20"/>
                <w:szCs w:val="20"/>
                <w:color w:val="auto"/>
              </w:rPr>
            </w:pPr>
            <w:r>
              <w:rPr>
                <w:rFonts w:ascii="Arial" w:cs="Arial" w:eastAsia="Arial" w:hAnsi="Arial"/>
                <w:sz w:val="18"/>
                <w:szCs w:val="18"/>
                <w:b w:val="1"/>
                <w:bCs w:val="1"/>
                <w:color w:val="auto"/>
                <w:w w:val="92"/>
              </w:rPr>
              <w:t>Three Months Ended September 30,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Common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39,911,390</w:t>
            </w:r>
          </w:p>
        </w:tc>
        <w:tc>
          <w:tcPr>
            <w:tcW w:w="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48,755</w:t>
            </w:r>
          </w:p>
        </w:tc>
        <w:tc>
          <w:tcPr>
            <w:tcW w:w="0" w:type="dxa"/>
            <w:vAlign w:val="bottom"/>
          </w:tcPr>
          <w:p>
            <w:pPr>
              <w:spacing w:after="0"/>
              <w:rPr>
                <w:sz w:val="1"/>
                <w:szCs w:val="1"/>
                <w:color w:val="auto"/>
              </w:rPr>
            </w:pPr>
          </w:p>
        </w:tc>
      </w:tr>
      <w:tr>
        <w:trPr>
          <w:trHeight w:val="202"/>
        </w:trPr>
        <w:tc>
          <w:tcPr>
            <w:tcW w:w="31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758,338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2"/>
        </w:trPr>
        <w:tc>
          <w:tcPr>
            <w:tcW w:w="31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shares issued upon vesting of</w:t>
            </w: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79,133</w:t>
            </w:r>
          </w:p>
        </w:tc>
        <w:tc>
          <w:tcPr>
            <w:tcW w:w="80" w:type="dxa"/>
            <w:vAlign w:val="bottom"/>
            <w:tcBorders>
              <w:lef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tcPr>
          <w:p>
            <w:pPr>
              <w:ind w:left="180"/>
              <w:spacing w:after="0"/>
              <w:rPr>
                <w:sz w:val="20"/>
                <w:szCs w:val="20"/>
                <w:color w:val="auto"/>
              </w:rPr>
            </w:pPr>
            <w:r>
              <w:rPr>
                <w:rFonts w:ascii="Arial" w:cs="Arial" w:eastAsia="Arial" w:hAnsi="Arial"/>
                <w:sz w:val="18"/>
                <w:szCs w:val="18"/>
                <w:color w:val="auto"/>
                <w:w w:val="99"/>
              </w:rPr>
              <w:t>Share-based compensation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2"/>
        </w:trPr>
        <w:tc>
          <w:tcPr>
            <w:tcW w:w="31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unrealized loss on short-term</w:t>
            </w: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Net loss for the period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40,748,861</w:t>
            </w:r>
          </w:p>
        </w:tc>
        <w:tc>
          <w:tcPr>
            <w:tcW w:w="80" w:type="dxa"/>
            <w:vAlign w:val="bottom"/>
            <w:tcBorders>
              <w:lef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89,979</w:t>
            </w:r>
          </w:p>
        </w:tc>
        <w:tc>
          <w:tcPr>
            <w:tcW w:w="240" w:type="dxa"/>
            <w:vAlign w:val="bottom"/>
            <w:tcBorders>
              <w:left w:val="single" w:sz="8" w:color="CCEEFF"/>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45,464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1"/>
          </w:tcPr>
          <w:p>
            <w:pPr>
              <w:jc w:val="right"/>
              <w:ind w:right="1200"/>
              <w:spacing w:after="0"/>
              <w:rPr>
                <w:sz w:val="20"/>
                <w:szCs w:val="20"/>
                <w:color w:val="auto"/>
              </w:rPr>
            </w:pPr>
            <w:r>
              <w:rPr>
                <w:rFonts w:ascii="Arial" w:cs="Arial" w:eastAsia="Arial" w:hAnsi="Arial"/>
                <w:sz w:val="18"/>
                <w:szCs w:val="18"/>
                <w:b w:val="1"/>
                <w:bCs w:val="1"/>
                <w:color w:val="auto"/>
                <w:w w:val="94"/>
              </w:rPr>
              <w:t>Nine Months Ended September 30,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37,554,162</w:t>
            </w: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71,705</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2"/>
        </w:trPr>
        <w:tc>
          <w:tcPr>
            <w:tcW w:w="31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of warrants at $6.50 per share</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1,661,320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10,799</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02"/>
        </w:trPr>
        <w:tc>
          <w:tcPr>
            <w:tcW w:w="31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warrants at $8.125 per share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153,692</w:t>
            </w:r>
          </w:p>
        </w:tc>
        <w:tc>
          <w:tcPr>
            <w:tcW w:w="16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2"/>
        </w:trPr>
        <w:tc>
          <w:tcPr>
            <w:tcW w:w="31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of stock options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915,404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02"/>
        </w:trPr>
        <w:tc>
          <w:tcPr>
            <w:tcW w:w="314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shares issued upon vesting of</w:t>
            </w:r>
          </w:p>
        </w:tc>
        <w:tc>
          <w:tcPr>
            <w:tcW w:w="110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421,407</w:t>
            </w:r>
          </w:p>
        </w:tc>
        <w:tc>
          <w:tcPr>
            <w:tcW w:w="16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Common shares issued for services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42,876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Share-based compensation expense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02"/>
        </w:trPr>
        <w:tc>
          <w:tcPr>
            <w:tcW w:w="31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unrealized loss on short-term</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1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for the period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(19,220)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6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40,748,861</w:t>
            </w:r>
          </w:p>
        </w:tc>
        <w:tc>
          <w:tcPr>
            <w:tcW w:w="11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89,979</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(44,530)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45,464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8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9"/>
          </w:tcPr>
          <w:p>
            <w:pPr>
              <w:jc w:val="right"/>
              <w:ind w:right="836"/>
              <w:spacing w:after="0"/>
              <w:rPr>
                <w:sz w:val="20"/>
                <w:szCs w:val="20"/>
                <w:color w:val="auto"/>
              </w:rPr>
            </w:pPr>
            <w:r>
              <w:rPr>
                <w:rFonts w:ascii="Arial" w:cs="Arial" w:eastAsia="Arial" w:hAnsi="Arial"/>
                <w:sz w:val="18"/>
                <w:szCs w:val="18"/>
                <w:b w:val="1"/>
                <w:bCs w:val="1"/>
                <w:color w:val="auto"/>
              </w:rPr>
              <w:t>Three Months Ended September 30,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left="16"/>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left="16"/>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34,361,591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(17,892)</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8"/>
              </w:rPr>
              <w:t>of warrants at $3.00 per share,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102,621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of warrants at $5.00 per share,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1,742,870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8,366</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8"/>
              </w:rPr>
              <w:t>of warrants at $6.00 per share,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675,000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of warrants at $6.50 per share,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34,250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shares issued upon vesting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9"/>
              </w:rPr>
              <w:t>Share-based compensation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(3,862)</w:t>
            </w:r>
          </w:p>
        </w:tc>
        <w:tc>
          <w:tcPr>
            <w:tcW w:w="11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37,109,317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69,181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(21,754)</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47,437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9"/>
          </w:tcPr>
          <w:p>
            <w:pPr>
              <w:jc w:val="right"/>
              <w:ind w:right="896"/>
              <w:spacing w:after="0"/>
              <w:rPr>
                <w:sz w:val="20"/>
                <w:szCs w:val="20"/>
                <w:color w:val="auto"/>
              </w:rPr>
            </w:pPr>
            <w:r>
              <w:rPr>
                <w:rFonts w:ascii="Arial" w:cs="Arial" w:eastAsia="Arial" w:hAnsi="Arial"/>
                <w:sz w:val="18"/>
                <w:szCs w:val="18"/>
                <w:b w:val="1"/>
                <w:bCs w:val="1"/>
                <w:color w:val="auto"/>
              </w:rPr>
              <w:t>Nine Months Ended September 30,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left="16"/>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left="16"/>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29,829,916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(12,730)</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19,196</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Sale of common stock and warrants at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8"/>
              </w:rPr>
              <w:t>$6.00 per share in public offering,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of issuance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2,066,667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11,667</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11,667</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of warrants at $3.00 per share,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253,125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8"/>
              </w:rPr>
              <w:t>of warrants at $5.00 per share,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3,593,873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17,234</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of warrants at $6.00 per share, net of</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3,847</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ind w:left="180"/>
              <w:spacing w:after="0"/>
              <w:rPr>
                <w:sz w:val="20"/>
                <w:szCs w:val="20"/>
                <w:color w:val="auto"/>
              </w:rPr>
            </w:pPr>
            <w:r>
              <w:rPr>
                <w:rFonts w:ascii="Arial" w:cs="Arial" w:eastAsia="Arial" w:hAnsi="Arial"/>
                <w:sz w:val="18"/>
                <w:szCs w:val="18"/>
                <w:color w:val="auto"/>
                <w:w w:val="98"/>
              </w:rPr>
              <w:t>of warrants at $6.50 per share, net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issuance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261,679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1,646</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shares issued upon exercise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101,557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Share-based compensation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02"/>
        </w:trPr>
        <w:tc>
          <w:tcPr>
            <w:tcW w:w="31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(9,024)</w:t>
            </w:r>
          </w:p>
        </w:tc>
        <w:tc>
          <w:tcPr>
            <w:tcW w:w="1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2020</w:t>
            </w:r>
          </w:p>
        </w:tc>
        <w:tc>
          <w:tcPr>
            <w:tcW w:w="1120" w:type="dxa"/>
            <w:vAlign w:val="bottom"/>
          </w:tcPr>
          <w:p>
            <w:pPr>
              <w:jc w:val="right"/>
              <w:spacing w:after="0"/>
              <w:rPr>
                <w:sz w:val="20"/>
                <w:szCs w:val="20"/>
                <w:color w:val="auto"/>
              </w:rPr>
            </w:pPr>
            <w:r>
              <w:rPr>
                <w:rFonts w:ascii="Arial" w:cs="Arial" w:eastAsia="Arial" w:hAnsi="Arial"/>
                <w:sz w:val="18"/>
                <w:szCs w:val="18"/>
                <w:color w:val="auto"/>
              </w:rPr>
              <w:t>37,109,317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69,181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(21,754)</w:t>
            </w:r>
          </w:p>
        </w:tc>
        <w:tc>
          <w:tcPr>
            <w:tcW w:w="1120" w:type="dxa"/>
            <w:vAlign w:val="bottom"/>
          </w:tcPr>
          <w:p>
            <w:pPr>
              <w:jc w:val="right"/>
              <w:ind w:right="956"/>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47,437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ectPr>
          <w:pgSz w:w="11900" w:h="16838" w:orient="portrait"/>
          <w:cols w:equalWidth="0" w:num="1">
            <w:col w:w="11240"/>
          </w:cols>
          <w:pgMar w:left="320" w:top="108" w:right="339" w:bottom="89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98"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(19,220)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(9,024)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Product line exit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Warranty provision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 impairment charge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Change in contingent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shares issued for services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liabilities and other</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Warranty settlement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(24,980)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Capital expenditures for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patents and trademarks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long-term deposits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common stock and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Offering costs paid on sale of common stock and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warrants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12,048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Offering costs paid on exercise of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bank note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13,451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9,858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20,118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 on short-term investments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ind w:left="180"/>
        <w:spacing w:after="0" w:line="269" w:lineRule="auto"/>
        <w:rPr>
          <w:sz w:val="20"/>
          <w:szCs w:val="20"/>
          <w:color w:val="auto"/>
        </w:rPr>
      </w:pPr>
      <w:r>
        <w:rPr>
          <w:rFonts w:ascii="Arial" w:cs="Arial" w:eastAsia="Arial" w:hAnsi="Arial"/>
          <w:sz w:val="17"/>
          <w:szCs w:val="17"/>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xml:space="preserve">”). Certain information and footnote disclosures normally included in financial statements prepared in accordance with U.S. generally accepted accounting principles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U.S. GAAP</w:t>
      </w:r>
      <w:r>
        <w:rPr>
          <w:rFonts w:ascii="Arial" w:cs="Arial" w:eastAsia="Arial" w:hAnsi="Arial"/>
          <w:sz w:val="17"/>
          <w:szCs w:val="17"/>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2020 included in the Company’s Annual Report on Form 10-K, as filed with the SEC on March 4, 2021. The accompanying condensed consolidated balance sheet at December 31, 2020 has been derived from the audited consolidated balance sheet at December 31, 2020 contained in the above referenced Form 10-K. Results of operations for interim periods are not necessarily indicative of the results of operations for a full year.</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Company has one wholly-owned subsidiary, Wrap Reality, Inc., formed in December 2020, and has commenced selling its virtual reality training system primarily targeting law enforcement and security agencies. The condensed consolidated financial statements include the accounts of this subsidiary after elimination of intercompany transactions and accounts.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5,397,165 shares of Common Stock were outstanding at September 30, 2021. These securities are not included in the computation of diluted net loss per common share for the periods presented as their inclusion would be antidilutive due to losses incurred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Exit Activity Expense</w:t>
      </w:r>
    </w:p>
    <w:p>
      <w:pPr>
        <w:spacing w:after="0" w:line="225"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During the second quarter ended June 30, 2021 the Company recorded $747 of product line exit costs related to the wind down and closure of the BolaWrap 100 product line related to a shift in production efforts to a new BolaWrap 150 generation product requiring new tooling, new production equipment and processes and additional licensing. These non-cash inventory costs included end of life raw material write offs of $531 and tooling retirement costs of $106. An additional $110 was recorded in accrued liabilities as a reserve for estimated non-cancelable raw material purchase commitments. This reserve was applied against raw material purchases and as a $56 obsolescence allowance during the three months ended September 30, 2021.</w:t>
      </w:r>
    </w:p>
    <w:p>
      <w:pPr>
        <w:spacing w:after="0" w:line="192" w:lineRule="exact"/>
        <w:rPr>
          <w:sz w:val="20"/>
          <w:szCs w:val="20"/>
          <w:color w:val="auto"/>
        </w:rPr>
      </w:pPr>
    </w:p>
    <w:p>
      <w:pPr>
        <w:jc w:val="both"/>
        <w:ind w:left="180" w:right="20"/>
        <w:spacing w:after="0" w:line="277" w:lineRule="auto"/>
        <w:rPr>
          <w:sz w:val="20"/>
          <w:szCs w:val="20"/>
          <w:color w:val="auto"/>
        </w:rPr>
      </w:pPr>
      <w:r>
        <w:rPr>
          <w:rFonts w:ascii="Arial" w:cs="Arial" w:eastAsia="Arial" w:hAnsi="Arial"/>
          <w:sz w:val="18"/>
          <w:szCs w:val="18"/>
          <w:color w:val="auto"/>
        </w:rPr>
        <w:t>The $747 of exit costs were recorded as a component of cost of revenues. There was no such expense recorded during the prior year. Development and start-up expense of new products are expensed as incurred except for capitalized equipment and tooling.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Adopted the First Quarter of 2021:</w:t>
      </w:r>
    </w:p>
    <w:p>
      <w:pPr>
        <w:spacing w:after="0" w:line="225"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color w:val="auto"/>
        </w:rPr>
        <w:t xml:space="preserve">In December 2019, the FASB issued Accounting Standards Update 2019-12, </w:t>
      </w:r>
      <w:r>
        <w:rPr>
          <w:rFonts w:ascii="Arial" w:cs="Arial" w:eastAsia="Arial" w:hAnsi="Arial"/>
          <w:sz w:val="17"/>
          <w:szCs w:val="17"/>
          <w:i w:val="1"/>
          <w:iCs w:val="1"/>
          <w:color w:val="auto"/>
        </w:rPr>
        <w:t>Income Taxes (Topic</w:t>
      </w:r>
      <w:r>
        <w:rPr>
          <w:rFonts w:ascii="Arial" w:cs="Arial" w:eastAsia="Arial" w:hAnsi="Arial"/>
          <w:sz w:val="17"/>
          <w:szCs w:val="17"/>
          <w:color w:val="auto"/>
        </w:rPr>
        <w:t xml:space="preserve"> 740</w:t>
      </w:r>
      <w:r>
        <w:rPr>
          <w:rFonts w:ascii="Arial" w:cs="Arial" w:eastAsia="Arial" w:hAnsi="Arial"/>
          <w:sz w:val="17"/>
          <w:szCs w:val="17"/>
          <w:i w:val="1"/>
          <w:iCs w:val="1"/>
          <w:color w:val="auto"/>
        </w:rPr>
        <w:t>): Simplifying the 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Taxes </w:t>
      </w:r>
      <w:r>
        <w:rPr>
          <w:rFonts w:ascii="Arial" w:cs="Arial" w:eastAsia="Arial" w:hAnsi="Arial"/>
          <w:sz w:val="17"/>
          <w:szCs w:val="17"/>
          <w:color w:val="auto"/>
        </w:rPr>
        <w:t>(“</w:t>
      </w:r>
      <w:r>
        <w:rPr>
          <w:rFonts w:ascii="Arial" w:cs="Arial" w:eastAsia="Arial" w:hAnsi="Arial"/>
          <w:sz w:val="17"/>
          <w:szCs w:val="17"/>
          <w:i w:val="1"/>
          <w:iCs w:val="1"/>
          <w:color w:val="auto"/>
        </w:rPr>
        <w:t>ASU 2019-12</w:t>
      </w:r>
      <w:r>
        <w:rPr>
          <w:rFonts w:ascii="Arial" w:cs="Arial" w:eastAsia="Arial" w:hAnsi="Arial"/>
          <w:sz w:val="17"/>
          <w:szCs w:val="17"/>
          <w:color w:val="auto"/>
        </w:rPr>
        <w:t>”), which is intended to simplify various aspects related to accounting for income taxes. ASU 2019-12 removes certain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to the general principles in Topic 740 and also clarifies and amends existing guidance to improve consistent application. We adopted ASU 2019-12 in the first quarter ended March 31, 2021 and it did not have a significant impact on our financial statements.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Pronouncements:</w:t>
      </w:r>
    </w:p>
    <w:p>
      <w:pPr>
        <w:spacing w:after="0" w:line="225" w:lineRule="exact"/>
        <w:rPr>
          <w:sz w:val="20"/>
          <w:szCs w:val="20"/>
          <w:color w:val="auto"/>
        </w:rPr>
      </w:pPr>
    </w:p>
    <w:p>
      <w:pPr>
        <w:jc w:val="both"/>
        <w:ind w:left="180"/>
        <w:spacing w:after="0" w:line="254" w:lineRule="auto"/>
        <w:rPr>
          <w:sz w:val="20"/>
          <w:szCs w:val="20"/>
          <w:color w:val="auto"/>
        </w:rPr>
      </w:pPr>
      <w:r>
        <w:rPr>
          <w:rFonts w:ascii="Arial" w:cs="Arial" w:eastAsia="Arial" w:hAnsi="Arial"/>
          <w:sz w:val="18"/>
          <w:szCs w:val="18"/>
          <w:color w:val="auto"/>
        </w:rPr>
        <w:t xml:space="preserve">In August 2020, the FASB issued Accounting Standards Update (“ASU”) 2020-06, </w:t>
      </w: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Debt with Conversion and Other Options (</w:t>
      </w:r>
      <w:r>
        <w:rPr>
          <w:rFonts w:ascii="Arial" w:cs="Arial" w:eastAsia="Arial" w:hAnsi="Arial"/>
          <w:sz w:val="18"/>
          <w:szCs w:val="18"/>
          <w:color w:val="auto"/>
        </w:rPr>
        <w:t>“</w:t>
      </w:r>
      <w:r>
        <w:rPr>
          <w:rFonts w:ascii="Arial" w:cs="Arial" w:eastAsia="Arial" w:hAnsi="Arial"/>
          <w:sz w:val="18"/>
          <w:szCs w:val="18"/>
          <w:i w:val="1"/>
          <w:iCs w:val="1"/>
          <w:color w:val="auto"/>
        </w:rPr>
        <w:t>Subtopic 470-20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and Derivatives and Hedging</w:t>
      </w:r>
      <w:r>
        <w:rPr>
          <w:rFonts w:ascii="Arial" w:cs="Arial" w:eastAsia="Arial" w:hAnsi="Arial"/>
          <w:sz w:val="18"/>
          <w:szCs w:val="18"/>
          <w:color w:val="auto"/>
        </w:rPr>
        <w:t>—</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w:t>
      </w:r>
      <w:r>
        <w:rPr>
          <w:rFonts w:ascii="Arial" w:cs="Arial" w:eastAsia="Arial" w:hAnsi="Arial"/>
          <w:sz w:val="18"/>
          <w:szCs w:val="18"/>
          <w:i w:val="1"/>
          <w:iCs w:val="1"/>
          <w:color w:val="auto"/>
        </w:rPr>
        <w:t>(Subtopic 815-40</w:t>
      </w:r>
      <w:r>
        <w:rPr>
          <w:rFonts w:ascii="Arial" w:cs="Arial" w:eastAsia="Arial" w:hAnsi="Arial"/>
          <w:sz w:val="18"/>
          <w:szCs w:val="18"/>
          <w:color w:val="auto"/>
        </w:rPr>
        <w:t>”</w:t>
      </w:r>
      <w:r>
        <w:rPr>
          <w:rFonts w:ascii="Arial" w:cs="Arial" w:eastAsia="Arial" w:hAnsi="Arial"/>
          <w:sz w:val="18"/>
          <w:szCs w:val="18"/>
          <w:i w:val="1"/>
          <w:iCs w:val="1"/>
          <w:color w:val="auto"/>
        </w:rPr>
        <w:t>):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s Own Equity</w:t>
      </w:r>
      <w:r>
        <w:rPr>
          <w:rFonts w:ascii="Arial" w:cs="Arial" w:eastAsia="Arial" w:hAnsi="Arial"/>
          <w:sz w:val="18"/>
          <w:szCs w:val="18"/>
          <w:color w:val="auto"/>
        </w:rPr>
        <w:t>, which simplifies accounting for convertible instruments by removing major separation models required under current U.S. GAAP.</w:t>
      </w:r>
      <w:r>
        <w:rPr>
          <w:rFonts w:ascii="Arial" w:cs="Arial" w:eastAsia="Arial" w:hAnsi="Arial"/>
          <w:sz w:val="18"/>
          <w:szCs w:val="18"/>
          <w:i w:val="1"/>
          <w:iCs w:val="1"/>
          <w:color w:val="auto"/>
        </w:rPr>
        <w:t xml:space="preserve"> </w:t>
      </w:r>
      <w:r>
        <w:rPr>
          <w:rFonts w:ascii="Arial" w:cs="Arial" w:eastAsia="Arial" w:hAnsi="Arial"/>
          <w:sz w:val="18"/>
          <w:szCs w:val="18"/>
          <w:color w:val="auto"/>
        </w:rPr>
        <w:t>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2021, with early adoption permitted. The Company is currently evaluating the impact of this standard on its financial statements and related disclosures.</w:t>
      </w:r>
    </w:p>
    <w:p>
      <w:pPr>
        <w:spacing w:after="0" w:line="195"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EXPENSE</w:t>
      </w:r>
    </w:p>
    <w:p>
      <w:pPr>
        <w:spacing w:after="0" w:line="229"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 xml:space="preserve">On January 1, 2018, the Company adopted FASB ASC Topic 606, Revenue from contracts with customers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Topic 606</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as it had no prior revenue or contracts with customers, there was no transition required nor any impact on prior results. Topic 606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88"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 enters into contracts that include various combinations of products, accessories, software and services, each of which are generally distinct and are accounted for as separate performance obligations.</w:t>
      </w:r>
    </w:p>
    <w:p>
      <w:pPr>
        <w:spacing w:after="0" w:line="170"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7"/>
          <w:szCs w:val="17"/>
          <w:i w:val="1"/>
          <w:iCs w:val="1"/>
          <w:color w:val="auto"/>
        </w:rPr>
        <w:t>SSP</w:t>
      </w:r>
      <w:r>
        <w:rPr>
          <w:rFonts w:ascii="Arial" w:cs="Arial" w:eastAsia="Arial" w:hAnsi="Arial"/>
          <w:sz w:val="17"/>
          <w:szCs w:val="17"/>
          <w:color w:val="auto"/>
        </w:rPr>
        <w:t>” or “</w:t>
      </w:r>
      <w:r>
        <w:rPr>
          <w:rFonts w:ascii="Arial" w:cs="Arial" w:eastAsia="Arial" w:hAnsi="Arial"/>
          <w:sz w:val="17"/>
          <w:szCs w:val="17"/>
          <w:i w:val="1"/>
          <w:iCs w:val="1"/>
          <w:color w:val="auto"/>
        </w:rPr>
        <w:t>SSPs</w:t>
      </w:r>
      <w:r>
        <w:rPr>
          <w:rFonts w:ascii="Arial" w:cs="Arial" w:eastAsia="Arial" w:hAnsi="Arial"/>
          <w:sz w:val="17"/>
          <w:szCs w:val="17"/>
          <w:color w:val="auto"/>
        </w:rPr>
        <w:t>”) of each distinct good or service in a contract. The Company determines SSPs based on the relative SSP. If the SSP is not observable through past transactions, the Company estimates the SSP considering available information such as market conditions and internally approved pricing guidelines related to the performance obligations.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jc w:val="both"/>
        <w:ind w:left="180"/>
        <w:spacing w:after="0" w:line="271" w:lineRule="auto"/>
        <w:rPr>
          <w:sz w:val="20"/>
          <w:szCs w:val="20"/>
          <w:color w:val="auto"/>
        </w:rPr>
      </w:pPr>
      <w:r>
        <w:rPr>
          <w:rFonts w:ascii="Arial" w:cs="Arial" w:eastAsia="Arial" w:hAnsi="Arial"/>
          <w:sz w:val="17"/>
          <w:szCs w:val="17"/>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Time-based virtual reality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88" w:lineRule="exact"/>
        <w:rPr>
          <w:sz w:val="20"/>
          <w:szCs w:val="20"/>
          <w:color w:val="auto"/>
        </w:rPr>
      </w:pPr>
    </w:p>
    <w:p>
      <w:pPr>
        <w:jc w:val="both"/>
        <w:ind w:left="180"/>
        <w:spacing w:after="0" w:line="255"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September 30, 2021 the Company’s deferred revenue totaled $240, of which $152 related to virtual reality training and $88 related to BolaWrap extended product warranties and training services. At December 31, 2020 the Company’s deferred revenue totaled $16, of which $14 related to virtual reality training and $2 related to extended product warranties.</w:t>
      </w:r>
    </w:p>
    <w:p>
      <w:pPr>
        <w:spacing w:after="0" w:line="192"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 may also receive consideration, per terms of a contract, from customers prior to transferring goods to the customer. The Company records customer deposits as a contract liability.</w:t>
      </w:r>
    </w:p>
    <w:p>
      <w:pPr>
        <w:spacing w:after="0" w:line="170"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September 30, 2021 and December 31, 2020. The Company applies the practical expedient to expense any sales commissions related to performance obligations with an amortization of one year or less when incurred within selling, general and administrative expense.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Estimated expense for the Company’s standard one-year warranty are charged to cost of products sold when revenue is recorded for the related product.</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Royalties are also charged to cost of products sold.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180"/>
        <w:spacing w:after="0" w:line="290" w:lineRule="auto"/>
        <w:rPr>
          <w:sz w:val="20"/>
          <w:szCs w:val="20"/>
          <w:color w:val="auto"/>
        </w:rPr>
      </w:pPr>
      <w:r>
        <w:rPr>
          <w:rFonts w:ascii="Arial" w:cs="Arial" w:eastAsia="Arial" w:hAnsi="Arial"/>
          <w:sz w:val="16"/>
          <w:szCs w:val="16"/>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Instruments Measured at Fair Value on a Recurring Basis</w:t>
      </w:r>
    </w:p>
    <w:p>
      <w:pPr>
        <w:spacing w:after="0" w:line="225"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are classified as Level 1 because they are valued using quoted market prices.</w:t>
      </w:r>
    </w:p>
    <w:p>
      <w:pPr>
        <w:spacing w:after="0" w:line="17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September 30, 2021 and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6"/>
              </w:rPr>
              <w:t>As of September 30, 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Unrealized</w:t>
            </w: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Gains</w:t>
            </w:r>
          </w:p>
        </w:tc>
        <w:tc>
          <w:tcPr>
            <w:tcW w:w="1060" w:type="dxa"/>
            <w:vAlign w:val="bottom"/>
          </w:tcPr>
          <w:p>
            <w:pPr>
              <w:jc w:val="right"/>
              <w:ind w:right="138"/>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U.S. Treasury securities considered cash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 in short-term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30,004</w:t>
            </w:r>
          </w:p>
        </w:tc>
        <w:tc>
          <w:tcPr>
            <w:tcW w:w="0" w:type="dxa"/>
            <w:vAlign w:val="bottom"/>
          </w:tcPr>
          <w:p>
            <w:pPr>
              <w:spacing w:after="0"/>
              <w:rPr>
                <w:sz w:val="1"/>
                <w:szCs w:val="1"/>
                <w:color w:val="auto"/>
              </w:rPr>
            </w:pPr>
          </w:p>
        </w:tc>
      </w:tr>
      <w:tr>
        <w:trPr>
          <w:trHeight w:val="20"/>
        </w:trPr>
        <w:tc>
          <w:tcPr>
            <w:tcW w:w="57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31,528</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60" w:type="dxa"/>
            <w:vAlign w:val="bottom"/>
          </w:tcPr>
          <w:p>
            <w:pPr>
              <w:jc w:val="right"/>
              <w:ind w:right="898"/>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4"/>
              </w:rPr>
              <w:t>As of December 31, 2020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U.S. Treasury securities considered cash equivalents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41,012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41,027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Unrealized gains or losses resulting from our short-term investments are recorded in accumulated other comprehensive gain or loss. As of September 30, 2021, $11 was recorded to accumulated other comprehensive gain.</w:t>
      </w:r>
    </w:p>
    <w:p>
      <w:pPr>
        <w:spacing w:after="0" w:line="17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obsolescence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Inventories -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300"/>
        <w:spacing w:after="0" w:line="277" w:lineRule="auto"/>
        <w:rPr>
          <w:sz w:val="20"/>
          <w:szCs w:val="20"/>
          <w:color w:val="auto"/>
        </w:rPr>
      </w:pPr>
      <w:r>
        <w:rPr>
          <w:rFonts w:ascii="Arial" w:cs="Arial" w:eastAsia="Arial" w:hAnsi="Arial"/>
          <w:sz w:val="18"/>
          <w:szCs w:val="18"/>
          <w:color w:val="auto"/>
        </w:rPr>
        <w:t>As part of product line exit costs (see Note 1) end of life raw material costs aggregating $531 were written off during the quarter ended June 30, 2021 and an additional $54 was written off during the quarter ended September 30, 2021.</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5.  PROPERTY AND EQUIPMENT, NET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180"/>
              <w:spacing w:after="0"/>
              <w:rPr>
                <w:sz w:val="20"/>
                <w:szCs w:val="20"/>
                <w:color w:val="auto"/>
              </w:rPr>
            </w:pPr>
            <w:r>
              <w:rPr>
                <w:rFonts w:ascii="Arial" w:cs="Arial" w:eastAsia="Arial" w:hAnsi="Arial"/>
                <w:sz w:val="18"/>
                <w:szCs w:val="18"/>
                <w:color w:val="auto"/>
              </w:rPr>
              <w:t>Property and equipment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Tooling</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fixtures and improvements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color w:val="auto"/>
        </w:rPr>
        <w:t>Depreciation expense was $69 and $191 for the three and nine months ended September 30, 2021 and was $35 and $82 for the three and nine months ended September 30, 2020, respectively.</w:t>
      </w:r>
    </w:p>
    <w:p>
      <w:pPr>
        <w:spacing w:after="0" w:line="170" w:lineRule="exact"/>
        <w:rPr>
          <w:sz w:val="20"/>
          <w:szCs w:val="20"/>
          <w:color w:val="auto"/>
        </w:rPr>
      </w:pPr>
    </w:p>
    <w:p>
      <w:pPr>
        <w:jc w:val="center"/>
        <w:ind w:right="320"/>
        <w:spacing w:after="0" w:line="527" w:lineRule="auto"/>
        <w:rPr>
          <w:sz w:val="20"/>
          <w:szCs w:val="20"/>
          <w:color w:val="auto"/>
        </w:rPr>
      </w:pPr>
      <w:r>
        <w:rPr>
          <w:rFonts w:ascii="Arial" w:cs="Arial" w:eastAsia="Arial" w:hAnsi="Arial"/>
          <w:sz w:val="18"/>
          <w:szCs w:val="18"/>
          <w:color w:val="auto"/>
        </w:rPr>
        <w:t>As part of product line exit costs (see Note 1) unamortized production tooling costs of $106 were recorded during the quarter ended June 30, 2021.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8"/>
                <w:szCs w:val="18"/>
                <w:b w:val="1"/>
                <w:bCs w:val="1"/>
                <w:color w:val="auto"/>
              </w:rPr>
              <w:t>6.  INTANGIBLE ASSETS, NET</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20" w:type="dxa"/>
            <w:vAlign w:val="bottom"/>
          </w:tcPr>
          <w:p>
            <w:pPr>
              <w:ind w:left="180"/>
              <w:spacing w:after="0"/>
              <w:rPr>
                <w:sz w:val="20"/>
                <w:szCs w:val="20"/>
                <w:color w:val="auto"/>
              </w:rPr>
            </w:pPr>
            <w:r>
              <w:rPr>
                <w:rFonts w:ascii="Arial" w:cs="Arial" w:eastAsia="Arial" w:hAnsi="Arial"/>
                <w:sz w:val="18"/>
                <w:szCs w:val="18"/>
                <w:color w:val="auto"/>
              </w:rPr>
              <w:t>Intangible assets consisted of the following:</w:t>
            </w:r>
          </w:p>
        </w:tc>
        <w:tc>
          <w:tcPr>
            <w:tcW w:w="140" w:type="dxa"/>
            <w:vAlign w:val="bottom"/>
          </w:tcPr>
          <w:p>
            <w:pPr>
              <w:spacing w:after="0"/>
              <w:rPr>
                <w:sz w:val="24"/>
                <w:szCs w:val="24"/>
                <w:color w:val="auto"/>
              </w:rPr>
            </w:pPr>
          </w:p>
        </w:tc>
        <w:tc>
          <w:tcPr>
            <w:tcW w:w="1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198"/>
        </w:trPr>
        <w:tc>
          <w:tcPr>
            <w:tcW w:w="7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20" w:type="dxa"/>
            <w:vAlign w:val="bottom"/>
            <w:vMerge w:val="restart"/>
          </w:tcPr>
          <w:p>
            <w:pPr>
              <w:spacing w:after="0"/>
              <w:rPr>
                <w:sz w:val="20"/>
                <w:szCs w:val="20"/>
                <w:color w:val="auto"/>
              </w:rPr>
            </w:pPr>
            <w:r>
              <w:rPr>
                <w:rFonts w:ascii="Arial" w:cs="Arial" w:eastAsia="Arial" w:hAnsi="Arial"/>
                <w:sz w:val="18"/>
                <w:szCs w:val="18"/>
                <w:color w:val="auto"/>
              </w:rPr>
              <w:t>Amortizable intangible assets: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Indefinite life assets (non-amortizable)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color w:val="auto"/>
        </w:rPr>
        <w:t>Amortization expense was $48 and $145 for the three and nine months ended September 30, 2021 and was $3 and $9 for the three and nine months ended September 30, 2020, respectively. An impairment charge of $170 for purchased software was recorded in the quarter ended September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ind w:left="180"/>
              <w:spacing w:after="0"/>
              <w:rPr>
                <w:sz w:val="20"/>
                <w:szCs w:val="20"/>
                <w:color w:val="auto"/>
              </w:rPr>
            </w:pPr>
            <w:r>
              <w:rPr>
                <w:rFonts w:ascii="Arial" w:cs="Arial" w:eastAsia="Arial" w:hAnsi="Arial"/>
                <w:sz w:val="18"/>
                <w:szCs w:val="18"/>
                <w:color w:val="auto"/>
              </w:rPr>
              <w:t>At September 30, 2021, future amortization expense is as follows:</w:t>
            </w:r>
          </w:p>
        </w:tc>
        <w:tc>
          <w:tcPr>
            <w:tcW w:w="2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2021 (3 months)</w:t>
            </w:r>
          </w:p>
        </w:tc>
        <w:tc>
          <w:tcPr>
            <w:tcW w:w="29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2022</w:t>
            </w: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2024</w:t>
            </w:r>
          </w:p>
        </w:tc>
        <w:tc>
          <w:tcPr>
            <w:tcW w:w="2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23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Accounts payable includes $134 and $53 due to related party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as of September 30, 2021 and December 31, 2020, respectively. Accounts payable at December 31, 2020 also included $10 due to related party V3 Capital Partners, LLC. See Notes 12 and 13 for additional related party information.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Accrued liabilities consist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Consulting costs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1,366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The Company adopted ASU 2016-02, Leases (Topic 842) on January 1, 2019 using the modified retrospective approach. The Company has elected not to apply ASC Topic 842 to arrangements with lease terms of 12 months or 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Amortization of Right of Use operating lease assets was $21 and $67 for the three and nine months ended September 30, 2021 and was $31 and $91 for the three and nine months ended September 30, 2020, respectively.</w:t>
      </w:r>
    </w:p>
    <w:p>
      <w:pPr>
        <w:spacing w:after="0" w:line="170"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Operating lease expense for capitalized operating leases included in operating activities was $23 and $73 for the three and nine months ended September 30, 2021 and was $34 and $103 for the three and nine months ended September 30, 2020,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Operating lease obligations recorded on the balance sheet at September 30, 2021 are:</w:t>
            </w:r>
          </w:p>
        </w:tc>
        <w:tc>
          <w:tcPr>
            <w:tcW w:w="1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60" w:type="dxa"/>
            <w:vAlign w:val="bottom"/>
            <w:shd w:val="clear" w:color="auto" w:fill="CCEEFF"/>
          </w:tcPr>
          <w:p>
            <w:pPr>
              <w:jc w:val="center"/>
              <w:ind w:right="5890"/>
              <w:spacing w:after="0"/>
              <w:rPr>
                <w:sz w:val="20"/>
                <w:szCs w:val="20"/>
                <w:color w:val="auto"/>
              </w:rPr>
            </w:pPr>
            <w:r>
              <w:rPr>
                <w:rFonts w:ascii="Arial" w:cs="Arial" w:eastAsia="Arial" w:hAnsi="Arial"/>
                <w:sz w:val="18"/>
                <w:szCs w:val="18"/>
                <w:color w:val="auto"/>
                <w:w w:val="92"/>
              </w:rPr>
              <w:t>Operating lease liability- short term</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r>
      <w:tr>
        <w:trPr>
          <w:trHeight w:val="216"/>
        </w:trPr>
        <w:tc>
          <w:tcPr>
            <w:tcW w:w="8560" w:type="dxa"/>
            <w:vAlign w:val="bottom"/>
          </w:tcPr>
          <w:p>
            <w:pPr>
              <w:jc w:val="center"/>
              <w:ind w:right="5890"/>
              <w:spacing w:after="0"/>
              <w:rPr>
                <w:sz w:val="20"/>
                <w:szCs w:val="20"/>
                <w:color w:val="auto"/>
              </w:rPr>
            </w:pPr>
            <w:r>
              <w:rPr>
                <w:rFonts w:ascii="Arial" w:cs="Arial" w:eastAsia="Arial" w:hAnsi="Arial"/>
                <w:sz w:val="18"/>
                <w:szCs w:val="18"/>
                <w:color w:val="auto"/>
                <w:w w:val="93"/>
              </w:rPr>
              <w:t>Operating lease liability - long term</w:t>
            </w:r>
          </w:p>
        </w:tc>
        <w:tc>
          <w:tcPr>
            <w:tcW w:w="1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jc w:val="center"/>
              <w:ind w:right="5850"/>
              <w:spacing w:after="0"/>
              <w:rPr>
                <w:sz w:val="20"/>
                <w:szCs w:val="20"/>
                <w:color w:val="auto"/>
              </w:rPr>
            </w:pPr>
            <w:r>
              <w:rPr>
                <w:rFonts w:ascii="Arial" w:cs="Arial" w:eastAsia="Arial" w:hAnsi="Arial"/>
                <w:sz w:val="18"/>
                <w:szCs w:val="18"/>
                <w:color w:val="auto"/>
                <w:w w:val="92"/>
              </w:rPr>
              <w:t>Total Operating Lease Liability</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Future lease payments included in the measurement of lease liabilities on the balance sheet at September 30, 2021 for future periods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2021 (3 months)</w:t>
            </w:r>
          </w:p>
        </w:tc>
        <w:tc>
          <w:tcPr>
            <w:tcW w:w="4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33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r>
      <w:tr>
        <w:trPr>
          <w:trHeight w:val="21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future minimum lease payments</w:t>
            </w:r>
          </w:p>
        </w:tc>
        <w:tc>
          <w:tcPr>
            <w:tcW w:w="3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Less imputed interest</w:t>
            </w:r>
          </w:p>
        </w:tc>
        <w:tc>
          <w:tcPr>
            <w:tcW w:w="3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6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 average remaining lease term is 0.8 years and the weighted average discount rate is 7.0%.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does not have any finance leases.</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229"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Company’s other liabilities at September 30, 2021 consisted of operating lease liabilities (see Note 8). Other liabilities at December 31, 2020 included operating lease liabilities (see Note 8) and business acquisition liabilities totaling $298 of which $275 related to short term business liabilities and $23 related to contingent consideration recorded as a long-term business acquisition liability on our balance sheet.</w:t>
      </w:r>
    </w:p>
    <w:p>
      <w:pPr>
        <w:spacing w:after="0" w:line="184"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During the quarter ended September 30, 2021 the Company eliminated the contingent consideration, a recurring Level 3 measurement, and recorded a $23 gain in other income.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Summary of Stock Purchase Warrants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warrant activity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Shares purchasable under outstanding warrants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Stock purchase warrants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purchase warrants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Shares purchasable under outstanding warrants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Average Price Per</w:t>
            </w:r>
          </w:p>
        </w:tc>
      </w:tr>
      <w:tr>
        <w:trPr>
          <w:trHeight w:val="234"/>
        </w:trPr>
        <w:tc>
          <w:tcPr>
            <w:tcW w:w="16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Share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3,206,910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6.36</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(1,815,012)</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r>
      <w:tr>
        <w:trPr>
          <w:trHeight w:val="230"/>
        </w:trPr>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1,391,667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600"/>
            <w:col w:w="3240"/>
          </w:cols>
          <w:pgMar w:left="320" w:top="125"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has outstanding Common Stock purchase warrants as of September 30, 2021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3920" w:type="dxa"/>
            <w:vAlign w:val="bottom"/>
          </w:tcPr>
          <w:p>
            <w:pPr>
              <w:spacing w:after="0"/>
              <w:rPr>
                <w:sz w:val="18"/>
                <w:szCs w:val="18"/>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1,391,667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3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 2022</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ind w:left="180"/>
        <w:spacing w:after="0" w:line="273" w:lineRule="auto"/>
        <w:rPr>
          <w:sz w:val="20"/>
          <w:szCs w:val="20"/>
          <w:color w:val="auto"/>
        </w:rPr>
      </w:pPr>
      <w:r>
        <w:rPr>
          <w:rFonts w:ascii="Arial" w:cs="Arial" w:eastAsia="Arial" w:hAnsi="Arial"/>
          <w:sz w:val="17"/>
          <w:szCs w:val="17"/>
          <w:color w:val="auto"/>
        </w:rPr>
        <w:t>On March 31, 2017, the Company adopted, and the stockholders approved, the 2017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authorizing 2,000,000 shares of Company Common Stock for issuance as stock options and restricted stock units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 In June 2021, the stockholders ratified an increase in the 2017 Stock Incentive Plan authorizing an additional 1,500,000 shares of Common Stock to a total of 7,500,000 shares. At September 30, 2021 there were 1,667,338 shares of Common Stock available for grant under the Plan.</w:t>
      </w:r>
    </w:p>
    <w:p>
      <w:pPr>
        <w:spacing w:after="0" w:line="178"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 generally recognizes share-based compensation expense on the grant date and over the period of vesting or period that services will be provided.</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Weighted Average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Options 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Aggregate</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3,931,586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982,500</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(915,404)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Forfeited, cancelled, expired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(319,799)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3,678,883</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Exercisable September 30, 2021</w:t>
            </w:r>
          </w:p>
        </w:tc>
        <w:tc>
          <w:tcPr>
            <w:tcW w:w="11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1,904,711</w:t>
            </w:r>
          </w:p>
        </w:tc>
        <w:tc>
          <w:tcPr>
            <w:tcW w:w="24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4.37</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3.01</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3,493</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auto"/>
        </w:rPr>
        <w:t>Options outstanding at December 31, 2020 included 100,000 of performance-based options exercisable at $5.46 per share with vesting based on achieving certain virtual reality revenue targets by December 1, 2024. These options were forfeited on September 30, 2021 and no share-based compensation expense was recorded related to these options during the period outstanding. All other options are service-based.</w:t>
      </w:r>
    </w:p>
    <w:p>
      <w:pPr>
        <w:spacing w:after="0" w:line="165"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The Company recorded $836 and $2,065 of stock option compensation expense for employees, directors and consultants for the three and nine months ended September 30, 2021, respectively. The Company recorded $319 and $599 of stock option compensation expense for employees, directors and consultants for the three and nine months ended September 30, 2020,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980" w:type="dxa"/>
            <w:vAlign w:val="bottom"/>
            <w:gridSpan w:val="3"/>
          </w:tcPr>
          <w:p>
            <w:pPr>
              <w:ind w:left="3040"/>
              <w:spacing w:after="0"/>
              <w:rPr>
                <w:sz w:val="20"/>
                <w:szCs w:val="20"/>
                <w:color w:val="auto"/>
              </w:rPr>
            </w:pPr>
            <w:r>
              <w:rPr>
                <w:rFonts w:ascii="Arial" w:cs="Arial" w:eastAsia="Arial" w:hAnsi="Arial"/>
                <w:sz w:val="18"/>
                <w:szCs w:val="18"/>
                <w:b w:val="1"/>
                <w:bCs w:val="1"/>
                <w:color w:val="auto"/>
              </w:rPr>
              <w:t>For the Nine Months</w:t>
            </w:r>
          </w:p>
        </w:tc>
        <w:tc>
          <w:tcPr>
            <w:tcW w:w="600" w:type="dxa"/>
            <w:vAlign w:val="bottom"/>
          </w:tcPr>
          <w:p>
            <w:pPr>
              <w:spacing w:after="0"/>
              <w:rPr>
                <w:sz w:val="18"/>
                <w:szCs w:val="18"/>
                <w:color w:val="auto"/>
              </w:rPr>
            </w:pPr>
          </w:p>
        </w:tc>
      </w:tr>
      <w:tr>
        <w:trPr>
          <w:trHeight w:val="230"/>
        </w:trPr>
        <w:tc>
          <w:tcPr>
            <w:tcW w:w="5660" w:type="dxa"/>
            <w:vAlign w:val="bottom"/>
          </w:tcPr>
          <w:p>
            <w:pPr>
              <w:spacing w:after="0"/>
              <w:rPr>
                <w:sz w:val="19"/>
                <w:szCs w:val="19"/>
                <w:color w:val="auto"/>
              </w:rPr>
            </w:pPr>
          </w:p>
        </w:tc>
        <w:tc>
          <w:tcPr>
            <w:tcW w:w="4980" w:type="dxa"/>
            <w:vAlign w:val="bottom"/>
            <w:gridSpan w:val="3"/>
          </w:tcPr>
          <w:p>
            <w:pPr>
              <w:ind w:left="3020"/>
              <w:spacing w:after="0"/>
              <w:rPr>
                <w:sz w:val="20"/>
                <w:szCs w:val="20"/>
                <w:color w:val="auto"/>
              </w:rPr>
            </w:pPr>
            <w:r>
              <w:rPr>
                <w:rFonts w:ascii="Arial" w:cs="Arial" w:eastAsia="Arial" w:hAnsi="Arial"/>
                <w:sz w:val="18"/>
                <w:szCs w:val="18"/>
                <w:b w:val="1"/>
                <w:bCs w:val="1"/>
                <w:color w:val="auto"/>
              </w:rPr>
              <w:t>Ended September 30,</w:t>
            </w:r>
          </w:p>
        </w:tc>
        <w:tc>
          <w:tcPr>
            <w:tcW w:w="600" w:type="dxa"/>
            <w:vAlign w:val="bottom"/>
          </w:tcPr>
          <w:p>
            <w:pPr>
              <w:spacing w:after="0"/>
              <w:rPr>
                <w:sz w:val="19"/>
                <w:szCs w:val="19"/>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0.90%</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 years</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5.74</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6.15</w:t>
            </w:r>
          </w:p>
        </w:tc>
      </w:tr>
      <w:tr>
        <w:trPr>
          <w:trHeight w:val="230"/>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fair value of options granted</w:t>
            </w:r>
          </w:p>
        </w:tc>
        <w:tc>
          <w:tcPr>
            <w:tcW w:w="3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w:t>
            </w:r>
          </w:p>
        </w:tc>
        <w:tc>
          <w:tcPr>
            <w:tcW w:w="10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3.43</w:t>
            </w:r>
          </w:p>
        </w:tc>
      </w:tr>
    </w:tbl>
    <w:p>
      <w:pPr>
        <w:spacing w:after="0" w:line="202"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71"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color w:val="auto"/>
        </w:rPr>
        <w:t>The risk-free interest rate assumption is based upon observed interest rates on zero coupon U.S. Treasury bonds whose maturity period is appropriate for the term of the options. The Company accounts for actual forfeitures as they occur.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The following table summarizes RSU activity under the Plan for the nine months ended September 30,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Unvested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Granted - service 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 and cancelled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Unvested at September 30,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7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Service-Based</w:t>
            </w: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Grant Date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r>
      <w:tr>
        <w:trPr>
          <w:trHeight w:val="234"/>
        </w:trPr>
        <w:tc>
          <w:tcPr>
            <w:tcW w:w="17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RSU's</w:t>
            </w:r>
          </w:p>
        </w:tc>
        <w:tc>
          <w:tcPr>
            <w:tcW w:w="1140" w:type="dxa"/>
            <w:vAlign w:val="bottom"/>
          </w:tcPr>
          <w:p>
            <w:pPr>
              <w:ind w:left="32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Period (in Years)</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428,006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6.13</w:t>
            </w:r>
          </w:p>
        </w:tc>
        <w:tc>
          <w:tcPr>
            <w:tcW w:w="100" w:type="dxa"/>
            <w:vAlign w:val="bottom"/>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352,890</w:t>
            </w:r>
          </w:p>
        </w:tc>
        <w:tc>
          <w:tcPr>
            <w:tcW w:w="2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5.72</w:t>
            </w:r>
          </w:p>
        </w:tc>
        <w:tc>
          <w:tcPr>
            <w:tcW w:w="2200" w:type="dxa"/>
            <w:vAlign w:val="bottom"/>
          </w:tcPr>
          <w:p>
            <w:pPr>
              <w:spacing w:after="0"/>
              <w:rPr>
                <w:sz w:val="18"/>
                <w:szCs w:val="18"/>
                <w:color w:val="auto"/>
              </w:rPr>
            </w:pPr>
          </w:p>
        </w:tc>
      </w:tr>
      <w:tr>
        <w:trPr>
          <w:trHeight w:val="216"/>
        </w:trPr>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(421,407)</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5.63</w:t>
            </w:r>
          </w:p>
        </w:tc>
        <w:tc>
          <w:tcPr>
            <w:tcW w:w="2200" w:type="dxa"/>
            <w:vAlign w:val="bottom"/>
          </w:tcPr>
          <w:p>
            <w:pPr>
              <w:spacing w:after="0"/>
              <w:rPr>
                <w:sz w:val="18"/>
                <w:szCs w:val="18"/>
                <w:color w:val="auto"/>
              </w:rPr>
            </w:pPr>
          </w:p>
        </w:tc>
      </w:tr>
      <w:tr>
        <w:trPr>
          <w:trHeight w:val="230"/>
        </w:trPr>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(32,874)</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6.10</w:t>
            </w:r>
          </w:p>
        </w:tc>
        <w:tc>
          <w:tcPr>
            <w:tcW w:w="2200" w:type="dxa"/>
            <w:vAlign w:val="bottom"/>
          </w:tcPr>
          <w:p>
            <w:pPr>
              <w:spacing w:after="0"/>
              <w:rPr>
                <w:sz w:val="20"/>
                <w:szCs w:val="20"/>
                <w:color w:val="auto"/>
              </w:rPr>
            </w:pP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326,615</w:t>
            </w:r>
          </w:p>
        </w:tc>
        <w:tc>
          <w:tcPr>
            <w:tcW w:w="2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6.34</w:t>
            </w: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2.1</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-719455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-445135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-161925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p>
      <w:pPr>
        <w:spacing w:after="0" w:line="2"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Compensation expense for RSUs was $467 and $2,245 for the three and nine months ended September 30, 2021, respectively. Compensation expense for RSUs was $227 and $963 for the three and nine months ended September 30, 2020,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Company recorded share-based compensation for options and RSUs in its statements of operations for the relevant periods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auto"/>
        </w:rPr>
        <w:t>As of September 30, 2021, total estimated compensation expense of stock options granted and outstanding but not yet vested was $4,300 which is expected to be recognized over the weighted average period of 2.3 years. As of September 30, 2021, total estimated compensation cost of RSUs granted and outstanding but not yet vested was $1,718 which is expected to be recognized over the weighted average period of 2.1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Facility Leases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Note 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Related Party Technology License Agreement</w:t>
      </w:r>
    </w:p>
    <w:p>
      <w:pPr>
        <w:spacing w:after="0" w:line="23" w:lineRule="exact"/>
        <w:rPr>
          <w:sz w:val="20"/>
          <w:szCs w:val="20"/>
          <w:color w:val="auto"/>
        </w:rPr>
      </w:pPr>
    </w:p>
    <w:p>
      <w:pPr>
        <w:jc w:val="both"/>
        <w:ind w:left="180"/>
        <w:spacing w:after="0" w:line="252" w:lineRule="auto"/>
        <w:rPr>
          <w:sz w:val="20"/>
          <w:szCs w:val="20"/>
          <w:color w:val="auto"/>
        </w:rPr>
      </w:pPr>
      <w:r>
        <w:rPr>
          <w:rFonts w:ascii="Arial" w:cs="Arial" w:eastAsia="Arial" w:hAnsi="Arial"/>
          <w:sz w:val="18"/>
          <w:szCs w:val="18"/>
          <w:color w:val="auto"/>
        </w:rPr>
        <w:t>The Company is obligated to pay royalties and pay development and patent costs pursuant to that certain exclusive Amended and Restated Intellectual Property License Agreement dated as of September 30, 2016, by and between the Company and Syzygy (the “</w:t>
      </w:r>
      <w:r>
        <w:rPr>
          <w:rFonts w:ascii="Arial" w:cs="Arial" w:eastAsia="Arial" w:hAnsi="Arial"/>
          <w:sz w:val="18"/>
          <w:szCs w:val="18"/>
          <w:i w:val="1"/>
          <w:iCs w:val="1"/>
          <w:color w:val="auto"/>
        </w:rPr>
        <w:t>Syzygy Agreement</w:t>
      </w:r>
      <w:r>
        <w:rPr>
          <w:rFonts w:ascii="Arial" w:cs="Arial" w:eastAsia="Arial" w:hAnsi="Arial"/>
          <w:sz w:val="18"/>
          <w:szCs w:val="18"/>
          <w:color w:val="auto"/>
        </w:rPr>
        <w:t>”), a company owned and controlled by stockholders/officers Messrs. Elwood Norris and James Barnes, both of whom are stockholders and officers of the Company. The Syzygy Agreement provides for royalty payments of 4% of revenue from products employing the licensed ensnarement device technology up to an aggregate of $1,000 in royalties or until September 30, 2026, whichever occurs earlier. The Company recorded $65 and $185 for royalties incurred under the Syzygy Agreement during the three and nine months ended September 30, 2021 and $37 and $90 incurred for the three and nine months ended September 30, 2020, respectively.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 Commitments</w:t>
      </w:r>
    </w:p>
    <w:p>
      <w:pPr>
        <w:spacing w:after="0" w:line="23" w:lineRule="exact"/>
        <w:rPr>
          <w:sz w:val="20"/>
          <w:szCs w:val="20"/>
          <w:color w:val="auto"/>
        </w:rPr>
      </w:pPr>
    </w:p>
    <w:p>
      <w:pPr>
        <w:jc w:val="both"/>
        <w:ind w:left="180"/>
        <w:spacing w:after="0" w:line="260" w:lineRule="auto"/>
        <w:rPr>
          <w:sz w:val="20"/>
          <w:szCs w:val="20"/>
          <w:color w:val="auto"/>
        </w:rPr>
      </w:pPr>
      <w:r>
        <w:rPr>
          <w:rFonts w:ascii="Arial" w:cs="Arial" w:eastAsia="Arial" w:hAnsi="Arial"/>
          <w:sz w:val="18"/>
          <w:szCs w:val="18"/>
          <w:color w:val="auto"/>
        </w:rPr>
        <w:t>At September 30, 2021 the Company was committed for approximately $713 for future component deliveries and contract services that are generally subject to modification or rescheduling in the normal course of business.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 Litigation</w:t>
      </w:r>
    </w:p>
    <w:p>
      <w:pPr>
        <w:spacing w:after="0" w:line="23" w:lineRule="exact"/>
        <w:rPr>
          <w:sz w:val="20"/>
          <w:szCs w:val="20"/>
          <w:color w:val="auto"/>
        </w:rPr>
      </w:pPr>
    </w:p>
    <w:p>
      <w:pPr>
        <w:jc w:val="both"/>
        <w:ind w:left="180"/>
        <w:spacing w:after="0" w:line="251" w:lineRule="auto"/>
        <w:rPr>
          <w:sz w:val="20"/>
          <w:szCs w:val="20"/>
          <w:color w:val="auto"/>
        </w:rPr>
      </w:pPr>
      <w:r>
        <w:rPr>
          <w:rFonts w:ascii="Arial" w:cs="Arial" w:eastAsia="Arial" w:hAnsi="Arial"/>
          <w:sz w:val="18"/>
          <w:szCs w:val="18"/>
          <w:color w:val="auto"/>
        </w:rPr>
        <w:t>On September 23, 2020, Carone Cobden filed a putative class action complaint against the Company, former Chief Executive Officer David Norris (“</w:t>
      </w:r>
      <w:r>
        <w:rPr>
          <w:rFonts w:ascii="Arial" w:cs="Arial" w:eastAsia="Arial" w:hAnsi="Arial"/>
          <w:sz w:val="18"/>
          <w:szCs w:val="18"/>
          <w:i w:val="1"/>
          <w:iCs w:val="1"/>
          <w:color w:val="auto"/>
        </w:rPr>
        <w:t>Norris</w:t>
      </w:r>
      <w:r>
        <w:rPr>
          <w:rFonts w:ascii="Arial" w:cs="Arial" w:eastAsia="Arial" w:hAnsi="Arial"/>
          <w:sz w:val="18"/>
          <w:szCs w:val="18"/>
          <w:color w:val="auto"/>
        </w:rPr>
        <w:t>”), Chief Financial Officer, James A. Barnes (“</w:t>
      </w:r>
      <w:r>
        <w:rPr>
          <w:rFonts w:ascii="Arial" w:cs="Arial" w:eastAsia="Arial" w:hAnsi="Arial"/>
          <w:sz w:val="18"/>
          <w:szCs w:val="18"/>
          <w:i w:val="1"/>
          <w:iCs w:val="1"/>
          <w:color w:val="auto"/>
        </w:rPr>
        <w:t>Barnes</w:t>
      </w:r>
      <w:r>
        <w:rPr>
          <w:rFonts w:ascii="Arial" w:cs="Arial" w:eastAsia="Arial" w:hAnsi="Arial"/>
          <w:sz w:val="18"/>
          <w:szCs w:val="18"/>
          <w:color w:val="auto"/>
        </w:rPr>
        <w:t>”), and President, Thomas Smith (“</w:t>
      </w:r>
      <w:r>
        <w:rPr>
          <w:rFonts w:ascii="Arial" w:cs="Arial" w:eastAsia="Arial" w:hAnsi="Arial"/>
          <w:sz w:val="18"/>
          <w:szCs w:val="18"/>
          <w:i w:val="1"/>
          <w:iCs w:val="1"/>
          <w:color w:val="auto"/>
        </w:rPr>
        <w:t>Smith</w:t>
      </w:r>
      <w:r>
        <w:rPr>
          <w:rFonts w:ascii="Arial" w:cs="Arial" w:eastAsia="Arial" w:hAnsi="Arial"/>
          <w:sz w:val="18"/>
          <w:szCs w:val="18"/>
          <w:color w:val="auto"/>
        </w:rPr>
        <w:t>”) in the United States District Court for the Central District of California, docketed as Case No. 2-20-cv-08760-DMG-PVCx (the “</w:t>
      </w:r>
      <w:r>
        <w:rPr>
          <w:rFonts w:ascii="Arial" w:cs="Arial" w:eastAsia="Arial" w:hAnsi="Arial"/>
          <w:sz w:val="18"/>
          <w:szCs w:val="18"/>
          <w:i w:val="1"/>
          <w:iCs w:val="1"/>
          <w:color w:val="auto"/>
        </w:rPr>
        <w:t>Cobden Complaint</w:t>
      </w:r>
      <w:r>
        <w:rPr>
          <w:rFonts w:ascii="Arial" w:cs="Arial" w:eastAsia="Arial" w:hAnsi="Arial"/>
          <w:sz w:val="18"/>
          <w:szCs w:val="18"/>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8"/>
          <w:szCs w:val="18"/>
          <w:i w:val="1"/>
          <w:iCs w:val="1"/>
          <w:color w:val="auto"/>
        </w:rPr>
        <w:t>BolaWrap Pilot Program</w:t>
      </w:r>
      <w:r>
        <w:rPr>
          <w:rFonts w:ascii="Arial" w:cs="Arial" w:eastAsia="Arial" w:hAnsi="Arial"/>
          <w:sz w:val="18"/>
          <w:szCs w:val="18"/>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197" w:lineRule="exact"/>
        <w:rPr>
          <w:sz w:val="20"/>
          <w:szCs w:val="20"/>
          <w:color w:val="auto"/>
        </w:rPr>
      </w:pPr>
    </w:p>
    <w:p>
      <w:pPr>
        <w:jc w:val="both"/>
        <w:ind w:left="180"/>
        <w:spacing w:after="0" w:line="291" w:lineRule="auto"/>
        <w:rPr>
          <w:sz w:val="20"/>
          <w:szCs w:val="20"/>
          <w:color w:val="auto"/>
        </w:rPr>
      </w:pPr>
      <w:r>
        <w:rPr>
          <w:rFonts w:ascii="Arial" w:cs="Arial" w:eastAsia="Arial" w:hAnsi="Arial"/>
          <w:sz w:val="16"/>
          <w:szCs w:val="16"/>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6"/>
          <w:szCs w:val="16"/>
          <w:i w:val="1"/>
          <w:iCs w:val="1"/>
          <w:color w:val="auto"/>
        </w:rPr>
        <w:t>Mercurio Complaint</w:t>
      </w:r>
      <w:r>
        <w:rPr>
          <w:rFonts w:ascii="Arial" w:cs="Arial" w:eastAsia="Arial" w:hAnsi="Arial"/>
          <w:sz w:val="16"/>
          <w:szCs w:val="16"/>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6"/>
          <w:szCs w:val="16"/>
          <w:i w:val="1"/>
          <w:iCs w:val="1"/>
          <w:color w:val="auto"/>
        </w:rPr>
        <w:t>Thomas</w:t>
      </w:r>
      <w:r>
        <w:rPr>
          <w:rFonts w:ascii="Arial" w:cs="Arial" w:eastAsia="Arial" w:hAnsi="Arial"/>
          <w:sz w:val="16"/>
          <w:szCs w:val="16"/>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6"/>
          <w:szCs w:val="16"/>
          <w:i w:val="1"/>
          <w:iCs w:val="1"/>
          <w:color w:val="auto"/>
        </w:rPr>
        <w:t>Earley Complaint</w:t>
      </w:r>
      <w:r>
        <w:rPr>
          <w:rFonts w:ascii="Arial" w:cs="Arial" w:eastAsia="Arial" w:hAnsi="Arial"/>
          <w:sz w:val="16"/>
          <w:szCs w:val="16"/>
          <w:color w:val="auto"/>
        </w:rPr>
        <w:t>”). The Earley Complaint is docketed as Case No. 2-20-cv-09444-DMG-PVCx.</w:t>
      </w:r>
    </w:p>
    <w:p>
      <w:pPr>
        <w:spacing w:after="0" w:line="166" w:lineRule="exact"/>
        <w:rPr>
          <w:sz w:val="20"/>
          <w:szCs w:val="20"/>
          <w:color w:val="auto"/>
        </w:rPr>
      </w:pPr>
    </w:p>
    <w:p>
      <w:pPr>
        <w:jc w:val="both"/>
        <w:ind w:left="180"/>
        <w:spacing w:after="0" w:line="271" w:lineRule="auto"/>
        <w:rPr>
          <w:sz w:val="20"/>
          <w:szCs w:val="20"/>
          <w:color w:val="auto"/>
        </w:rPr>
      </w:pPr>
      <w:r>
        <w:rPr>
          <w:rFonts w:ascii="Arial" w:cs="Arial" w:eastAsia="Arial" w:hAnsi="Arial"/>
          <w:sz w:val="17"/>
          <w:szCs w:val="17"/>
          <w:color w:val="auto"/>
        </w:rPr>
        <w:t xml:space="preserve">On November 3, 2020, the Hon. Dolly M. Gee consolidated the three above-mentioned cases under the caption </w:t>
      </w:r>
      <w:r>
        <w:rPr>
          <w:rFonts w:ascii="Arial" w:cs="Arial" w:eastAsia="Arial" w:hAnsi="Arial"/>
          <w:sz w:val="17"/>
          <w:szCs w:val="17"/>
          <w:i w:val="1"/>
          <w:iCs w:val="1"/>
          <w:color w:val="auto"/>
        </w:rPr>
        <w:t>In re Wrap Technologies, Inc.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Act Litigation</w:t>
      </w:r>
      <w:r>
        <w:rPr>
          <w:rFonts w:ascii="Arial" w:cs="Arial" w:eastAsia="Arial" w:hAnsi="Arial"/>
          <w:sz w:val="17"/>
          <w:szCs w:val="17"/>
          <w:color w:val="auto"/>
        </w:rPr>
        <w:t>, Case No. 20-8760-DMG (PVCx) (the “</w:t>
      </w:r>
      <w:r>
        <w:rPr>
          <w:rFonts w:ascii="Arial" w:cs="Arial" w:eastAsia="Arial" w:hAnsi="Arial"/>
          <w:sz w:val="17"/>
          <w:szCs w:val="17"/>
          <w:i w:val="1"/>
          <w:iCs w:val="1"/>
          <w:color w:val="auto"/>
        </w:rPr>
        <w:t>Securities Action</w:t>
      </w:r>
      <w:r>
        <w:rPr>
          <w:rFonts w:ascii="Arial" w:cs="Arial" w:eastAsia="Arial" w:hAnsi="Arial"/>
          <w:sz w:val="17"/>
          <w:szCs w:val="17"/>
          <w:color w:val="auto"/>
        </w:rPr>
        <w:t>”). On January 7, 2021, the Court appointed a lead plaintiff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On March 12, 2021, lead plaintiff filed an amended complaint, naming the Company, Norris, Thomas, Smith, and Barnes as defendants. Those defendants jointly filed a motion to dismiss on April 26, 2021. Briefing on the motion to dismiss is now complete, and the motion is currently under submission before Judge Gee. The Company believes that the Securities Action is without merit and will continue to vigorously defend against the claims raised therein.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Shareholder Derivative Litigation</w:t>
      </w:r>
    </w:p>
    <w:p>
      <w:pPr>
        <w:spacing w:after="0" w:line="23" w:lineRule="exact"/>
        <w:rPr>
          <w:sz w:val="20"/>
          <w:szCs w:val="20"/>
          <w:color w:val="auto"/>
        </w:rPr>
      </w:pPr>
    </w:p>
    <w:p>
      <w:pPr>
        <w:jc w:val="both"/>
        <w:ind w:left="180"/>
        <w:spacing w:after="0" w:line="268" w:lineRule="auto"/>
        <w:rPr>
          <w:sz w:val="20"/>
          <w:szCs w:val="20"/>
          <w:color w:val="auto"/>
        </w:rPr>
      </w:pPr>
      <w:r>
        <w:rPr>
          <w:rFonts w:ascii="Arial" w:cs="Arial" w:eastAsia="Arial" w:hAnsi="Arial"/>
          <w:sz w:val="17"/>
          <w:szCs w:val="17"/>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7"/>
          <w:szCs w:val="17"/>
          <w:i w:val="1"/>
          <w:iCs w:val="1"/>
          <w:color w:val="auto"/>
        </w:rPr>
        <w:t>Rammohan Complaint</w:t>
      </w:r>
      <w:r>
        <w:rPr>
          <w:rFonts w:ascii="Arial" w:cs="Arial" w:eastAsia="Arial" w:hAnsi="Arial"/>
          <w:sz w:val="17"/>
          <w:szCs w:val="17"/>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7"/>
          <w:szCs w:val="17"/>
          <w:i w:val="1"/>
          <w:iCs w:val="1"/>
          <w:color w:val="auto"/>
        </w:rPr>
        <w:t>Westerman Complaint</w:t>
      </w:r>
      <w:r>
        <w:rPr>
          <w:rFonts w:ascii="Arial" w:cs="Arial" w:eastAsia="Arial" w:hAnsi="Arial"/>
          <w:sz w:val="17"/>
          <w:szCs w:val="17"/>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7"/>
          <w:szCs w:val="17"/>
          <w:i w:val="1"/>
          <w:iCs w:val="1"/>
          <w:color w:val="auto"/>
        </w:rPr>
        <w:t>Lowe Complaint</w:t>
      </w:r>
      <w:r>
        <w:rPr>
          <w:rFonts w:ascii="Arial" w:cs="Arial" w:eastAsia="Arial" w:hAnsi="Arial"/>
          <w:sz w:val="17"/>
          <w:szCs w:val="17"/>
          <w:color w:val="auto"/>
        </w:rPr>
        <w:t>”).</w:t>
      </w:r>
    </w:p>
    <w:p>
      <w:pPr>
        <w:spacing w:after="0" w:line="181" w:lineRule="exact"/>
        <w:rPr>
          <w:sz w:val="20"/>
          <w:szCs w:val="20"/>
          <w:color w:val="auto"/>
        </w:rPr>
      </w:pPr>
    </w:p>
    <w:p>
      <w:pPr>
        <w:jc w:val="both"/>
        <w:ind w:left="180"/>
        <w:spacing w:after="0" w:line="275" w:lineRule="auto"/>
        <w:rPr>
          <w:sz w:val="20"/>
          <w:szCs w:val="20"/>
          <w:color w:val="auto"/>
        </w:rPr>
      </w:pPr>
      <w:r>
        <w:rPr>
          <w:rFonts w:ascii="Arial" w:cs="Arial" w:eastAsia="Arial" w:hAnsi="Arial"/>
          <w:sz w:val="17"/>
          <w:szCs w:val="17"/>
          <w:color w:val="auto"/>
        </w:rPr>
        <w:t xml:space="preserve">The above-mentioned derivative cases were each been transferred to Judge Gee as cases related to the Securities Action. On February 16, 2021, Judge Gee issued an order consolidating these cases under the caption </w:t>
      </w:r>
      <w:r>
        <w:rPr>
          <w:rFonts w:ascii="Arial" w:cs="Arial" w:eastAsia="Arial" w:hAnsi="Arial"/>
          <w:sz w:val="17"/>
          <w:szCs w:val="17"/>
          <w:i w:val="1"/>
          <w:iCs w:val="1"/>
          <w:color w:val="auto"/>
        </w:rPr>
        <w:t>In re Wrap Technologies, Inc. Shareholder Derivative Litigation</w:t>
      </w:r>
      <w:r>
        <w:rPr>
          <w:rFonts w:ascii="Arial" w:cs="Arial" w:eastAsia="Arial" w:hAnsi="Arial"/>
          <w:sz w:val="17"/>
          <w:szCs w:val="17"/>
          <w:color w:val="auto"/>
        </w:rPr>
        <w:t>, Case No. 2:20-10444-DMG-PVCx, (the “</w:t>
      </w:r>
      <w:r>
        <w:rPr>
          <w:rFonts w:ascii="Arial" w:cs="Arial" w:eastAsia="Arial" w:hAnsi="Arial"/>
          <w:sz w:val="17"/>
          <w:szCs w:val="17"/>
          <w:i w:val="1"/>
          <w:iCs w:val="1"/>
          <w:color w:val="auto"/>
        </w:rPr>
        <w:t>Derivative Action</w:t>
      </w:r>
      <w:r>
        <w:rPr>
          <w:rFonts w:ascii="Arial" w:cs="Arial" w:eastAsia="Arial" w:hAnsi="Arial"/>
          <w:sz w:val="17"/>
          <w:szCs w:val="17"/>
          <w:color w:val="auto"/>
        </w:rPr>
        <w:t>”), and stayed the Derivative Action pending the resolution of the motion to dismiss in the Securities Action. On March 9, 2021, the Lowe Complaint was designated as the operative complaint in the Derivative Action. As with the Securities Action, the Company believes that the Derivative Action is without merit and will vigorously defend against the claims raised therein.</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Legal Information</w:t>
      </w:r>
    </w:p>
    <w:p>
      <w:pPr>
        <w:spacing w:after="0" w:line="23" w:lineRule="exact"/>
        <w:rPr>
          <w:sz w:val="20"/>
          <w:szCs w:val="20"/>
          <w:color w:val="auto"/>
        </w:rPr>
      </w:pPr>
    </w:p>
    <w:p>
      <w:pPr>
        <w:jc w:val="both"/>
        <w:ind w:left="180"/>
        <w:spacing w:after="0" w:line="253" w:lineRule="auto"/>
        <w:rPr>
          <w:sz w:val="20"/>
          <w:szCs w:val="20"/>
          <w:color w:val="auto"/>
        </w:rPr>
      </w:pPr>
      <w:r>
        <w:rPr>
          <w:rFonts w:ascii="Arial" w:cs="Arial" w:eastAsia="Arial" w:hAnsi="Arial"/>
          <w:sz w:val="18"/>
          <w:szCs w:val="18"/>
          <w:color w:val="auto"/>
        </w:rPr>
        <w:t>The Company may at times be involved in other litigation in the ordinary course of business. The Company will, from time to time, when appropriate in management’s estimation, record adequate reserves in the Company’s consolidated financial statements for pending litigation. Currently, other than described above there are no other pending material legal proceedings to which the Company is a party or to which any of its property is subject. At September 30, 2021 the Company had no provision for liability under existing litigation.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Commencing in October 2017 the Company began reimbursing Mr. Elwood Norris, a former officer and current stockholder of the Company, $1.5 per month on a month-to-month basis for laboratory facility expense, for an aggregate of $13 during the nine months ended September 30, 2021 and 2020, respectively. Effective July 1, 2021 Mr. Norris commenced serving as a consultant to the Company and the facility rent costs continue during such consultancy.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Notes 7, 11 and 12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CUSTOMERS AND RELATED INFORMATION</w:t>
      </w:r>
    </w:p>
    <w:p>
      <w:pPr>
        <w:spacing w:after="0" w:line="229"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color w:val="auto"/>
        </w:rPr>
        <w:t>For the three months ended September 30, 2021, revenues from two distributors accounted for approximately 41% and 29% of revenues with no other single customer accounting for more than 10% of total revenues. For the three months ended September 30, 2020, revenues from one distributor accounted for approximately 49% of revenues with no other single customer accounting for more than 10% of total revenues.</w:t>
      </w:r>
    </w:p>
    <w:p>
      <w:pPr>
        <w:spacing w:after="0" w:line="165" w:lineRule="exact"/>
        <w:rPr>
          <w:sz w:val="20"/>
          <w:szCs w:val="20"/>
          <w:color w:val="auto"/>
        </w:rPr>
      </w:pPr>
    </w:p>
    <w:p>
      <w:pPr>
        <w:jc w:val="both"/>
        <w:ind w:left="180"/>
        <w:spacing w:after="0" w:line="311" w:lineRule="auto"/>
        <w:rPr>
          <w:sz w:val="20"/>
          <w:szCs w:val="20"/>
          <w:color w:val="auto"/>
        </w:rPr>
      </w:pPr>
      <w:r>
        <w:rPr>
          <w:rFonts w:ascii="Arial" w:cs="Arial" w:eastAsia="Arial" w:hAnsi="Arial"/>
          <w:sz w:val="16"/>
          <w:szCs w:val="16"/>
          <w:color w:val="auto"/>
        </w:rPr>
        <w:t>For the nine months ended September 30, 2021, revenues from two distributors accounted for approximately 27% and 21% of revenues with no other single customer accounting for more than 10% of total revenues. For the nine months ended September 30, 2020, revenues from three distributors accounted for approximately 39%, 12% and 11% of revenues with no other single customer accounting for more than 10% of total revenues.</w:t>
      </w:r>
    </w:p>
    <w:p>
      <w:pPr>
        <w:spacing w:after="0" w:line="149" w:lineRule="exact"/>
        <w:rPr>
          <w:sz w:val="20"/>
          <w:szCs w:val="20"/>
          <w:color w:val="auto"/>
        </w:rPr>
      </w:pPr>
    </w:p>
    <w:p>
      <w:pPr>
        <w:jc w:val="both"/>
        <w:ind w:left="180"/>
        <w:spacing w:after="0" w:line="263" w:lineRule="auto"/>
        <w:rPr>
          <w:sz w:val="20"/>
          <w:szCs w:val="20"/>
          <w:color w:val="auto"/>
        </w:rPr>
      </w:pPr>
      <w:r>
        <w:rPr>
          <w:rFonts w:ascii="Arial" w:cs="Arial" w:eastAsia="Arial" w:hAnsi="Arial"/>
          <w:sz w:val="18"/>
          <w:szCs w:val="18"/>
          <w:color w:val="auto"/>
        </w:rPr>
        <w:t>At September 30, 2021, accounts receivable from two distributors accounted for 45% and 22% of accounts receivable with no other single customer accounting for more than 10% of the accounts receivable balance. Two distributors accounted for 28% and 26% of accounts receivable at December 31, 2020 with no other single customer accounting for more than 10% of the accounts receivable balance.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Wrap Technologies, Inc. 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and share amounts)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summarizes revenues by geographic region. Revenues are attributed to countries based on customer’s delivery location.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Nine Months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Ended September 30,</w:t>
            </w:r>
          </w:p>
        </w:tc>
        <w:tc>
          <w:tcPr>
            <w:tcW w:w="24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Ended September 30,</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1,805</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80" w:right="340"/>
        <w:spacing w:after="0" w:line="277" w:lineRule="auto"/>
        <w:rPr>
          <w:sz w:val="20"/>
          <w:szCs w:val="20"/>
          <w:color w:val="auto"/>
        </w:rPr>
      </w:pPr>
      <w:r>
        <w:rPr>
          <w:rFonts w:ascii="Arial" w:cs="Arial" w:eastAsia="Arial" w:hAnsi="Arial"/>
          <w:sz w:val="18"/>
          <w:szCs w:val="18"/>
          <w:color w:val="auto"/>
        </w:rPr>
        <w:t>In October 2021 we released a new generation product, the BolaWrap 150. The BolaWrap 150 is electronically deployed and is more robust, smaller, lighter and simpler to deploy than the BolaWrap 100 that is being phased out.</w:t>
      </w:r>
    </w:p>
    <w:p>
      <w:pPr>
        <w:spacing w:after="0" w:line="170" w:lineRule="exact"/>
        <w:rPr>
          <w:sz w:val="20"/>
          <w:szCs w:val="20"/>
          <w:color w:val="auto"/>
        </w:rPr>
      </w:pPr>
    </w:p>
    <w:p>
      <w:pPr>
        <w:ind w:left="180" w:right="140"/>
        <w:spacing w:after="0" w:line="263" w:lineRule="auto"/>
        <w:rPr>
          <w:sz w:val="20"/>
          <w:szCs w:val="20"/>
          <w:color w:val="auto"/>
        </w:rPr>
      </w:pPr>
      <w:r>
        <w:rPr>
          <w:rFonts w:ascii="Arial" w:cs="Arial" w:eastAsia="Arial" w:hAnsi="Arial"/>
          <w:sz w:val="18"/>
          <w:szCs w:val="18"/>
          <w:color w:val="auto"/>
        </w:rPr>
        <w:t>The Company evaluated other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You should read the following discussion in conjunction with the financial statements and other financial information included elsewhere in this Quarterly Report on Form 10-Q (this </w:t>
      </w:r>
      <w:r>
        <w:rPr>
          <w:rFonts w:ascii="Arial" w:cs="Arial" w:eastAsia="Arial" w:hAnsi="Arial"/>
          <w:sz w:val="16"/>
          <w:szCs w:val="16"/>
          <w:color w:val="auto"/>
        </w:rPr>
        <w:t>“</w:t>
      </w:r>
      <w:r>
        <w:rPr>
          <w:rFonts w:ascii="Arial" w:cs="Arial" w:eastAsia="Arial" w:hAnsi="Arial"/>
          <w:sz w:val="16"/>
          <w:szCs w:val="16"/>
          <w:i w:val="1"/>
          <w:iCs w:val="1"/>
          <w:color w:val="auto"/>
        </w:rPr>
        <w:t>Report</w:t>
      </w:r>
      <w:r>
        <w:rPr>
          <w:rFonts w:ascii="Arial" w:cs="Arial" w:eastAsia="Arial" w:hAnsi="Arial"/>
          <w:sz w:val="16"/>
          <w:szCs w:val="16"/>
          <w:color w:val="auto"/>
        </w:rPr>
        <w:t>”</w:t>
      </w:r>
      <w:r>
        <w:rPr>
          <w:rFonts w:ascii="Arial" w:cs="Arial" w:eastAsia="Arial" w:hAnsi="Arial"/>
          <w:sz w:val="16"/>
          <w:szCs w:val="16"/>
          <w:i w:val="1"/>
          <w:iCs w:val="1"/>
          <w:color w:val="auto"/>
        </w:rPr>
        <w:t xml:space="preserve">) and with our audited financial statements and other information presented in our Annual Report on Form 10-K for the year ended December 31, 2020. The following discussion may contain forward-looking statements that reflect our plans, estimates and beliefs. Words such as </w:t>
      </w:r>
      <w:r>
        <w:rPr>
          <w:rFonts w:ascii="Arial" w:cs="Arial" w:eastAsia="Arial" w:hAnsi="Arial"/>
          <w:sz w:val="16"/>
          <w:szCs w:val="16"/>
          <w:color w:val="auto"/>
        </w:rPr>
        <w:t>“</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could,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w:t>
      </w:r>
      <w:r>
        <w:rPr>
          <w:rFonts w:ascii="Arial" w:cs="Arial" w:eastAsia="Arial" w:hAnsi="Arial"/>
          <w:sz w:val="16"/>
          <w:szCs w:val="16"/>
          <w:i w:val="1"/>
          <w:iCs w:val="1"/>
          <w:color w:val="auto"/>
        </w:rPr>
        <w:t xml:space="preserve">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SEC filings, including particularly matters set forth under Part I, Item 1A (Risk Factors) of our Annual Report on Form 10-K. Furthermore, such forward-looking statements speak only as of the date of this Quarterly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public safety technology and services company organized in March 2016 delivering modern policing solutions to law enforcement and security personnel. We began product sales of our first public safety product, the BolaWrap 100 remote restraint device, in late 2018. In October 2021 we released a new generation product, the BolaWrap 150. The BolaWrap 150 is electronically deployed and is more robust, smaller, lighter and simpler to deploy than the BolaWrap 100 that is being phased out.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immediate addressable domestic market for our solutions consists of approximately 900,000 full-time sworn law enforcement officers at over 15,300 federal, state and local law enforcement agencies and over 12 million police officers in over 100 countries we are targeting globally.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a market research consulting firm, we participate in a segment of the non-lethal products global market expected to grow to $11.85 billion by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services and solutions: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an eight-foot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assists law enforcement to safely and effectively control encounters early in the use of force continuum without resorting to painful force options.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law enforcement training system employing immersive computer graphics virtual reality with proprietary software-enabled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It allows up to two participants to enter a simulated training environment simultaneously, and customized weapons controllers enable trainees to engage in strategic decision making along the force continuum.</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to the United States domestic law enforcement market, we have shipped our restraint products to 50 countries. We have established an active distributor network with 14 domestic distributors representing all 50 states and Puerto Rico. We have distribution agreements with 47 international distributors. We focus significant sales, training and business development efforts to support our distribution network.</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Wrap is gaining traction as a recognized global brand, with innovative technology and an initial product foundation achieved through aggressive marketing and public relations. We believe that we have strong market opportunities for our remote restraint solution throughout the world in the law enforcement and security sectors as a result of increasing demands for less lethal policing and increasing threats posed by non-compliant subjects.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first nine months of 2021 the Company received an increased number of field reports of successful BolaWrap usage from law enforcement agencies. Many agencies consider BolaWrap as a very low level, or non-reportable, use of force option and, accordingly, many uses are not reported to us. Others are considered evidence and are also not shared. Some law enforcement agencies have shared bodycam footage of their field uses, some of which we are allowed to use in our marketing activities. We believe increased reports of avoiding escalation will help grow revenues in the future.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grew our business in the first nine months of 2021 with revenues increasing 109% from the first nine months of 2020. Third quarter revenues increased 79% over the prior year and we continue to expand our business, both domestically and internationally, through direct and distributor sales. We have a robust and growing pipeline of market opportunities for our restraint product offering and training services within the law enforcement, military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that law enforcement trainers and officers that have seen demonstrations or have been trained about our products are more supportive of their department’s purchase and deployment of product. As of September 30, 2021 over 940 agencies have received BolaWrap training with over 3,250 training officers at those agencies certified as BolaWrap instructors and qualified to train the rest of their departments. This represents a 113% increase in agencies and a 140% increase in training officers compared to December 31, 2020.</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acquisition of the NSENA, Inc. ("</w:t>
      </w:r>
      <w:r>
        <w:rPr>
          <w:rFonts w:ascii="Arial" w:cs="Arial" w:eastAsia="Arial" w:hAnsi="Arial"/>
          <w:sz w:val="17"/>
          <w:szCs w:val="17"/>
          <w:i w:val="1"/>
          <w:iCs w:val="1"/>
          <w:color w:val="auto"/>
        </w:rPr>
        <w:t>NSENA</w:t>
      </w:r>
      <w:r>
        <w:rPr>
          <w:rFonts w:ascii="Arial" w:cs="Arial" w:eastAsia="Arial" w:hAnsi="Arial"/>
          <w:sz w:val="17"/>
          <w:szCs w:val="17"/>
          <w:color w:val="auto"/>
        </w:rPr>
        <w:t>") business in December 2020 and rebranding of the NSENA business as Wrap Reality, we have continued to market our virtual reality system while working to integrate previous scenarios into a robust platform employing BolaWrap and additional de-escalation techniques into new Wrap Reality scenarios. We also seek to enhance the Wrap Reality experience through software and platform innovation. We plan to increase marketing activities for our virtual reality solution as our platform enhancements are introduced to market.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we had backlog of approximately $63 expected to be delivered in the next twelve months. We had deferred revenue of $240 expected to be recognized generally over the next five years. Distributor and customer orders for future deliveries are generally subject to modification, rescheduling or in some instances, cancellation, in the normal course of business.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second quarter of 2021, we began to wind down our production line for the BolaWrap 100 product line and in the third quarter completed a shift to a new production process for the next generation BolaWrap 150 product that required new tooling, new production equipment and processes and additional licensing. We recorded $747 of product line exit costs related to this change in production activities in the second quarter.</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Social Unrest on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continue to face significant challenges in operating and growing our business related to the global impact of the novel coronavirus (“</w:t>
      </w:r>
      <w:r>
        <w:rPr>
          <w:rFonts w:ascii="Arial" w:cs="Arial" w:eastAsia="Arial" w:hAnsi="Arial"/>
          <w:sz w:val="17"/>
          <w:szCs w:val="17"/>
          <w:i w:val="1"/>
          <w:iCs w:val="1"/>
          <w:color w:val="auto"/>
        </w:rPr>
        <w:t>COVID-19</w:t>
      </w:r>
      <w:r>
        <w:rPr>
          <w:rFonts w:ascii="Arial" w:cs="Arial" w:eastAsia="Arial" w:hAnsi="Arial"/>
          <w:sz w:val="17"/>
          <w:szCs w:val="17"/>
          <w:color w:val="auto"/>
        </w:rPr>
        <w:t>”). COVID-19 impact includes continued travel restrictions, quarantines, “stay-at-home” and “shelter-in-place” orders, shutdowns and slowdowns of certain businesses around the world and impacts on supply chains and logistics. The COVID-19 pandemic has resulted in a substantial curtailment of business activities worldwide and is causing weakened economic conditions, both in the United States and many countries abroad. As part of intensifying efforts to contain the spread of COVID-19, many companies and state, local and foreign governments continue to impose restrictions, including shelter-in-place orders and travel bans. While some of these companies and jurisdictions have started to relax such restrictions, in some cases, the restrictions are put back in place after having been lifted. These factors negatively impacted our operations and results of operations for 2020 and the first nine months of 2021. We expect that the evolving COVID-19 pandemic, associated travel restrictions and social distancing requirements, especially international, may continue to have an adverse impact on our results of operations. While the ultimate economic impact of the COVID-19 pandemic is highly uncertain, we expect that our business and results of operations, including our revenues, earnings and cash flows from operations, will be adversely impacted for at least the balance of 2021, including as a result of:</w:t>
      </w:r>
    </w:p>
    <w:p>
      <w:pPr>
        <w:spacing w:after="0" w:line="18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our ability to travel and train, especially internationally;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funding challenges for our customer base, which may adversely affect timing of anticipated contracts and new customer sales;</w:t>
      </w:r>
    </w:p>
    <w:p>
      <w:pPr>
        <w:spacing w:after="0" w:line="47" w:lineRule="exact"/>
        <w:rPr>
          <w:rFonts w:ascii="Arial" w:cs="Arial" w:eastAsia="Arial" w:hAnsi="Arial"/>
          <w:sz w:val="17"/>
          <w:szCs w:val="17"/>
          <w:color w:val="auto"/>
        </w:rPr>
      </w:pPr>
    </w:p>
    <w:p>
      <w:pPr>
        <w:ind w:left="660" w:right="70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to our supply chain caused by distribution and other logistical issues, which may further delay our ability to deliver product to customers beyond 2021; and</w:t>
      </w:r>
    </w:p>
    <w:p>
      <w:pPr>
        <w:spacing w:after="0" w:line="1"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decrease in productivity of our employees or those of our customers or suppliers due to travel bans or restrictions, work-from-home or shelter-in-place policies and orders.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may be adversely affected by continued social unrest, protests against racial inequality, protests against police brutality and movements such as “Defund the Police”. These events may directly or indirectly affect police agency budgets and funding available to current and potential customers. Participants in these events may also attempt to create the perception that our solutions are contributing to the perceived problems or ineffective as a solution, which may adversely affect us, our business and results of operations, including our revenues, earnings and cash flows from operations.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currently not possible to predict the magnitude or duration of the COVID-19 pandemic’s impact on our business or the future impact of the recent, ongoing and possible future unrest. The extent to which these events impact our business will depend on numerous evolving factors that we may not be able to control or accurately predict, including without limitation:</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and scope of the challenges created by the COVID-19 pandemic or by ongoing social unrest;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COVID-19 pandemic and social unrest on economic activity and actions taken in response;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on our customers and demand for our products and services;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sell and deliver our products and services, including as a result of travel restrictions, logistic and supply chain challenges, people working from home, or restrictions on access to our potential customers;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customers to pay for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closures of our facilities and the facilities of our customers and suppliers;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degree to which our employees or those of our customers or suppliers become ill with COVID-19.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sell our products to customers including law enforcement agencies, domestic distributors and international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such transactions is recognized in the periods that products are shipped (free on board (“</w:t>
      </w:r>
      <w:r>
        <w:rPr>
          <w:rFonts w:ascii="Arial" w:cs="Arial" w:eastAsia="Arial" w:hAnsi="Arial"/>
          <w:sz w:val="17"/>
          <w:szCs w:val="17"/>
          <w:i w:val="1"/>
          <w:iCs w:val="1"/>
          <w:color w:val="auto"/>
        </w:rPr>
        <w:t>FOB</w:t>
      </w:r>
      <w:r>
        <w:rPr>
          <w:rFonts w:ascii="Arial" w:cs="Arial" w:eastAsia="Arial" w:hAnsi="Arial"/>
          <w:sz w:val="17"/>
          <w:szCs w:val="17"/>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virtual reality software licensing or sale. Our customers do not have the right to return product unless the product is found to be defective.</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2020 and 2019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Exit Expense</w:t>
      </w:r>
      <w:r>
        <w:rPr>
          <w:rFonts w:ascii="Arial" w:cs="Arial" w:eastAsia="Arial" w:hAnsi="Arial"/>
          <w:sz w:val="18"/>
          <w:szCs w:val="18"/>
          <w:color w:val="auto"/>
        </w:rPr>
        <w:t>. Our product line exit expense included estimates of end of product life raw material write offs, costs of noncancelable raw material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orders and retirement of unamortized production tooling costs. We make these estimates based on current production plans and these judgments and estimates have an impact on our financial statements.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September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14, Major Customers and Related Information, in our financial statements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expenses include (i) selling, general and administrative expense, (ii) research and development expense, and in the most recent fiscal quarter,</w:t>
      </w:r>
    </w:p>
    <w:p>
      <w:pPr>
        <w:spacing w:after="0" w:line="46" w:lineRule="exact"/>
        <w:rPr>
          <w:sz w:val="20"/>
          <w:szCs w:val="20"/>
          <w:color w:val="auto"/>
        </w:rPr>
      </w:pPr>
    </w:p>
    <w:p>
      <w:pPr>
        <w:jc w:val="both"/>
        <w:ind w:firstLine="8"/>
        <w:spacing w:after="0" w:line="252"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 We do not expect any significant further material restructuring and other costs.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operating costs, excluding restructuring and other costs, will increase as we expand product distribution activities and expand our research and development, production, distribution, training, service and administrative functions in the near term. We may also incur substantial non-cash share-based compensation costs depending on future option and restricted stock unit grants that are impacted by stock prices and other valuation factors. Historical expenditures are not indicative of future expenditures.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32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line exit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210" w:lineRule="exact"/>
              <w:rPr>
                <w:sz w:val="20"/>
                <w:szCs w:val="20"/>
                <w:color w:val="auto"/>
              </w:rPr>
            </w:pPr>
            <w:r>
              <w:rPr>
                <w:rFonts w:ascii="Arial" w:cs="Arial" w:eastAsia="Arial" w:hAnsi="Arial"/>
                <w:sz w:val="14"/>
                <w:szCs w:val="14"/>
                <w:color w:val="auto"/>
              </w:rPr>
              <w:t>(6,019</w:t>
            </w:r>
            <w:r>
              <w:rPr>
                <w:rFonts w:ascii="Arial" w:cs="Arial" w:eastAsia="Arial" w:hAnsi="Arial"/>
                <w:sz w:val="24"/>
                <w:szCs w:val="24"/>
                <w:color w:val="auto"/>
                <w:vertAlign w:val="sub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210" w:lineRule="exact"/>
              <w:rPr>
                <w:sz w:val="20"/>
                <w:szCs w:val="20"/>
                <w:color w:val="auto"/>
              </w:rPr>
            </w:pPr>
            <w:r>
              <w:rPr>
                <w:rFonts w:ascii="Arial" w:cs="Arial" w:eastAsia="Arial" w:hAnsi="Arial"/>
                <w:sz w:val="14"/>
                <w:szCs w:val="14"/>
                <w:color w:val="auto"/>
              </w:rPr>
              <w:t>(3,863</w:t>
            </w:r>
            <w:r>
              <w:rPr>
                <w:rFonts w:ascii="Arial" w:cs="Arial" w:eastAsia="Arial" w:hAnsi="Arial"/>
                <w:sz w:val="24"/>
                <w:szCs w:val="24"/>
                <w:color w:val="auto"/>
                <w:vertAlign w:val="subscript"/>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(2,156)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reported revenue of $1,805 for the three months ended September 30, 2021 as compared to $1,007 for the quarter ended September 30, 2020, a 79% increase over the prior year. We believe our sales during the third quarter of 2021 were negatively impacted by the COVID-19 pandemic as we were limited in our ability to make product demonstrations and conduct training primarily internationally. We also believe some customers delayed purchase decisions during the quarter in anticipation of the introduction of our second generation product, the BolaWrap 150.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product promotional costs of $183 during the three months ended September 30, 2021 related primarily to the cost of demonstration and training products and accessories delivered to law enforcement agencies that were expensed as marketing costs. A total of $261 of such product marketing costs were incurred during the three months ended September 30, 2020. While we continue broad training activities our increased number of successful field uses and brand awareness reduces the need for demonstration product.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$240 of deferred revenue at September 30, 2021, of which $152 related to virtual reality training and $88 related to BolaWrap extended warranties and training services.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can substantially grow sales in future periods; however, the impact of the COVID-19 pandemic has created much uncertainty in the global marketplace by restricting our ability to travel internationally and, to a more limited extent, domestically. We are therefore unable to predict at this time whether our sales will continue to increase materially during the remainder of the fiscal year ending December 31, 2021 due to these uncertainties. Although no assurances can be given, we do believe, however, that the challenges to substantially increasing sales caused by COVID-19 will abate as the rate of vaccinations increase globally, especially given the number of BolaWrap trials currently ongoing and the current environment where non-lethal options are being widely considered by law enforcement domestically and internationally.</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we had backlog of $63 expected to be delivered in the next twelve months. Distributor and customer orders for future deliveries are generally subject to modification, rescheduling or in some instance’s cancellation in the normal course of business. Since we generally ship domestic product from inventory shortly after order period backlog generally varies depending on larger foreign orders.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cost of revenue for the three months ended September 30, 2021 was $1,094 resulting in a gross margin of 39%. The gross margin for the three months ended September 30, 2020 was 32%.</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our limited history of revenue historical margins may not be indicative of future margins. During the third quarter ended September 30, 2021, we began production of our new generation BolaWrap 150 product with different material inputs and manufacturing processes such that historical margins may not be indicative of future margins. We expect that the BolaWrap 150, after a startup period, will have higher margins than historical production. Our margins also vary based on the sales channels through which our products are sold and product mix. Currently, our cassettes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(“SG&amp;A”) expense for the three months ended September 30, 2021 increased by $1,399 when compared to the three months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largest driver of this increase was related to an increase of $624 in share-based compensation, related to incentives for management and employees.</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SG&amp;A expense increases included a $607 increase in cash compensation, recruiting and consultancy costs resulting from planned growth in personnel over the prior year and a $136 increase in public company related expense. In addition, our travel costs related to sales, demonstrations and training increased by $88 as a result of increased travel by sales and training personnel. In the third quarter of 2020, we had virtually no travel expense due to the COVID-19 pandemic and the various travel restrictions that were in place. Despite the growth in the third quarter of 2021, we are still well below historical norms for our travel expense but expect travel expense to increase as international travel restrictions ease.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SG&amp;A expense was partially offset by a $296 decrease in advertising and promotional product expense resulting from reduced demonstration product costs and a planned shift in production efforts to a new generation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increased by $1,149 for the three months ended September 30, 2021, compared to the comparable three-month period in fiscal 2020. We incurred a $132 period over period increase in non-cash share-based compensation expense allocated to research and development expense as a result of new award grants to new personnel and vesting timing. The increase in costs during the three months ended September 30, 2021 compared to the prior year included a $301 increase in cash compensation costs resulting from an increase in headcount primarily associated with product development. Outside consulting costs increased by $417 for the three months ended September 30, 2021, primarily due to costs related to the development of our next generation BolaWrap 150 product, initiatives to develop new products and increased development of virtual reality software. Prototype related costs for three months ended September 30, 2021 were $251 comparable to $274 for the prior comparable three-month period. We expect our research and development costs to increase in the future as we add staff and expand our research initiatives in response to market opportunities.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 from operations during the three months ended September 30, 2021 increased by $2,156 compared to the three months ended September 30, 2020, resulting, primarily, from increased share-based compensation and increased operating costs due to increased personnel, public company costs, research and development efforts and supporting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Nine Months Ended September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line exit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(19,256)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(10,155)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reported revenue of $5,280 for the nine months ended September 30, 2021 as compared to $2,529 for the nine months ended September 30, 2020, a 109% increase over the prior year. We believe our sales during the first nine months of 2021 were negatively impacted by the COVID-19 pandemic as we were limited in our ability to make product demonstrations and conduct training primarily internationally. We also believe some customers delayed purchase decisions during the third quarter in anticipation of the second generation product, the BolaWrap 150.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product promotional costs of $862 during the nine months ended September 30, 2021 related primarily to the cost of demonstration and training products and accessories delivered to law enforcement agencies that were expensed as marketing costs. A total of $575 of such product marketing costs were incurred during the nine months ended September 30, 2020. We are responding to increased demand for training as a result of expanded product and brand awareness and increased successful field use by agencies.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$240 of deferred revenue at September 30, 2021, of which $152 related to virtual reality training and $88 related to BolaWrap extended warranties and training services.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can substantially grow sales in future periods; however, the impact of the COVID-19 pandemic has created much uncertainty in the global marketplace by restricting our ability to travel internationally and, to a more limited extent, domestically. We are therefore unable to predict at this time whether our sales will continue to increase materially during the remainder of the fiscal year ending December 31, 2021 due to these uncertainties. Although no assurances can be given, we do believe, however, that the challenges to substantially increasing sales caused by COVID-19 will abate as the rate of vaccinations increase globally, especially given the number of BolaWrap trials currently ongoing and the current environment where non-lethal options are being widely considered by law enforcement domestically and internationally.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cost of revenue for the nine months ended September 30, 2021 was $4,023 and included $747 of restructuring inventory charge. Excluding this non-cash $747 charge, the gross margin for the nine months ended September 30, 2021 was 38%. The gross margin for the nine months ended September 30, 2020 was 34%. During the third quarter ended September 30, 2021, we began production of our new generation BolaWrap 150 product with different material inputs and manufacturing processes such that historical margins may not be indicative of future margins. We have limited warranty cost experience and estimated future warranty costs can impact our gross margins.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SG&amp;A expense for the nine months ended September 30, 2021 increased by $8,277 compared to the nine months ended September 30, 2020.</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largest driver of this increase was related to an increase of $2,329 in share-based compensation, of which $1,397 was for director compensation. The remaining $932 was incentive for management and employees.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invest in our marketing and promotion, which augments the media attention we receive from external sources, such as news broadcasts. During the first nine months of 2021, we incurred increases of $407 related to public relations initiatives and $62 related to advertising and promotional products.</w:t>
      </w:r>
    </w:p>
    <w:p>
      <w:pPr>
        <w:spacing w:after="0" w:line="18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the first nine months of 2021, our public reporting expense increased by $1,467. This includes shareholder activism costs of $818 in connection with actions by a former executive officer/shareholder seeking changes in the composition of our Board of Directors and candidates to stand for election at the 2021 Annual Shareholders’ Meeting, changes to the Executive Chairman position as well as other related matters. There were no comparable costs in 2020. This matter was settled in March 2021 and we do not expect significant additional costs during the rest of 2021.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SG&amp;A expense increases included a $2,920 increase in cash compensation, recruiting and consultancy costs resulting from our planned growth in personnel over the prior year. In addition, our travel costs related to sales, demonstrations and training increased by $339 as a result of increased travel by sales and training personnel. In the second and third quarters of 2020, we had virtually no travel due to the COVID-19 pandemic and the various travel restrictions that were in place. Despite the growth in 2021 to date, we are still well below historical norms for our travel expense but expect travel expense to increase as international travel restrictions 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 increased by $2,265 for the nine months ended September 30, 2021, compared to the comparable nine-month period in fiscal 2020. We incurred a $419 period over period increase in non-cash share-based compensation expense allocated to research and development expense as a result of new award grants to new personnel and vesting timing. The increase in costs during the nine months ended September 30, 2021 compared to the prior year included a $636 increase in cash compensation costs resulting from an increase in headcount primarily associated with product development. Outside consulting costs increased by $917 for the nine months ended September 30, 2021, primarily due to costs related to a new generation BolaWrap product, initiatives to develop new products and increased development of virtual reality scenarios. The increase in research and development expense is partially offset by the decrease of $66 relating to prototype related costs for nine months ended September 30, 2021, compared to the comparable period in 2020. We expect our research and development costs to increase in the future as we add staff and expand our research initiatives in response to market opportunities.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$19,256 loss from operations during the nine months ended September 30, 2021 increased by $10,155 compared to the nine months ended September 30, 2020, resulting, primarily, from increased share-based compensation and increased operating costs due to increased personnel, marketing and selling, public company costs and supporting activities. We also incurred a one-time non-cash product line exit expense of $747 during the period that we do not expect to recur.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net losses and negative cash flows from operations since our inception. As of September 30, 2021, we had cash and cash equivalents of $9,858, short-term investments of $30,004, positive working capital of $42,869 and had sustained cumulative losses attributable to stockholders of $44,530. We believe that our cash on hand and short-term investments will sustain our operations for at least the next twelve months from the date of this Report.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we received $13,726 of proceeds from the exercise of previously issued stock purchase warrants and from the exercise of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Due in part to the volatility caused by COVID-19, we do not have a high degree of confidence in our estimates for our future liquidity requirements or future capital needs, which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and effects of the global outbreak of the COVID-19 pandemic, and other potential pandemics or contagious diseases or fear of such outbreaks;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2021, net cash used in operating activities was $13,729. The net loss of $19,220 was decreased by non-cash expense of $5,879 consisting primarily of share-based compensation expense of $4,310, restructuring inventory charges of $747, depreciation and amortization expense of $336 and shares issued for services of $239. Other major component changes using operating cash included an increase of $1,414 in accounts receivable and an increase in inventories of $160. An increase of $773 in accounts payable and accrued expense and an increase of $224 in deferred revenue reduced the cash used in operating activities.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nine months ended September 30, 2020, net cash used in operating activities was $7,693. The net loss of $9,024 was decreased by non-cash expense of $1,771 consisting primarily of stock-based compensation expense of $1,563. Other major component changes using operating cash included an increase of $985 in accounts receivable, a $216 decrease in customer deposits and a $50 increase in prepaid expense and other current assets. A decrease of $294 in inventories and an increase of $610 in accounts payable and accrued liabilities reduced the cash used in operating activities.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nine months ended September 30, 2021, we used $30,014 of cash to purchase short-term investments and we had proceeds from maturities of short-term investments of $25,000. We purchased $25,000 of short-term investments during the nine months ended September 30, 2020.</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used $811 and $202 of cash for the purchase of property and equipment during the nine months ended September 30, 2021 and 2020, respectively. We invested $129 and $101 in patents during the nine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During the nine months ended September 30, 2021, we received $12,048 from previously issued stock purchase warrants and $1,678 in proceeds from the exercise of previously issued stock options, and repaid $275 in debt relating to the acquisition of NSENA in December 2020.</w:t>
      </w:r>
    </w:p>
    <w:p>
      <w:pPr>
        <w:spacing w:after="0" w:line="14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nine months ended September 30, 2020 we received $11,667 of net proceeds resulting from the consummation of a registered offering of our Common Stock in June 2020, and obtained $24,029 of net proceeds from the exercise of previously issued warrants and stock options. We also obtained $414 in proceeds from a U.S. Small Business Administration Promissory Note pursuant to the Paycheck Protection Program of the Coronavirus Aid, Relief, and Economic Security Act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aggregate lease payments on our facility lease of $24 in 2021 and $58 in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2021 the Company was committed for approximately $713 for future component deliveries and contract services that are generally subject to modification or rescheduling in the normal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impact on our business, revenue or operating results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period ended September 30, 2021, or subsequently thereto, that we believe are of potential significance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our principal financial officer, as of September 30, 2021 we conducted an evaluation of our disclosure controls and procedures as such term is defined under Rules 13a-15(e) and 15d-15(e) promulgated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Based on this evaluation, our principal executive officer and our principal financial officer concluded that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September 30, 2021,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Litigation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23, 2020, Carone Cobden filed a putative class action complaint against the Company, former Chief Executive Officer David Norris (“</w:t>
      </w:r>
      <w:r>
        <w:rPr>
          <w:rFonts w:ascii="Arial" w:cs="Arial" w:eastAsia="Arial" w:hAnsi="Arial"/>
          <w:sz w:val="16"/>
          <w:szCs w:val="16"/>
          <w:i w:val="1"/>
          <w:iCs w:val="1"/>
          <w:color w:val="auto"/>
        </w:rPr>
        <w:t>Norris</w:t>
      </w:r>
      <w:r>
        <w:rPr>
          <w:rFonts w:ascii="Arial" w:cs="Arial" w:eastAsia="Arial" w:hAnsi="Arial"/>
          <w:sz w:val="16"/>
          <w:szCs w:val="16"/>
          <w:color w:val="auto"/>
        </w:rPr>
        <w:t>”), Chief Financial Officer, James A. Barnes (“</w:t>
      </w:r>
      <w:r>
        <w:rPr>
          <w:rFonts w:ascii="Arial" w:cs="Arial" w:eastAsia="Arial" w:hAnsi="Arial"/>
          <w:sz w:val="16"/>
          <w:szCs w:val="16"/>
          <w:i w:val="1"/>
          <w:iCs w:val="1"/>
          <w:color w:val="auto"/>
        </w:rPr>
        <w:t>Barnes</w:t>
      </w:r>
      <w:r>
        <w:rPr>
          <w:rFonts w:ascii="Arial" w:cs="Arial" w:eastAsia="Arial" w:hAnsi="Arial"/>
          <w:sz w:val="16"/>
          <w:szCs w:val="16"/>
          <w:color w:val="auto"/>
        </w:rPr>
        <w:t>”), and President, Thomas Smith (“</w:t>
      </w:r>
      <w:r>
        <w:rPr>
          <w:rFonts w:ascii="Arial" w:cs="Arial" w:eastAsia="Arial" w:hAnsi="Arial"/>
          <w:sz w:val="16"/>
          <w:szCs w:val="16"/>
          <w:i w:val="1"/>
          <w:iCs w:val="1"/>
          <w:color w:val="auto"/>
        </w:rPr>
        <w:t>Smith</w:t>
      </w:r>
      <w:r>
        <w:rPr>
          <w:rFonts w:ascii="Arial" w:cs="Arial" w:eastAsia="Arial" w:hAnsi="Arial"/>
          <w:sz w:val="16"/>
          <w:szCs w:val="16"/>
          <w:color w:val="auto"/>
        </w:rPr>
        <w:t>”) in the United States District Court for the Central District of California, docketed as Case No. 2-20-cv-08760-DMG-PVCx (the “</w:t>
      </w:r>
      <w:r>
        <w:rPr>
          <w:rFonts w:ascii="Arial" w:cs="Arial" w:eastAsia="Arial" w:hAnsi="Arial"/>
          <w:sz w:val="16"/>
          <w:szCs w:val="16"/>
          <w:i w:val="1"/>
          <w:iCs w:val="1"/>
          <w:color w:val="auto"/>
        </w:rPr>
        <w:t>Cobden Complaint</w:t>
      </w:r>
      <w:r>
        <w:rPr>
          <w:rFonts w:ascii="Arial" w:cs="Arial" w:eastAsia="Arial" w:hAnsi="Arial"/>
          <w:sz w:val="16"/>
          <w:szCs w:val="16"/>
          <w:color w:val="auto"/>
        </w:rPr>
        <w:t>”). The Cobden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Arial" w:cs="Arial" w:eastAsia="Arial" w:hAnsi="Arial"/>
          <w:sz w:val="16"/>
          <w:szCs w:val="16"/>
          <w:i w:val="1"/>
          <w:iCs w:val="1"/>
          <w:color w:val="auto"/>
        </w:rPr>
        <w:t>BolaWrap Pilot Program</w:t>
      </w:r>
      <w:r>
        <w:rPr>
          <w:rFonts w:ascii="Arial" w:cs="Arial" w:eastAsia="Arial" w:hAnsi="Arial"/>
          <w:sz w:val="16"/>
          <w:szCs w:val="16"/>
          <w:color w:val="auto"/>
        </w:rPr>
        <w:t>”). The Cobden Complaint also alleges that the conduct of the named defendants artificially inflated the price of the Company’s traded securities, and that the disclosure of certain adverse information to the public led to a decline in the market value of the Company’s securities. The Cobden Complaint further alleges violations of Sections 10(b) and 20(a) of the Exchange Act, and Rule 10b-5 promulgated thereunder, and defines the class period as July 31, 2020 through September 23, 2020.</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 2020, Joseph Mercurio filed a second putative class action complaint against the Company, Norris, Smith, and Barnes in the same court, which contains substantially the same factual allegations and legal claims as set forth in the Cobden Complaint, and is docketed as Case No. 2-20-cv-09030-DMG-PVCx (the “</w:t>
      </w:r>
      <w:r>
        <w:rPr>
          <w:rFonts w:ascii="Arial" w:cs="Arial" w:eastAsia="Arial" w:hAnsi="Arial"/>
          <w:sz w:val="17"/>
          <w:szCs w:val="17"/>
          <w:i w:val="1"/>
          <w:iCs w:val="1"/>
          <w:color w:val="auto"/>
        </w:rPr>
        <w:t>Mercurio Complaint</w:t>
      </w:r>
      <w:r>
        <w:rPr>
          <w:rFonts w:ascii="Arial" w:cs="Arial" w:eastAsia="Arial" w:hAnsi="Arial"/>
          <w:sz w:val="17"/>
          <w:szCs w:val="17"/>
          <w:color w:val="auto"/>
        </w:rPr>
        <w:t>”). On October 15, 2020, Paula Earley filed a third putative class action complaint against the Company, Smith, Norris, Barnes, Chief Strategy Officer Mike Rothans (“Rothans”), and former Chief Executive Officer, Marc Thomas (“</w:t>
      </w:r>
      <w:r>
        <w:rPr>
          <w:rFonts w:ascii="Arial" w:cs="Arial" w:eastAsia="Arial" w:hAnsi="Arial"/>
          <w:sz w:val="17"/>
          <w:szCs w:val="17"/>
          <w:i w:val="1"/>
          <w:iCs w:val="1"/>
          <w:color w:val="auto"/>
        </w:rPr>
        <w:t>Thomas</w:t>
      </w:r>
      <w:r>
        <w:rPr>
          <w:rFonts w:ascii="Arial" w:cs="Arial" w:eastAsia="Arial" w:hAnsi="Arial"/>
          <w:sz w:val="17"/>
          <w:szCs w:val="17"/>
          <w:color w:val="auto"/>
        </w:rPr>
        <w:t>”) in the same court, which contains many of the same factual allegations and legal claims as set forth in the Cobden and Mercurio Complaints, but defines the class period as April 29, 2020 through September 23, 2020, and alleges additional false or misleading statements in connection with BolaWrap and the BolaWrap Pilot Program (the “</w:t>
      </w:r>
      <w:r>
        <w:rPr>
          <w:rFonts w:ascii="Arial" w:cs="Arial" w:eastAsia="Arial" w:hAnsi="Arial"/>
          <w:sz w:val="17"/>
          <w:szCs w:val="17"/>
          <w:i w:val="1"/>
          <w:iCs w:val="1"/>
          <w:color w:val="auto"/>
        </w:rPr>
        <w:t>Earley Complaint</w:t>
      </w:r>
      <w:r>
        <w:rPr>
          <w:rFonts w:ascii="Arial" w:cs="Arial" w:eastAsia="Arial" w:hAnsi="Arial"/>
          <w:sz w:val="17"/>
          <w:szCs w:val="17"/>
          <w:color w:val="auto"/>
        </w:rPr>
        <w:t>”). The Earley Complaint is docketed as Case No. 2-20-cv-09444-DMG-PVCx.</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November 3, 2020, the Hon. Dolly M. Gee consolidated the three above-mentioned cases under the caption </w:t>
      </w:r>
      <w:r>
        <w:rPr>
          <w:rFonts w:ascii="Arial" w:cs="Arial" w:eastAsia="Arial" w:hAnsi="Arial"/>
          <w:sz w:val="17"/>
          <w:szCs w:val="17"/>
          <w:i w:val="1"/>
          <w:iCs w:val="1"/>
          <w:color w:val="auto"/>
        </w:rPr>
        <w:t>In re Wrap Technologies, Inc.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Act Litigation</w:t>
      </w:r>
      <w:r>
        <w:rPr>
          <w:rFonts w:ascii="Arial" w:cs="Arial" w:eastAsia="Arial" w:hAnsi="Arial"/>
          <w:sz w:val="17"/>
          <w:szCs w:val="17"/>
          <w:color w:val="auto"/>
        </w:rPr>
        <w:t>, Case No. 20-8760-DMG (PVCx) (the “</w:t>
      </w:r>
      <w:r>
        <w:rPr>
          <w:rFonts w:ascii="Arial" w:cs="Arial" w:eastAsia="Arial" w:hAnsi="Arial"/>
          <w:sz w:val="17"/>
          <w:szCs w:val="17"/>
          <w:i w:val="1"/>
          <w:iCs w:val="1"/>
          <w:color w:val="auto"/>
        </w:rPr>
        <w:t>Securities Action</w:t>
      </w:r>
      <w:r>
        <w:rPr>
          <w:rFonts w:ascii="Arial" w:cs="Arial" w:eastAsia="Arial" w:hAnsi="Arial"/>
          <w:sz w:val="17"/>
          <w:szCs w:val="17"/>
          <w:color w:val="auto"/>
        </w:rPr>
        <w:t>”). On January 7, 2021, the Court appointed a lead plaintiff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Action, who designated its attorneys as lead counsel. On January 21, 2021, Judge Gee ordered that a consolidated amended complaint be filed in the Securities Action on or before March 12, 2021, with defendants’ motion to dismiss to be filed on or before April 26, 2021, and a hearing on the motion to dismiss to be held on July 23, 2021. On March 12, 2021, lead plaintiff filed an amended complaint, naming the Company, Norris, Thomas, Smith, and Barnes as defendants. Those defendants jointly filed a motion to dismiss on April 26, 2021. Briefing on the motion to dismiss is now complete, and the motion is currently under submission before Judge Gee. The Company believes that the Securities Action is without merit and will continue to vigorously defend against the claims raised therein.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13, 2020, Naresh Rammohan filed a shareholder derivative action in the United States District Court for the Central District of California against Smith, Barnes, Rothans, Thomas, Norris, and Messrs. Scot Cohen, Patrick Kinsella, Michael Parris, and Wayne Walker, alleging unjust enrichment, breach of fiduciary duty, waste of corporate assets, and contribution claims under the Securities Exchange Act of 1934, docketed as Case No. 2:20-cv-10444-DMG-PVCx (the “</w:t>
      </w:r>
      <w:r>
        <w:rPr>
          <w:rFonts w:ascii="Arial" w:cs="Arial" w:eastAsia="Arial" w:hAnsi="Arial"/>
          <w:sz w:val="17"/>
          <w:szCs w:val="17"/>
          <w:i w:val="1"/>
          <w:iCs w:val="1"/>
          <w:color w:val="auto"/>
        </w:rPr>
        <w:t>Rammohan Complaint</w:t>
      </w:r>
      <w:r>
        <w:rPr>
          <w:rFonts w:ascii="Arial" w:cs="Arial" w:eastAsia="Arial" w:hAnsi="Arial"/>
          <w:sz w:val="17"/>
          <w:szCs w:val="17"/>
          <w:color w:val="auto"/>
        </w:rPr>
        <w:t>”). The Rammohan Complaint names the Company as a nominal defendant and recites many of the allegations set forth in the Securities Action relating to the BolaWrap Pilot Program. On January 20, 2021, Ray Westerman filed a second derivative complaint in the same court against the same parties, alleging breach of fiduciary duty and contribution claims under the Securities Exchange Act of 1934, docketed as Case No. 2:21-cv-00550-DMG-PVCx (the “</w:t>
      </w:r>
      <w:r>
        <w:rPr>
          <w:rFonts w:ascii="Arial" w:cs="Arial" w:eastAsia="Arial" w:hAnsi="Arial"/>
          <w:sz w:val="17"/>
          <w:szCs w:val="17"/>
          <w:i w:val="1"/>
          <w:iCs w:val="1"/>
          <w:color w:val="auto"/>
        </w:rPr>
        <w:t>Westerman Complaint</w:t>
      </w:r>
      <w:r>
        <w:rPr>
          <w:rFonts w:ascii="Arial" w:cs="Arial" w:eastAsia="Arial" w:hAnsi="Arial"/>
          <w:sz w:val="17"/>
          <w:szCs w:val="17"/>
          <w:color w:val="auto"/>
        </w:rPr>
        <w:t>”). On January 22, 2021, Jesse Lowe filed a third derivative complaint in the same court against the same parties, alleging breach of fiduciary duty and asserting various claims under the Securities Exchange Act of 1934, docketed as Case No. 2:21-cv-00597-DMG-PVCx (the “</w:t>
      </w:r>
      <w:r>
        <w:rPr>
          <w:rFonts w:ascii="Arial" w:cs="Arial" w:eastAsia="Arial" w:hAnsi="Arial"/>
          <w:sz w:val="17"/>
          <w:szCs w:val="17"/>
          <w:i w:val="1"/>
          <w:iCs w:val="1"/>
          <w:color w:val="auto"/>
        </w:rPr>
        <w:t>Lowe Complaint</w:t>
      </w:r>
      <w:r>
        <w:rPr>
          <w:rFonts w:ascii="Arial" w:cs="Arial" w:eastAsia="Arial" w:hAnsi="Arial"/>
          <w:sz w:val="17"/>
          <w:szCs w:val="17"/>
          <w:color w:val="auto"/>
        </w:rPr>
        <w:t>”).</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above-mentioned derivative cases were each been transferred to Judge Gee as cases related to the Securities Action. On February 16, 2021, Judge Gee issued an order consolidating these cases under the caption </w:t>
      </w:r>
      <w:r>
        <w:rPr>
          <w:rFonts w:ascii="Arial" w:cs="Arial" w:eastAsia="Arial" w:hAnsi="Arial"/>
          <w:sz w:val="17"/>
          <w:szCs w:val="17"/>
          <w:i w:val="1"/>
          <w:iCs w:val="1"/>
          <w:color w:val="auto"/>
        </w:rPr>
        <w:t>In re Wrap Technologies, Inc. Shareholder Derivative Litigation</w:t>
      </w:r>
      <w:r>
        <w:rPr>
          <w:rFonts w:ascii="Arial" w:cs="Arial" w:eastAsia="Arial" w:hAnsi="Arial"/>
          <w:sz w:val="17"/>
          <w:szCs w:val="17"/>
          <w:color w:val="auto"/>
        </w:rPr>
        <w:t>, Case No. 2:20-10444-DMG-PVCx, (the “</w:t>
      </w:r>
      <w:r>
        <w:rPr>
          <w:rFonts w:ascii="Arial" w:cs="Arial" w:eastAsia="Arial" w:hAnsi="Arial"/>
          <w:sz w:val="17"/>
          <w:szCs w:val="17"/>
          <w:i w:val="1"/>
          <w:iCs w:val="1"/>
          <w:color w:val="auto"/>
        </w:rPr>
        <w:t>Derivative Action</w:t>
      </w:r>
      <w:r>
        <w:rPr>
          <w:rFonts w:ascii="Arial" w:cs="Arial" w:eastAsia="Arial" w:hAnsi="Arial"/>
          <w:sz w:val="17"/>
          <w:szCs w:val="17"/>
          <w:color w:val="auto"/>
        </w:rPr>
        <w:t>”), and stayed the Derivative Action pending the resolution of the motion to dismiss in the Securities Action. On March 9, 2021, the Lowe Complaint was designated as the operative complaint in the Derivative Action. As with the Securities Action, the Company believes that the Derivative Action is without merit and will vigorously defend against the claims raised therein.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 Information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September 30, 2021 we had no provision for liability under existing litigation.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Except as set forth below, management is not aware of any material changes to the risk factors discussed in Part 1, Item 1A, of the Annual Report on Form 10-K for the year ended December 31, 2020. In addition to the following risk factors and other information set forth in this Quarterly Report on Form 10-Q, you should carefully consider the risk factors discussed in Part 1, Item 1A, of the Annual Report on Form 10-K for the year ended December 31, 2020 and subsequent reports filed pursuant to the Exchange Act which could materially and adversely affect the Company</w:t>
      </w:r>
      <w:r>
        <w:rPr>
          <w:rFonts w:ascii="Arial" w:cs="Arial" w:eastAsia="Arial" w:hAnsi="Arial"/>
          <w:sz w:val="16"/>
          <w:szCs w:val="16"/>
          <w:color w:val="auto"/>
        </w:rPr>
        <w:t>’</w:t>
      </w:r>
      <w:r>
        <w:rPr>
          <w:rFonts w:ascii="Arial" w:cs="Arial" w:eastAsia="Arial" w:hAnsi="Arial"/>
          <w:sz w:val="16"/>
          <w:szCs w:val="16"/>
          <w:i w:val="1"/>
          <w:iCs w:val="1"/>
          <w:color w:val="auto"/>
        </w:rPr>
        <w:t>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experience difficulties in integrating and transitioning from the BolaWrap 100 to the BolaWrap 150.</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the Company's new product, the BolaWrap 150, depends on a number of factors including, but not limited to, timely and successful product development, market acceptance, the Company’s ability to manage the risks associated with new product production ramp-up issues, the effective management of purchase commitments and inventory levels in line with anticipated product demand, the availability of products in appropriate quantities and costs to meet anticipated demand, and the risk that new products may have quality or other defects or deficiencies in the early stages of introduction.</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The continued spread of COVID-19 and uncertain market conditions may adversely affect our business, financial condition and results of operations</w:t>
      </w:r>
      <w:r>
        <w:rPr>
          <w:rFonts w:ascii="Arial" w:cs="Arial" w:eastAsia="Arial" w:hAnsi="Arial"/>
          <w:sz w:val="18"/>
          <w:szCs w:val="18"/>
          <w:b w:val="1"/>
          <w:bCs w:val="1"/>
          <w:color w:val="auto"/>
        </w:rPr>
        <w:t>.</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business, operating results and financial condition could continue to be adversely affected due to the COVID-19 pandemic. The extent to which the COVID-19 continues to impact our operations or those of our third-party partners will depend on future developments, which are highly uncertain and cannot be predicted with confidence at this time, including the duration of the outbreak, new information that may emerge concerning the severity of COVID-19 and the actions to contain COVID-19 or treat its impact, among others. Any losses or damages we incur could have a material adverse effect on our financial results and our ability to conduct business as expected.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unregistered securities were issued during the three months ended September 30, 2021 that were not previously reported.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40"/>
          </w:cols>
          <w:pgMar w:left="320" w:top="125" w:right="339" w:bottom="1440" w:gutter="0" w:footer="0" w:header="0"/>
        </w:sectPr>
      </w:pPr>
    </w:p>
    <w:p>
      <w:pPr>
        <w:spacing w:after="0" w:line="229" w:lineRule="exact"/>
        <w:rPr>
          <w:sz w:val="20"/>
          <w:szCs w:val="20"/>
          <w:color w:val="auto"/>
        </w:rPr>
      </w:pPr>
    </w:p>
    <w:p>
      <w:pPr>
        <w:spacing w:after="0"/>
        <w:rPr>
          <w:rFonts w:ascii="Arial" w:cs="Arial" w:eastAsia="Arial" w:hAnsi="Arial"/>
          <w:sz w:val="17"/>
          <w:szCs w:val="17"/>
          <w:color w:val="0000FF"/>
        </w:rPr>
      </w:pPr>
      <w:hyperlink w:anchor="page35">
        <w:r>
          <w:rPr>
            <w:rFonts w:ascii="Arial" w:cs="Arial" w:eastAsia="Arial" w:hAnsi="Arial"/>
            <w:sz w:val="17"/>
            <w:szCs w:val="17"/>
            <w:color w:val="0000FF"/>
          </w:rPr>
          <w:t>Exhibit 31.1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150" cy="8890"/>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7"/>
          <w:szCs w:val="17"/>
          <w:color w:val="0000FF"/>
        </w:rPr>
      </w:pPr>
      <w:hyperlink w:anchor="page36">
        <w:r>
          <w:rPr>
            <w:rFonts w:ascii="Arial" w:cs="Arial" w:eastAsia="Arial" w:hAnsi="Arial"/>
            <w:sz w:val="17"/>
            <w:szCs w:val="17"/>
            <w:color w:val="0000FF"/>
          </w:rPr>
          <w:t>Exhibit 31.2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7"/>
          <w:szCs w:val="17"/>
          <w:color w:val="0000FF"/>
        </w:rPr>
      </w:pPr>
      <w:hyperlink w:anchor="page37">
        <w:r>
          <w:rPr>
            <w:rFonts w:ascii="Arial" w:cs="Arial" w:eastAsia="Arial" w:hAnsi="Arial"/>
            <w:sz w:val="17"/>
            <w:szCs w:val="17"/>
            <w:color w:val="0000FF"/>
          </w:rPr>
          <w:t>Exhibit 32.1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65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101.SCH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0"/>
        <w:spacing w:after="0" w:line="258" w:lineRule="auto"/>
        <w:rPr>
          <w:sz w:val="20"/>
          <w:szCs w:val="20"/>
          <w:color w:val="auto"/>
        </w:rPr>
      </w:pPr>
      <w:r>
        <w:rPr>
          <w:rFonts w:ascii="Arial" w:cs="Arial" w:eastAsia="Arial" w:hAnsi="Arial"/>
          <w:sz w:val="18"/>
          <w:szCs w:val="18"/>
          <w:color w:val="auto"/>
        </w:rPr>
        <w:t>Certification of Thomas P. Smith, Principal Executive Officer, pursuant to Rule 13a-14(a) or 15d-14(a) of the Securities and Exchange Act of 1934, as amended, as adopted pursuant to Section 302 of the Sarbanes-Oxley Act of 2002.*</w:t>
      </w:r>
    </w:p>
    <w:p>
      <w:pPr>
        <w:spacing w:after="0" w:line="1" w:lineRule="exact"/>
        <w:rPr>
          <w:sz w:val="20"/>
          <w:szCs w:val="20"/>
          <w:color w:val="auto"/>
        </w:rPr>
      </w:pPr>
    </w:p>
    <w:p>
      <w:pPr>
        <w:ind w:left="60"/>
        <w:spacing w:after="0" w:line="250" w:lineRule="auto"/>
        <w:rPr>
          <w:sz w:val="20"/>
          <w:szCs w:val="20"/>
          <w:color w:val="auto"/>
        </w:rPr>
      </w:pPr>
      <w:r>
        <w:rPr>
          <w:rFonts w:ascii="Arial" w:cs="Arial" w:eastAsia="Arial" w:hAnsi="Arial"/>
          <w:sz w:val="18"/>
          <w:szCs w:val="18"/>
          <w:color w:val="auto"/>
        </w:rPr>
        <w:t>Certification of James A. Barnes, Principal Financial Officer, pursuant to Rule 13a-14(a) or 15d-14(a) of the Securities and Exchange Act of 1934, as amended, as adopted pursuant to Section 302 of the Sarbanes-Oxley Act of 2002.*</w:t>
      </w:r>
    </w:p>
    <w:p>
      <w:pPr>
        <w:spacing w:after="0" w:line="1" w:lineRule="exact"/>
        <w:rPr>
          <w:sz w:val="20"/>
          <w:szCs w:val="20"/>
          <w:color w:val="auto"/>
        </w:rPr>
      </w:pPr>
    </w:p>
    <w:p>
      <w:pPr>
        <w:ind w:left="60"/>
        <w:spacing w:after="0" w:line="260"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executed by Thomas P. Smith, Principal Executive Officer, and James A. Barnes, Principal Financial Officer.*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Extensible Business Reporting Language (XBRL) Exhibits*</w:t>
      </w:r>
    </w:p>
    <w:p>
      <w:pPr>
        <w:spacing w:after="0" w:line="27"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 and include in Exhibit 101)</w:t>
      </w:r>
    </w:p>
    <w:p>
      <w:pPr>
        <w:spacing w:after="0" w:line="200" w:lineRule="exact"/>
        <w:rPr>
          <w:sz w:val="20"/>
          <w:szCs w:val="20"/>
          <w:color w:val="auto"/>
        </w:rPr>
      </w:pPr>
    </w:p>
    <w:p>
      <w:pPr>
        <w:sectPr>
          <w:pgSz w:w="11900" w:h="16838" w:orient="portrait"/>
          <w:cols w:equalWidth="0" w:num="2">
            <w:col w:w="900" w:space="600"/>
            <w:col w:w="9740"/>
          </w:cols>
          <w:pgMar w:left="320" w:top="12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Filed concurrently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5980" w:type="dxa"/>
            <w:vAlign w:val="bottom"/>
            <w:gridSpan w:val="3"/>
          </w:tcPr>
          <w:p>
            <w:pPr>
              <w:ind w:left="2180"/>
              <w:spacing w:after="0"/>
              <w:rPr>
                <w:sz w:val="20"/>
                <w:szCs w:val="20"/>
                <w:color w:val="auto"/>
              </w:rPr>
            </w:pPr>
            <w:r>
              <w:rPr>
                <w:rFonts w:ascii="Arial" w:cs="Arial" w:eastAsia="Arial" w:hAnsi="Arial"/>
                <w:sz w:val="18"/>
                <w:szCs w:val="18"/>
                <w:color w:val="auto"/>
              </w:rPr>
              <w:t>WRAP TECHNOLOGIES, INC.</w:t>
            </w:r>
          </w:p>
        </w:tc>
        <w:tc>
          <w:tcPr>
            <w:tcW w:w="0" w:type="dxa"/>
            <w:vAlign w:val="bottom"/>
          </w:tcPr>
          <w:p>
            <w:pPr>
              <w:spacing w:after="0"/>
              <w:rPr>
                <w:sz w:val="1"/>
                <w:szCs w:val="1"/>
                <w:color w:val="auto"/>
              </w:rPr>
            </w:pPr>
          </w:p>
        </w:tc>
      </w:tr>
      <w:tr>
        <w:trPr>
          <w:trHeight w:val="392"/>
        </w:trPr>
        <w:tc>
          <w:tcPr>
            <w:tcW w:w="3440" w:type="dxa"/>
            <w:vAlign w:val="bottom"/>
            <w:vMerge w:val="restart"/>
          </w:tcPr>
          <w:p>
            <w:pPr>
              <w:spacing w:after="0"/>
              <w:rPr>
                <w:sz w:val="20"/>
                <w:szCs w:val="20"/>
                <w:color w:val="auto"/>
              </w:rPr>
            </w:pPr>
            <w:r>
              <w:rPr>
                <w:rFonts w:ascii="Arial" w:cs="Arial" w:eastAsia="Arial" w:hAnsi="Arial"/>
                <w:sz w:val="18"/>
                <w:szCs w:val="18"/>
                <w:color w:val="auto"/>
              </w:rPr>
              <w:t>October 28, 2021</w:t>
            </w:r>
          </w:p>
        </w:tc>
        <w:tc>
          <w:tcPr>
            <w:tcW w:w="5980" w:type="dxa"/>
            <w:vAlign w:val="bottom"/>
            <w:gridSpan w:val="3"/>
          </w:tcPr>
          <w:p>
            <w:pPr>
              <w:ind w:left="2180"/>
              <w:spacing w:after="0"/>
              <w:rPr>
                <w:sz w:val="20"/>
                <w:szCs w:val="20"/>
                <w:color w:val="auto"/>
              </w:rPr>
            </w:pPr>
            <w:r>
              <w:rPr>
                <w:rFonts w:ascii="Arial" w:cs="Arial" w:eastAsia="Arial" w:hAnsi="Arial"/>
                <w:sz w:val="18"/>
                <w:szCs w:val="18"/>
                <w:color w:val="auto"/>
              </w:rPr>
              <w:t>By: /s/ JAMES A. BARNES</w:t>
            </w: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440" w:type="dxa"/>
            <w:vAlign w:val="bottom"/>
            <w:vMerge w:val="continue"/>
          </w:tcPr>
          <w:p>
            <w:pPr>
              <w:spacing w:after="0"/>
              <w:rPr>
                <w:sz w:val="11"/>
                <w:szCs w:val="11"/>
                <w:color w:val="auto"/>
              </w:rPr>
            </w:pPr>
          </w:p>
        </w:tc>
        <w:tc>
          <w:tcPr>
            <w:tcW w:w="5980" w:type="dxa"/>
            <w:vAlign w:val="bottom"/>
            <w:gridSpan w:val="3"/>
            <w:vMerge w:val="restart"/>
          </w:tcPr>
          <w:p>
            <w:pPr>
              <w:ind w:left="2500"/>
              <w:spacing w:after="0"/>
              <w:rPr>
                <w:sz w:val="20"/>
                <w:szCs w:val="20"/>
                <w:color w:val="auto"/>
              </w:rPr>
            </w:pPr>
            <w:r>
              <w:rPr>
                <w:rFonts w:ascii="Arial" w:cs="Arial" w:eastAsia="Arial" w:hAnsi="Arial"/>
                <w:sz w:val="18"/>
                <w:szCs w:val="18"/>
                <w:color w:val="auto"/>
              </w:rPr>
              <w:t>James A. Barnes</w:t>
            </w:r>
          </w:p>
        </w:tc>
        <w:tc>
          <w:tcPr>
            <w:tcW w:w="0" w:type="dxa"/>
            <w:vAlign w:val="bottom"/>
          </w:tcPr>
          <w:p>
            <w:pPr>
              <w:spacing w:after="0"/>
              <w:rPr>
                <w:sz w:val="1"/>
                <w:szCs w:val="1"/>
                <w:color w:val="auto"/>
              </w:rPr>
            </w:pPr>
          </w:p>
        </w:tc>
      </w:tr>
      <w:tr>
        <w:trPr>
          <w:trHeight w:val="94"/>
        </w:trPr>
        <w:tc>
          <w:tcPr>
            <w:tcW w:w="3440" w:type="dxa"/>
            <w:vAlign w:val="bottom"/>
          </w:tcPr>
          <w:p>
            <w:pPr>
              <w:spacing w:after="0"/>
              <w:rPr>
                <w:sz w:val="8"/>
                <w:szCs w:val="8"/>
                <w:color w:val="auto"/>
              </w:rPr>
            </w:pPr>
          </w:p>
        </w:tc>
        <w:tc>
          <w:tcPr>
            <w:tcW w:w="5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5980" w:type="dxa"/>
            <w:vAlign w:val="bottom"/>
            <w:gridSpan w:val="3"/>
          </w:tcPr>
          <w:p>
            <w:pPr>
              <w:ind w:left="2500"/>
              <w:spacing w:after="0"/>
              <w:rPr>
                <w:sz w:val="20"/>
                <w:szCs w:val="20"/>
                <w:color w:val="auto"/>
              </w:rPr>
            </w:pPr>
            <w:r>
              <w:rPr>
                <w:rFonts w:ascii="Arial" w:cs="Arial" w:eastAsia="Arial" w:hAnsi="Arial"/>
                <w:sz w:val="18"/>
                <w:szCs w:val="18"/>
                <w:color w:val="auto"/>
                <w:w w:val="90"/>
              </w:rPr>
              <w:t>Chief Financial Officer, Secretary and Treasurer</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5980" w:type="dxa"/>
            <w:vAlign w:val="bottom"/>
            <w:gridSpan w:val="3"/>
          </w:tcPr>
          <w:p>
            <w:pPr>
              <w:ind w:left="25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25" w:right="3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P. Smith,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0" w:hanging="328"/>
        <w:spacing w:after="0" w:line="223"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registrant and have:</w:t>
      </w:r>
    </w:p>
    <w:p>
      <w:pPr>
        <w:spacing w:after="0" w:line="202"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20" w:hanging="640"/>
        <w:spacing w:after="0" w:line="342" w:lineRule="auto"/>
        <w:tabs>
          <w:tab w:leader="none" w:pos="160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640"/>
        <w:spacing w:after="0" w:line="277" w:lineRule="auto"/>
        <w:tabs>
          <w:tab w:leader="none" w:pos="17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P.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A. Barnes, certify that:</w:t>
      </w:r>
    </w:p>
    <w:p>
      <w:pPr>
        <w:spacing w:after="0" w:line="225" w:lineRule="exact"/>
        <w:rPr>
          <w:sz w:val="20"/>
          <w:szCs w:val="20"/>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jc w:val="both"/>
        <w:ind w:left="740" w:hanging="327"/>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40" w:hanging="327"/>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40" w:right="20" w:hanging="327"/>
        <w:spacing w:after="0" w:line="223" w:lineRule="exact"/>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registrant and have:</w:t>
      </w:r>
    </w:p>
    <w:p>
      <w:pPr>
        <w:spacing w:after="0" w:line="202"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right="220" w:hanging="320"/>
        <w:spacing w:after="0" w:line="28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jc w:val="both"/>
        <w:ind w:left="980" w:hanging="576"/>
        <w:spacing w:after="0" w:line="263" w:lineRule="auto"/>
        <w:tabs>
          <w:tab w:leader="none" w:pos="11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620" w:right="20" w:hanging="640"/>
        <w:spacing w:after="0" w:line="342" w:lineRule="auto"/>
        <w:tabs>
          <w:tab w:leader="none" w:pos="160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hanging="640"/>
        <w:spacing w:after="0" w:line="277" w:lineRule="auto"/>
        <w:tabs>
          <w:tab w:leader="none" w:pos="170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that, to his or her knowledge, the Quarterly Report of the Company on Form 10-Q for the period ended September 30, 2021,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P.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P.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Roman"/>
      <w:start w:val="3"/>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2021-10-28T15:14:28Z</dcterms:created>
  <dcterms:modified xsi:type="dcterms:W3CDTF">2021-10-28T15:14:28Z</dcterms:modified>
</cp:coreProperties>
</file>