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293370</wp:posOffset>
            </wp:positionV>
            <wp:extent cx="7132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396240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UNITED STATES SECURITIES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ANNUAL REPORT 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2020</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2897505</wp:posOffset>
            </wp:positionH>
            <wp:positionV relativeFrom="paragraph">
              <wp:posOffset>154305</wp:posOffset>
            </wp:positionV>
            <wp:extent cx="1356360" cy="273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6360" cy="2730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Wrap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8" w:lineRule="exact"/>
        <w:rPr>
          <w:sz w:val="24"/>
          <w:szCs w:val="24"/>
          <w:color w:val="auto"/>
        </w:rPr>
      </w:pPr>
    </w:p>
    <w:tbl>
      <w:tblPr>
        <w:tblLayout w:type="fixed"/>
        <w:tblInd w:w="720" w:type="dxa"/>
        <w:tblCellMar>
          <w:top w:w="0" w:type="dxa"/>
          <w:left w:w="0" w:type="dxa"/>
          <w:bottom w:w="0" w:type="dxa"/>
          <w:right w:w="0" w:type="dxa"/>
        </w:tblCellMar>
      </w:tblPr>
      <w:tr>
        <w:trPr>
          <w:trHeight w:val="195"/>
        </w:trPr>
        <w:tc>
          <w:tcPr>
            <w:tcW w:w="17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Delaware</w:t>
            </w:r>
          </w:p>
        </w:tc>
        <w:tc>
          <w:tcPr>
            <w:tcW w:w="2800" w:type="dxa"/>
            <w:vAlign w:val="bottom"/>
          </w:tcPr>
          <w:p>
            <w:pPr>
              <w:spacing w:after="0"/>
              <w:rPr>
                <w:sz w:val="16"/>
                <w:szCs w:val="16"/>
                <w:color w:val="auto"/>
              </w:rPr>
            </w:pP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98-0551945</w:t>
            </w:r>
          </w:p>
        </w:tc>
        <w:tc>
          <w:tcPr>
            <w:tcW w:w="1000" w:type="dxa"/>
            <w:vAlign w:val="bottom"/>
          </w:tcPr>
          <w:p>
            <w:pPr>
              <w:spacing w:after="0"/>
              <w:rPr>
                <w:sz w:val="16"/>
                <w:szCs w:val="16"/>
                <w:color w:val="auto"/>
              </w:rPr>
            </w:pPr>
          </w:p>
        </w:tc>
      </w:tr>
      <w:tr>
        <w:trPr>
          <w:trHeight w:val="20"/>
        </w:trPr>
        <w:tc>
          <w:tcPr>
            <w:tcW w:w="1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4"/>
        </w:trPr>
        <w:tc>
          <w:tcPr>
            <w:tcW w:w="5240" w:type="dxa"/>
            <w:vAlign w:val="bottom"/>
            <w:gridSpan w:val="3"/>
          </w:tcPr>
          <w:p>
            <w:pPr>
              <w:jc w:val="center"/>
              <w:ind w:right="1060"/>
              <w:spacing w:after="0"/>
              <w:rPr>
                <w:sz w:val="20"/>
                <w:szCs w:val="20"/>
                <w:color w:val="auto"/>
              </w:rPr>
            </w:pPr>
            <w:r>
              <w:rPr>
                <w:rFonts w:ascii="Arial" w:cs="Arial" w:eastAsia="Arial" w:hAnsi="Arial"/>
                <w:sz w:val="17"/>
                <w:szCs w:val="17"/>
                <w:color w:val="auto"/>
                <w:w w:val="95"/>
              </w:rPr>
              <w:t>(State or other jurisdiction of incorporation or organization)</w:t>
            </w:r>
          </w:p>
        </w:tc>
        <w:tc>
          <w:tcPr>
            <w:tcW w:w="3900" w:type="dxa"/>
            <w:vAlign w:val="bottom"/>
            <w:gridSpan w:val="3"/>
          </w:tcPr>
          <w:p>
            <w:pPr>
              <w:jc w:val="center"/>
              <w:ind w:left="953"/>
              <w:spacing w:after="0"/>
              <w:rPr>
                <w:sz w:val="20"/>
                <w:szCs w:val="20"/>
                <w:color w:val="auto"/>
              </w:rPr>
            </w:pPr>
            <w:r>
              <w:rPr>
                <w:rFonts w:ascii="Arial" w:cs="Arial" w:eastAsia="Arial" w:hAnsi="Arial"/>
                <w:sz w:val="17"/>
                <w:szCs w:val="17"/>
                <w:color w:val="auto"/>
                <w:w w:val="96"/>
              </w:rPr>
              <w:t>(I.R.S. Employer Identification Number)</w:t>
            </w:r>
          </w:p>
        </w:tc>
      </w:tr>
    </w:tbl>
    <w:p>
      <w:pPr>
        <w:spacing w:after="0" w:line="20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1817 W 4th Street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u w:val="single" w:color="auto"/>
          <w:color w:val="auto"/>
        </w:rPr>
        <w:t>Tempe, Arizona 85281</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7"/>
          <w:szCs w:val="17"/>
          <w:u w:val="single" w:color="auto"/>
          <w:color w:val="auto"/>
        </w:rPr>
        <w:t>(800) 583-2652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 None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Common Stock, par value $.0001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(Title of class)</w:t>
      </w:r>
    </w:p>
    <w:p>
      <w:pPr>
        <w:spacing w:after="0" w:line="22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  ] No [X]</w:t>
      </w: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  ] No [X]</w:t>
      </w:r>
    </w:p>
    <w:p>
      <w:pPr>
        <w:spacing w:after="0" w:line="234" w:lineRule="exact"/>
        <w:rPr>
          <w:sz w:val="24"/>
          <w:szCs w:val="24"/>
          <w:color w:val="auto"/>
        </w:rPr>
      </w:pPr>
    </w:p>
    <w:p>
      <w:pPr>
        <w:jc w:val="both"/>
        <w:spacing w:after="0" w:line="280"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spacing w:after="0" w:line="28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spacing w:after="0" w:line="176" w:lineRule="exact"/>
        <w:rPr>
          <w:sz w:val="24"/>
          <w:szCs w:val="24"/>
          <w:color w:val="auto"/>
        </w:rPr>
      </w:pPr>
    </w:p>
    <w:p>
      <w:pPr>
        <w:jc w:val="both"/>
        <w:spacing w:after="0" w:line="28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ectPr>
          <w:pgSz w:w="11900" w:h="16873" w:orient="portrait"/>
          <w:cols w:equalWidth="0" w:num="1">
            <w:col w:w="11240"/>
          </w:cols>
          <w:pgMar w:left="320" w:top="703" w:right="339" w:bottom="0" w:gutter="0" w:footer="0" w:header="0"/>
        </w:sectPr>
      </w:pPr>
    </w:p>
    <w:p>
      <w:pPr>
        <w:spacing w:after="0" w:line="176" w:lineRule="exact"/>
        <w:rPr>
          <w:sz w:val="24"/>
          <w:szCs w:val="24"/>
          <w:color w:val="auto"/>
        </w:rPr>
      </w:pPr>
    </w:p>
    <w:p>
      <w:pPr>
        <w:jc w:val="both"/>
        <w:spacing w:after="0" w:line="367" w:lineRule="auto"/>
        <w:rPr>
          <w:sz w:val="20"/>
          <w:szCs w:val="20"/>
          <w:color w:val="auto"/>
        </w:rPr>
      </w:pPr>
      <w:r>
        <w:rPr>
          <w:rFonts w:ascii="Arial" w:cs="Arial" w:eastAsia="Arial" w:hAnsi="Arial"/>
          <w:sz w:val="15"/>
          <w:szCs w:val="15"/>
          <w:color w:val="auto"/>
        </w:rPr>
        <w:t>Large Accelerated Filer [ Non-accelerated filer [X]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0" w:lineRule="exact"/>
        <w:rPr>
          <w:sz w:val="24"/>
          <w:szCs w:val="24"/>
          <w:color w:val="auto"/>
        </w:rPr>
      </w:pPr>
    </w:p>
    <w:p>
      <w:pPr>
        <w:sectPr>
          <w:pgSz w:w="11900" w:h="16873" w:orient="portrait"/>
          <w:cols w:equalWidth="0" w:num="3">
            <w:col w:w="1780" w:space="120"/>
            <w:col w:w="2660" w:space="720"/>
            <w:col w:w="5960"/>
          </w:cols>
          <w:pgMar w:left="320" w:top="703" w:right="339" w:bottom="0" w:gutter="0" w:footer="0" w:header="0"/>
          <w:type w:val="continuous"/>
        </w:sectPr>
      </w:pPr>
    </w:p>
    <w:p>
      <w:pPr>
        <w:spacing w:after="0" w:line="39" w:lineRule="exact"/>
        <w:rPr>
          <w:sz w:val="24"/>
          <w:szCs w:val="24"/>
          <w:color w:val="auto"/>
        </w:rPr>
      </w:pPr>
    </w:p>
    <w:p>
      <w:pPr>
        <w:jc w:val="both"/>
        <w:spacing w:after="0" w:line="296"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3" w:lineRule="exact"/>
        <w:rPr>
          <w:sz w:val="24"/>
          <w:szCs w:val="24"/>
          <w:color w:val="auto"/>
        </w:rPr>
      </w:pPr>
    </w:p>
    <w:p>
      <w:pPr>
        <w:jc w:val="both"/>
        <w:spacing w:after="0" w:line="280" w:lineRule="auto"/>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spacing w:after="0" w:line="17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 Yes [  ] No [X]</w:t>
      </w:r>
    </w:p>
    <w:p>
      <w:pPr>
        <w:spacing w:after="0" w:line="234" w:lineRule="exact"/>
        <w:rPr>
          <w:sz w:val="24"/>
          <w:szCs w:val="24"/>
          <w:color w:val="auto"/>
        </w:rPr>
      </w:pPr>
    </w:p>
    <w:p>
      <w:pPr>
        <w:jc w:val="both"/>
        <w:spacing w:after="0" w:line="271"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on June 30, 2020 (the last business day of the registrant’s most recently completed second fiscal quarter) was $196,229,092 based on the closing price as reported on the Nasdaq Capital Market (“</w:t>
      </w:r>
      <w:r>
        <w:rPr>
          <w:rFonts w:ascii="Arial" w:cs="Arial" w:eastAsia="Arial" w:hAnsi="Arial"/>
          <w:sz w:val="17"/>
          <w:szCs w:val="17"/>
          <w:i w:val="1"/>
          <w:iCs w:val="1"/>
          <w:color w:val="auto"/>
        </w:rPr>
        <w:t>Nasdaq</w:t>
      </w:r>
      <w:r>
        <w:rPr>
          <w:rFonts w:ascii="Arial" w:cs="Arial" w:eastAsia="Arial" w:hAnsi="Arial"/>
          <w:sz w:val="17"/>
          <w:szCs w:val="17"/>
          <w:color w:val="auto"/>
        </w:rPr>
        <w:t>”).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p>
    <w:p>
      <w:pPr>
        <w:spacing w:after="0" w:line="186" w:lineRule="exact"/>
        <w:rPr>
          <w:sz w:val="24"/>
          <w:szCs w:val="24"/>
          <w:color w:val="auto"/>
        </w:rPr>
      </w:pPr>
    </w:p>
    <w:p>
      <w:pPr>
        <w:jc w:val="both"/>
        <w:spacing w:after="0" w:line="296" w:lineRule="auto"/>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 37,644,556 shares of common stock, par value $0.0001 per share, as of March 3, 2021.</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Documents Incorporated by Reference</w:t>
      </w:r>
    </w:p>
    <w:p>
      <w:pPr>
        <w:sectPr>
          <w:pgSz w:w="11900" w:h="16873" w:orient="portrait"/>
          <w:cols w:equalWidth="0" w:num="1">
            <w:col w:w="11240"/>
          </w:cols>
          <w:pgMar w:left="320" w:top="703" w:right="339" w:bottom="0" w:gutter="0" w:footer="0" w:header="0"/>
          <w:type w:val="continuous"/>
        </w:sectPr>
      </w:pPr>
    </w:p>
    <w:bookmarkStart w:id="1" w:name="page2"/>
    <w:bookmarkEnd w:id="1"/>
    <w:p>
      <w:pPr>
        <w:jc w:val="both"/>
        <w:spacing w:after="0" w:line="280" w:lineRule="auto"/>
        <w:rPr>
          <w:sz w:val="20"/>
          <w:szCs w:val="20"/>
          <w:color w:val="auto"/>
        </w:rPr>
      </w:pPr>
      <w:r>
        <w:rPr>
          <w:rFonts w:ascii="Arial" w:cs="Arial" w:eastAsia="Arial" w:hAnsi="Arial"/>
          <w:sz w:val="17"/>
          <w:szCs w:val="17"/>
          <w:color w:val="auto"/>
        </w:rPr>
        <w:t>The registrant incorporates information required by Part III (Items 10, 11, 12, 13, and 14) of this report by reference to portions of the registrant’s definitive proxy statement with respect to its 2021 Annual Meeting of Stockholders to be filed with the Securities and Exchange Commission within 120 days after the close of the fiscal year ended December 31, 2020,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193675</wp:posOffset>
            </wp:positionV>
            <wp:extent cx="7132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0" w:type="dxa"/>
            <w:vAlign w:val="bottom"/>
          </w:tcPr>
          <w:p>
            <w:pPr>
              <w:ind w:left="3860"/>
              <w:spacing w:after="0"/>
              <w:rPr>
                <w:sz w:val="20"/>
                <w:szCs w:val="20"/>
                <w:color w:val="auto"/>
              </w:rPr>
            </w:pPr>
            <w:r>
              <w:rPr>
                <w:rFonts w:ascii="Arial" w:cs="Arial" w:eastAsia="Arial" w:hAnsi="Arial"/>
                <w:sz w:val="17"/>
                <w:szCs w:val="17"/>
                <w:b w:val="1"/>
                <w:bCs w:val="1"/>
                <w:color w:val="auto"/>
              </w:rPr>
              <w:t>TABLE OF CONTENTS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620" w:type="dxa"/>
            <w:vAlign w:val="bottom"/>
          </w:tcPr>
          <w:p>
            <w:pPr>
              <w:jc w:val="center"/>
              <w:ind w:left="433"/>
              <w:spacing w:after="0"/>
              <w:rPr>
                <w:sz w:val="20"/>
                <w:szCs w:val="20"/>
                <w:color w:val="auto"/>
              </w:rPr>
            </w:pPr>
            <w:r>
              <w:rPr>
                <w:rFonts w:ascii="Arial" w:cs="Arial" w:eastAsia="Arial" w:hAnsi="Arial"/>
                <w:sz w:val="17"/>
                <w:szCs w:val="17"/>
                <w:color w:val="auto"/>
                <w:w w:val="85"/>
              </w:rPr>
              <w:t>Page</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0" w:type="dxa"/>
            <w:vAlign w:val="bottom"/>
          </w:tcPr>
          <w:p>
            <w:pPr>
              <w:jc w:val="center"/>
              <w:ind w:left="513"/>
              <w:spacing w:after="0"/>
              <w:rPr>
                <w:sz w:val="20"/>
                <w:szCs w:val="20"/>
                <w:color w:val="auto"/>
              </w:rPr>
            </w:pPr>
            <w:r>
              <w:rPr>
                <w:rFonts w:ascii="Arial" w:cs="Arial" w:eastAsia="Arial" w:hAnsi="Arial"/>
                <w:sz w:val="17"/>
                <w:szCs w:val="17"/>
                <w:b w:val="1"/>
                <w:bCs w:val="1"/>
                <w:color w:val="auto"/>
              </w:rPr>
              <w:t>PART I</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Business</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ITEM1A.</w:t>
            </w:r>
          </w:p>
        </w:tc>
        <w:tc>
          <w:tcPr>
            <w:tcW w:w="8800" w:type="dxa"/>
            <w:vAlign w:val="bottom"/>
          </w:tcPr>
          <w:p>
            <w:pPr>
              <w:ind w:left="80"/>
              <w:spacing w:after="0"/>
              <w:rPr>
                <w:sz w:val="20"/>
                <w:szCs w:val="20"/>
                <w:color w:val="auto"/>
              </w:rPr>
            </w:pPr>
            <w:r>
              <w:rPr>
                <w:rFonts w:ascii="Arial" w:cs="Arial" w:eastAsia="Arial" w:hAnsi="Arial"/>
                <w:sz w:val="17"/>
                <w:szCs w:val="17"/>
                <w:color w:val="auto"/>
              </w:rPr>
              <w:t>Risk Factors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ITEM 1B.</w:t>
            </w: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Unresolved Staff Comments</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2.</w:t>
            </w:r>
          </w:p>
        </w:tc>
        <w:tc>
          <w:tcPr>
            <w:tcW w:w="8800" w:type="dxa"/>
            <w:vAlign w:val="bottom"/>
          </w:tcPr>
          <w:p>
            <w:pPr>
              <w:ind w:left="80"/>
              <w:spacing w:after="0"/>
              <w:rPr>
                <w:sz w:val="20"/>
                <w:szCs w:val="20"/>
                <w:color w:val="auto"/>
              </w:rPr>
            </w:pPr>
            <w:r>
              <w:rPr>
                <w:rFonts w:ascii="Arial" w:cs="Arial" w:eastAsia="Arial" w:hAnsi="Arial"/>
                <w:sz w:val="17"/>
                <w:szCs w:val="17"/>
                <w:color w:val="auto"/>
              </w:rPr>
              <w:t>Properties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Legal Proceedings</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4.</w:t>
            </w:r>
          </w:p>
        </w:tc>
        <w:tc>
          <w:tcPr>
            <w:tcW w:w="8800" w:type="dxa"/>
            <w:vAlign w:val="bottom"/>
          </w:tcPr>
          <w:p>
            <w:pPr>
              <w:ind w:left="80"/>
              <w:spacing w:after="0"/>
              <w:rPr>
                <w:sz w:val="20"/>
                <w:szCs w:val="20"/>
                <w:color w:val="auto"/>
              </w:rPr>
            </w:pPr>
            <w:r>
              <w:rPr>
                <w:rFonts w:ascii="Arial" w:cs="Arial" w:eastAsia="Arial" w:hAnsi="Arial"/>
                <w:sz w:val="17"/>
                <w:szCs w:val="17"/>
                <w:color w:val="auto"/>
              </w:rPr>
              <w:t>Mine Safety Disclosures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0" w:type="dxa"/>
            <w:vAlign w:val="bottom"/>
          </w:tcPr>
          <w:p>
            <w:pPr>
              <w:jc w:val="center"/>
              <w:ind w:left="513"/>
              <w:spacing w:after="0"/>
              <w:rPr>
                <w:sz w:val="20"/>
                <w:szCs w:val="20"/>
                <w:color w:val="auto"/>
              </w:rPr>
            </w:pPr>
            <w:r>
              <w:rPr>
                <w:rFonts w:ascii="Arial" w:cs="Arial" w:eastAsia="Arial" w:hAnsi="Arial"/>
                <w:sz w:val="17"/>
                <w:szCs w:val="17"/>
                <w:b w:val="1"/>
                <w:bCs w:val="1"/>
                <w:color w:val="auto"/>
              </w:rPr>
              <w:t>PART II</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5.</w:t>
            </w:r>
          </w:p>
        </w:tc>
        <w:tc>
          <w:tcPr>
            <w:tcW w:w="8800" w:type="dxa"/>
            <w:vAlign w:val="bottom"/>
          </w:tcPr>
          <w:p>
            <w:pPr>
              <w:ind w:left="80"/>
              <w:spacing w:after="0"/>
              <w:rPr>
                <w:sz w:val="20"/>
                <w:szCs w:val="20"/>
                <w:color w:val="auto"/>
              </w:rPr>
            </w:pPr>
            <w:r>
              <w:rPr>
                <w:rFonts w:ascii="Arial" w:cs="Arial" w:eastAsia="Arial" w:hAnsi="Arial"/>
                <w:sz w:val="17"/>
                <w:szCs w:val="17"/>
                <w:color w:val="auto"/>
              </w:rPr>
              <w:t>Market for Registrant’s Common Equity, Related Stockholder Matters and Issuer Purchases of Equity Securities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ITEM 6.</w:t>
            </w: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Selected Financial Data</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7.</w:t>
            </w:r>
          </w:p>
        </w:tc>
        <w:tc>
          <w:tcPr>
            <w:tcW w:w="8800" w:type="dxa"/>
            <w:vAlign w:val="bottom"/>
          </w:tcPr>
          <w:p>
            <w:pPr>
              <w:ind w:left="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ITEM 7A.</w:t>
            </w: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Quantitative and Qualitative Disclosures about Market Risk</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8.</w:t>
            </w:r>
          </w:p>
        </w:tc>
        <w:tc>
          <w:tcPr>
            <w:tcW w:w="8800" w:type="dxa"/>
            <w:vAlign w:val="bottom"/>
          </w:tcPr>
          <w:p>
            <w:pPr>
              <w:ind w:left="80"/>
              <w:spacing w:after="0"/>
              <w:rPr>
                <w:sz w:val="20"/>
                <w:szCs w:val="20"/>
                <w:color w:val="auto"/>
              </w:rPr>
            </w:pPr>
            <w:r>
              <w:rPr>
                <w:rFonts w:ascii="Arial" w:cs="Arial" w:eastAsia="Arial" w:hAnsi="Arial"/>
                <w:sz w:val="17"/>
                <w:szCs w:val="17"/>
                <w:color w:val="auto"/>
              </w:rPr>
              <w:t>Financial Statements and Supplementary Data</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ITEM 9.</w:t>
            </w: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Changes in and Disagreement with Accountants on Accounting and Financial Disclosure</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9A.</w:t>
            </w:r>
          </w:p>
        </w:tc>
        <w:tc>
          <w:tcPr>
            <w:tcW w:w="8800" w:type="dxa"/>
            <w:vAlign w:val="bottom"/>
          </w:tcPr>
          <w:p>
            <w:pPr>
              <w:ind w:left="80"/>
              <w:spacing w:after="0"/>
              <w:rPr>
                <w:sz w:val="20"/>
                <w:szCs w:val="20"/>
                <w:color w:val="auto"/>
              </w:rPr>
            </w:pPr>
            <w:r>
              <w:rPr>
                <w:rFonts w:ascii="Arial" w:cs="Arial" w:eastAsia="Arial" w:hAnsi="Arial"/>
                <w:sz w:val="17"/>
                <w:szCs w:val="17"/>
                <w:color w:val="auto"/>
              </w:rPr>
              <w:t>Controls and Procedures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ITEM 9B.</w:t>
            </w: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Information</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0" w:type="dxa"/>
            <w:vAlign w:val="bottom"/>
          </w:tcPr>
          <w:p>
            <w:pPr>
              <w:jc w:val="center"/>
              <w:ind w:left="493"/>
              <w:spacing w:after="0"/>
              <w:rPr>
                <w:sz w:val="20"/>
                <w:szCs w:val="20"/>
                <w:color w:val="auto"/>
              </w:rPr>
            </w:pPr>
            <w:r>
              <w:rPr>
                <w:rFonts w:ascii="Arial" w:cs="Arial" w:eastAsia="Arial" w:hAnsi="Arial"/>
                <w:sz w:val="17"/>
                <w:szCs w:val="17"/>
                <w:b w:val="1"/>
                <w:bCs w:val="1"/>
                <w:color w:val="auto"/>
              </w:rPr>
              <w:t>PART III</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10.</w:t>
            </w:r>
          </w:p>
        </w:tc>
        <w:tc>
          <w:tcPr>
            <w:tcW w:w="8800" w:type="dxa"/>
            <w:vAlign w:val="bottom"/>
          </w:tcPr>
          <w:p>
            <w:pPr>
              <w:ind w:left="80"/>
              <w:spacing w:after="0"/>
              <w:rPr>
                <w:sz w:val="20"/>
                <w:szCs w:val="20"/>
                <w:color w:val="auto"/>
              </w:rPr>
            </w:pPr>
            <w:r>
              <w:rPr>
                <w:rFonts w:ascii="Arial" w:cs="Arial" w:eastAsia="Arial" w:hAnsi="Arial"/>
                <w:sz w:val="17"/>
                <w:szCs w:val="17"/>
                <w:color w:val="auto"/>
              </w:rPr>
              <w:t>Directors, Executive Officers and Corporate Governance</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ITEM 11.</w:t>
            </w: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Executive Compensation</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12.</w:t>
            </w:r>
          </w:p>
        </w:tc>
        <w:tc>
          <w:tcPr>
            <w:tcW w:w="8800" w:type="dxa"/>
            <w:vAlign w:val="bottom"/>
          </w:tcPr>
          <w:p>
            <w:pPr>
              <w:ind w:left="8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ITEM 13.</w:t>
            </w: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14.</w:t>
            </w:r>
          </w:p>
        </w:tc>
        <w:tc>
          <w:tcPr>
            <w:tcW w:w="8800" w:type="dxa"/>
            <w:vAlign w:val="bottom"/>
          </w:tcPr>
          <w:p>
            <w:pPr>
              <w:ind w:left="80"/>
              <w:spacing w:after="0"/>
              <w:rPr>
                <w:sz w:val="20"/>
                <w:szCs w:val="20"/>
                <w:color w:val="auto"/>
              </w:rPr>
            </w:pPr>
            <w:r>
              <w:rPr>
                <w:rFonts w:ascii="Arial" w:cs="Arial" w:eastAsia="Arial" w:hAnsi="Arial"/>
                <w:sz w:val="17"/>
                <w:szCs w:val="17"/>
                <w:color w:val="auto"/>
              </w:rPr>
              <w:t>Principal Accounting Fees and Services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0" w:type="dxa"/>
            <w:vAlign w:val="bottom"/>
          </w:tcPr>
          <w:p>
            <w:pPr>
              <w:jc w:val="center"/>
              <w:ind w:left="493"/>
              <w:spacing w:after="0"/>
              <w:rPr>
                <w:sz w:val="20"/>
                <w:szCs w:val="20"/>
                <w:color w:val="auto"/>
              </w:rPr>
            </w:pPr>
            <w:r>
              <w:rPr>
                <w:rFonts w:ascii="Arial" w:cs="Arial" w:eastAsia="Arial" w:hAnsi="Arial"/>
                <w:sz w:val="17"/>
                <w:szCs w:val="17"/>
                <w:b w:val="1"/>
                <w:bCs w:val="1"/>
                <w:color w:val="auto"/>
              </w:rPr>
              <w:t>PART IV</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ITEM 15.</w:t>
            </w:r>
          </w:p>
        </w:tc>
        <w:tc>
          <w:tcPr>
            <w:tcW w:w="8800" w:type="dxa"/>
            <w:vAlign w:val="bottom"/>
          </w:tcPr>
          <w:p>
            <w:pPr>
              <w:ind w:left="80"/>
              <w:spacing w:after="0"/>
              <w:rPr>
                <w:sz w:val="20"/>
                <w:szCs w:val="20"/>
                <w:color w:val="auto"/>
              </w:rPr>
            </w:pPr>
            <w:r>
              <w:rPr>
                <w:rFonts w:ascii="Arial" w:cs="Arial" w:eastAsia="Arial" w:hAnsi="Arial"/>
                <w:sz w:val="17"/>
                <w:szCs w:val="17"/>
                <w:color w:val="auto"/>
              </w:rPr>
              <w:t>Exhibits, Financial Statement Schedules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Signatures</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7"/>
                <w:szCs w:val="17"/>
                <w:color w:val="auto"/>
              </w:rPr>
              <w:t>Financial Statements</w:t>
            </w:r>
          </w:p>
        </w:tc>
        <w:tc>
          <w:tcPr>
            <w:tcW w:w="1620" w:type="dxa"/>
            <w:vAlign w:val="bottom"/>
          </w:tcPr>
          <w:p>
            <w:pPr>
              <w:jc w:val="center"/>
              <w:ind w:left="453"/>
              <w:spacing w:after="0"/>
              <w:rPr>
                <w:sz w:val="20"/>
                <w:szCs w:val="20"/>
                <w:color w:val="auto"/>
              </w:rPr>
            </w:pPr>
            <w:r>
              <w:rPr>
                <w:rFonts w:ascii="Arial" w:cs="Arial" w:eastAsia="Arial" w:hAnsi="Arial"/>
                <w:sz w:val="17"/>
                <w:szCs w:val="17"/>
                <w:color w:val="auto"/>
                <w:w w:val="93"/>
              </w:rPr>
              <w:t>F-1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In addition to historical information, this annual report on form 10-K (the “annual report”) contains forward-looking statements within the meaning of the Private Securities Litigation Reform Act of 1995 and the Company desires to take advantage of the “safe harbor” provisions thereof. Therefore, the Company is including this statement for the express purpose of availing itself of the protections of such safe harbor with respect to all of such forward-looking statements. The forward-looking statements in this report reflect the Company’s current views with respect to future events and financial performance. These forward-looking statements are subject to certain risks and uncertainties, including those discussed herein, that could cause actual results to differ materially from historical results or those anticipated. In this report, the words “anticipates,” “believes,” “expects,” “intends,” “future” and similar expressions identify forward-looking statements. Readers are cautioned to consider the specific risk factors described below and not to place undue reliance on the forward-looking statements contained herein, which speak only as of the date hereof. The Company undertakes no obligation to publicly revise these forward-looking statements to reflect events or circumstances that may arise after the date hereof.</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For purposes of this Annual Report, the terms “we,” “us,” “our” “Wrap” and the “Company” refer to Wrap Technologies, Inc. and its consolidated subsidiary.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BolaWrap and Wrap are registered trademarks in the U.S. and certain other jurisdictions. They, along with our other common law trademarks, service marks or trade names appearing in this Annual Report are the property of the Company. Other trademarks, service marks or trade names appearing in this Annual Report are the property of their owners. We do not intend our use or display of other companies’ trade names or trademarks to imply a relationship with, or endorsement or sponsorship of us by, any other companies. We have omitted the ® and ™ designations, as applicable, for the trademarks used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0"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We are a global public safety technology and services company delivering modern policing solutions to law enforcement and security personnel. We began sales of our first public safety product, the BolaWrap 100 remote restraint device, in late 2018. As an alternative to more traditional means of restraint and detainment, BolaWrap represents a breakthrough in the development of a less-lethal tool on the low end of the applied force continuum. As communities continue to ask for more compassionate and safe policing practices, BolaWrap is rapidly gaining worldwide awareness and recognition through media exposure, trade show participation, product demonstrations and word of mouth.</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our 2018 launch, Wrap's sales and marketing efforts have generated over 9,000 inquiries from domestic and international law enforcement personnel. We have demonstrated the product to over 1,000 law enforcement agencies across the country, often with media in attendance, resulting in hundreds of media reports including television and print that has increased our product and brand awareness. Successful field uses, some reported in the media, have further increased product awareness and we believe is accelerating adoption of BolaWrap as an effective de-escalation tool.</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01F1E"/>
        </w:rPr>
        <w:t>To better facilitate sales enablement, Wrap promotes hands-on demonstrations and on-site train-the-trainer courses focused on integrating the BolaWrap into an officer's toolkit of devices and soft skills. We conduct local and regional in-person, webinar and on-line demonstrations and use of force and de-escalation training to support law enforcement agencies to respond to the rapidly changing public demands for modern less-lethal policing. We do not charge for product demonstrations or training as it is an integral part of our sales and marketing activities.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01F1E"/>
        </w:rPr>
        <w:t xml:space="preserve">In December 2020, Wrap acquired NSENA, Inc. </w:t>
      </w:r>
      <w:r>
        <w:rPr>
          <w:rFonts w:ascii="Arial" w:cs="Arial" w:eastAsia="Arial" w:hAnsi="Arial"/>
          <w:sz w:val="17"/>
          <w:szCs w:val="17"/>
          <w:color w:val="000000"/>
        </w:rPr>
        <w:t>(“</w:t>
      </w:r>
      <w:r>
        <w:rPr>
          <w:rFonts w:ascii="Arial" w:cs="Arial" w:eastAsia="Arial" w:hAnsi="Arial"/>
          <w:sz w:val="17"/>
          <w:szCs w:val="17"/>
          <w:i w:val="1"/>
          <w:iCs w:val="1"/>
          <w:color w:val="000000"/>
        </w:rPr>
        <w:t>NSENA</w:t>
      </w:r>
      <w:r>
        <w:rPr>
          <w:rFonts w:ascii="Arial" w:cs="Arial" w:eastAsia="Arial" w:hAnsi="Arial"/>
          <w:sz w:val="17"/>
          <w:szCs w:val="17"/>
          <w:color w:val="000000"/>
        </w:rPr>
        <w:t>”)</w:t>
      </w:r>
      <w:r>
        <w:rPr>
          <w:rFonts w:ascii="Arial" w:cs="Arial" w:eastAsia="Arial" w:hAnsi="Arial"/>
          <w:sz w:val="17"/>
          <w:szCs w:val="17"/>
          <w:color w:val="201F1E"/>
        </w:rPr>
        <w:t>, a virtual reality-based training simulator business targeting law enforcement and corrections. We now offer our Wrap Reality branded virtual reality training system and plan to incorporate BolaWrap and enhanced de-escalation and use-of-force training in future training content. Our training foundation employing virtual reality training methods positions Wrap to become a leader in de-escalation and safer policing training.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 w:name="page5"/>
    <w:bookmarkEnd w:id="4"/>
    <w:p>
      <w:pPr>
        <w:jc w:val="both"/>
        <w:spacing w:after="0" w:line="329" w:lineRule="auto"/>
        <w:rPr>
          <w:sz w:val="20"/>
          <w:szCs w:val="20"/>
          <w:color w:val="auto"/>
        </w:rPr>
      </w:pPr>
      <w:r>
        <w:rPr>
          <w:rFonts w:ascii="Arial" w:cs="Arial" w:eastAsia="Arial" w:hAnsi="Arial"/>
          <w:sz w:val="16"/>
          <w:szCs w:val="16"/>
          <w:color w:val="auto"/>
        </w:rPr>
        <w:t>The immediate addressable domestic market for our products and virtual reality training services consists of over 15,000 agencies and 900,000 full-time sworn local, state and federal law enforcement officers in the U.S. and over 12 million police officers in over 100 countries we are targeting globally.</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efforts are aimed at establishing a global brand around “BolaWrap” and “Wrap” and building the product and services foundation for continued business growth. We have created a strong and growing pipeline of market opportunities for our restraint product offering and training services within the law enforcement, military and homeland security business sectors domestically and internationally. Social trends demanding more compassionate and safe policing practices are expected to continue to drive our global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was first established as a Delaware limited liability company in 2016, and has accomplished a number of key objectives since its founding,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00" w:type="dxa"/>
            <w:vAlign w:val="bottom"/>
            <w:gridSpan w:val="2"/>
          </w:tcPr>
          <w:p>
            <w:pPr>
              <w:spacing w:after="0"/>
              <w:rPr>
                <w:sz w:val="20"/>
                <w:szCs w:val="20"/>
                <w:color w:val="auto"/>
              </w:rPr>
            </w:pPr>
            <w:r>
              <w:rPr>
                <w:rFonts w:ascii="Arial" w:cs="Arial" w:eastAsia="Arial" w:hAnsi="Arial"/>
                <w:sz w:val="17"/>
                <w:szCs w:val="17"/>
                <w:b w:val="1"/>
                <w:bCs w:val="1"/>
                <w:color w:val="auto"/>
              </w:rPr>
              <w:t>Date</w:t>
            </w:r>
          </w:p>
        </w:tc>
        <w:tc>
          <w:tcPr>
            <w:tcW w:w="9240" w:type="dxa"/>
            <w:vAlign w:val="bottom"/>
          </w:tcPr>
          <w:p>
            <w:pPr>
              <w:ind w:left="380"/>
              <w:spacing w:after="0"/>
              <w:rPr>
                <w:sz w:val="20"/>
                <w:szCs w:val="20"/>
                <w:color w:val="auto"/>
              </w:rPr>
            </w:pPr>
            <w:r>
              <w:rPr>
                <w:rFonts w:ascii="Arial" w:cs="Arial" w:eastAsia="Arial" w:hAnsi="Arial"/>
                <w:sz w:val="17"/>
                <w:szCs w:val="17"/>
                <w:b w:val="1"/>
                <w:bCs w:val="1"/>
                <w:color w:val="auto"/>
              </w:rPr>
              <w:t>Milestone</w:t>
            </w:r>
          </w:p>
        </w:tc>
      </w:tr>
      <w:tr>
        <w:trPr>
          <w:trHeight w:val="207"/>
        </w:trPr>
        <w:tc>
          <w:tcPr>
            <w:tcW w:w="20" w:type="dxa"/>
            <w:vAlign w:val="bottom"/>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March 2, 2016</w:t>
            </w:r>
          </w:p>
        </w:tc>
        <w:tc>
          <w:tcPr>
            <w:tcW w:w="92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98"/>
              </w:rPr>
              <w:t>Organized as Wrap Technologies, LLC, a Delaware limited liability company on by our founders Elwood G. Norris, Scot</w:t>
            </w:r>
          </w:p>
        </w:tc>
      </w:tr>
      <w:tr>
        <w:trPr>
          <w:trHeight w:val="223"/>
        </w:trPr>
        <w:tc>
          <w:tcPr>
            <w:tcW w:w="2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Cohen and James A. Barnes.</w:t>
            </w:r>
          </w:p>
        </w:tc>
      </w:tr>
      <w:tr>
        <w:trPr>
          <w:trHeight w:val="215"/>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December 2016</w:t>
            </w:r>
          </w:p>
        </w:tc>
        <w:tc>
          <w:tcPr>
            <w:tcW w:w="9240" w:type="dxa"/>
            <w:vAlign w:val="bottom"/>
          </w:tcPr>
          <w:p>
            <w:pPr>
              <w:ind w:left="380"/>
              <w:spacing w:after="0"/>
              <w:rPr>
                <w:sz w:val="20"/>
                <w:szCs w:val="20"/>
                <w:color w:val="auto"/>
              </w:rPr>
            </w:pPr>
            <w:r>
              <w:rPr>
                <w:rFonts w:ascii="Arial" w:cs="Arial" w:eastAsia="Arial" w:hAnsi="Arial"/>
                <w:sz w:val="17"/>
                <w:szCs w:val="17"/>
                <w:color w:val="auto"/>
              </w:rPr>
              <w:t>Demonstrated our first prototype BolaWrap device.</w:t>
            </w:r>
          </w:p>
        </w:tc>
      </w:tr>
      <w:tr>
        <w:trPr>
          <w:trHeight w:val="215"/>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March 31, 2017</w:t>
            </w: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Reorganized as a corporation and renamed Wrap Technologies, Inc.</w:t>
            </w:r>
          </w:p>
        </w:tc>
      </w:tr>
      <w:tr>
        <w:trPr>
          <w:trHeight w:val="207"/>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November 2017</w:t>
            </w:r>
          </w:p>
        </w:tc>
        <w:tc>
          <w:tcPr>
            <w:tcW w:w="9240" w:type="dxa"/>
            <w:vAlign w:val="bottom"/>
          </w:tcPr>
          <w:p>
            <w:pPr>
              <w:ind w:left="380"/>
              <w:spacing w:after="0"/>
              <w:rPr>
                <w:sz w:val="20"/>
                <w:szCs w:val="20"/>
                <w:color w:val="auto"/>
              </w:rPr>
            </w:pPr>
            <w:r>
              <w:rPr>
                <w:rFonts w:ascii="Arial" w:cs="Arial" w:eastAsia="Arial" w:hAnsi="Arial"/>
                <w:sz w:val="17"/>
                <w:szCs w:val="17"/>
                <w:color w:val="auto"/>
                <w:w w:val="95"/>
              </w:rPr>
              <w:t>Began demonstrations and trial field deployments of our first production devices to a small number of U.S. law enforcement</w:t>
            </w:r>
          </w:p>
        </w:tc>
      </w:tr>
      <w:tr>
        <w:trPr>
          <w:trHeight w:val="222"/>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240" w:type="dxa"/>
            <w:vAlign w:val="bottom"/>
          </w:tcPr>
          <w:p>
            <w:pPr>
              <w:ind w:left="380"/>
              <w:spacing w:after="0"/>
              <w:rPr>
                <w:sz w:val="20"/>
                <w:szCs w:val="20"/>
                <w:color w:val="auto"/>
              </w:rPr>
            </w:pPr>
            <w:r>
              <w:rPr>
                <w:rFonts w:ascii="Arial" w:cs="Arial" w:eastAsia="Arial" w:hAnsi="Arial"/>
                <w:sz w:val="17"/>
                <w:szCs w:val="17"/>
                <w:color w:val="auto"/>
              </w:rPr>
              <w:t>agencies.</w:t>
            </w: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December 2017</w:t>
            </w: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6"/>
              </w:rPr>
              <w:t>Wrap became a public company by completing a self-underwritten public offering, raising gross proceeds of approximately</w:t>
            </w:r>
          </w:p>
        </w:tc>
      </w:tr>
      <w:tr>
        <w:trPr>
          <w:trHeight w:val="215"/>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6"/>
              </w:rPr>
              <w:t>$3.49 million from the sale of 2,328,533 shares of our common stock, par value $0.0001 per share (“</w:t>
            </w:r>
            <w:r>
              <w:rPr>
                <w:rFonts w:ascii="Arial" w:cs="Arial" w:eastAsia="Arial" w:hAnsi="Arial"/>
                <w:sz w:val="17"/>
                <w:szCs w:val="17"/>
                <w:i w:val="1"/>
                <w:iCs w:val="1"/>
                <w:color w:val="auto"/>
                <w:w w:val="96"/>
              </w:rPr>
              <w:t>Common Stock</w:t>
            </w:r>
            <w:r>
              <w:rPr>
                <w:rFonts w:ascii="Arial" w:cs="Arial" w:eastAsia="Arial" w:hAnsi="Arial"/>
                <w:sz w:val="17"/>
                <w:szCs w:val="17"/>
                <w:color w:val="auto"/>
                <w:w w:val="96"/>
              </w:rPr>
              <w:t>”), at a</w:t>
            </w:r>
          </w:p>
        </w:tc>
      </w:tr>
      <w:tr>
        <w:trPr>
          <w:trHeight w:val="223"/>
        </w:trPr>
        <w:tc>
          <w:tcPr>
            <w:tcW w:w="2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public offering price of $1.50 per share.</w:t>
            </w:r>
          </w:p>
        </w:tc>
      </w:tr>
      <w:tr>
        <w:trPr>
          <w:trHeight w:val="215"/>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July 31, 2018</w:t>
            </w:r>
          </w:p>
        </w:tc>
        <w:tc>
          <w:tcPr>
            <w:tcW w:w="9240" w:type="dxa"/>
            <w:vAlign w:val="bottom"/>
          </w:tcPr>
          <w:p>
            <w:pPr>
              <w:ind w:left="380"/>
              <w:spacing w:after="0"/>
              <w:rPr>
                <w:sz w:val="20"/>
                <w:szCs w:val="20"/>
                <w:color w:val="auto"/>
              </w:rPr>
            </w:pPr>
            <w:r>
              <w:rPr>
                <w:rFonts w:ascii="Arial" w:cs="Arial" w:eastAsia="Arial" w:hAnsi="Arial"/>
                <w:sz w:val="17"/>
                <w:szCs w:val="17"/>
                <w:color w:val="auto"/>
              </w:rPr>
              <w:t>First U.S. patent granted on the BolaWrap deployment system.</w:t>
            </w:r>
          </w:p>
        </w:tc>
      </w:tr>
      <w:tr>
        <w:trPr>
          <w:trHeight w:val="215"/>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October 2018</w:t>
            </w: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Wrap demonstrated our new BolaWrap green line laser to the first law enforcement agency.</w:t>
            </w:r>
          </w:p>
        </w:tc>
      </w:tr>
      <w:tr>
        <w:trPr>
          <w:trHeight w:val="215"/>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November 2018</w:t>
            </w:r>
          </w:p>
        </w:tc>
        <w:tc>
          <w:tcPr>
            <w:tcW w:w="9240" w:type="dxa"/>
            <w:vAlign w:val="bottom"/>
          </w:tcPr>
          <w:p>
            <w:pPr>
              <w:ind w:left="380"/>
              <w:spacing w:after="0"/>
              <w:rPr>
                <w:sz w:val="20"/>
                <w:szCs w:val="20"/>
                <w:color w:val="auto"/>
              </w:rPr>
            </w:pPr>
            <w:r>
              <w:rPr>
                <w:rFonts w:ascii="Arial" w:cs="Arial" w:eastAsia="Arial" w:hAnsi="Arial"/>
                <w:sz w:val="17"/>
                <w:szCs w:val="17"/>
                <w:color w:val="auto"/>
              </w:rPr>
              <w:t>First international sale of BolaWrap.</w:t>
            </w:r>
          </w:p>
        </w:tc>
      </w:tr>
      <w:tr>
        <w:trPr>
          <w:trHeight w:val="215"/>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December 2018</w:t>
            </w: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Common Stock uplisted to trade on the Nasdaq Capital Market under symbol “WRTC”.</w:t>
            </w:r>
          </w:p>
        </w:tc>
      </w:tr>
      <w:tr>
        <w:trPr>
          <w:trHeight w:val="215"/>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May 2019</w:t>
            </w:r>
          </w:p>
        </w:tc>
        <w:tc>
          <w:tcPr>
            <w:tcW w:w="9240" w:type="dxa"/>
            <w:vAlign w:val="bottom"/>
          </w:tcPr>
          <w:p>
            <w:pPr>
              <w:ind w:left="380"/>
              <w:spacing w:after="0"/>
              <w:rPr>
                <w:sz w:val="20"/>
                <w:szCs w:val="20"/>
                <w:color w:val="auto"/>
              </w:rPr>
            </w:pPr>
            <w:r>
              <w:rPr>
                <w:rFonts w:ascii="Arial" w:cs="Arial" w:eastAsia="Arial" w:hAnsi="Arial"/>
                <w:sz w:val="17"/>
                <w:szCs w:val="17"/>
                <w:color w:val="auto"/>
              </w:rPr>
              <w:t>Commenced distributing production green line laser equipped BolaWrap 100 devices and associated cartridges.</w:t>
            </w:r>
          </w:p>
        </w:tc>
      </w:tr>
      <w:tr>
        <w:trPr>
          <w:trHeight w:val="207"/>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September 2019</w:t>
            </w: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3"/>
              </w:rPr>
              <w:t>Relocated corporate headquarters from Las Vegas, Nevada to a new sales, manufacturing, training and product development</w:t>
            </w:r>
          </w:p>
        </w:tc>
      </w:tr>
      <w:tr>
        <w:trPr>
          <w:trHeight w:val="223"/>
        </w:trPr>
        <w:tc>
          <w:tcPr>
            <w:tcW w:w="2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facility in Tempe, Arizona.</w:t>
            </w:r>
          </w:p>
        </w:tc>
      </w:tr>
      <w:tr>
        <w:trPr>
          <w:trHeight w:val="215"/>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December 1, 2020</w:t>
            </w:r>
          </w:p>
        </w:tc>
        <w:tc>
          <w:tcPr>
            <w:tcW w:w="9240" w:type="dxa"/>
            <w:vAlign w:val="bottom"/>
          </w:tcPr>
          <w:p>
            <w:pPr>
              <w:ind w:left="380"/>
              <w:spacing w:after="0"/>
              <w:rPr>
                <w:sz w:val="20"/>
                <w:szCs w:val="20"/>
                <w:color w:val="auto"/>
              </w:rPr>
            </w:pPr>
            <w:r>
              <w:rPr>
                <w:rFonts w:ascii="Arial" w:cs="Arial" w:eastAsia="Arial" w:hAnsi="Arial"/>
                <w:sz w:val="17"/>
                <w:szCs w:val="17"/>
                <w:color w:val="auto"/>
              </w:rPr>
              <w:t>Changed stock symbol to “WRAP” to align with our global branding strategy.</w:t>
            </w:r>
          </w:p>
        </w:tc>
      </w:tr>
      <w:tr>
        <w:trPr>
          <w:trHeight w:val="207"/>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December 14, 2020</w:t>
            </w: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5"/>
              </w:rPr>
              <w:t>Acquired NSENA, a developer and provider of a law enforcement training platform employing immersive computer graphics</w:t>
            </w:r>
          </w:p>
        </w:tc>
      </w:tr>
      <w:tr>
        <w:trPr>
          <w:trHeight w:val="215"/>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4"/>
              </w:rPr>
              <w:t>virtual reality with proprietary software, hardware and content. We have rebranded the business as Wrap Reality and believe</w:t>
            </w:r>
          </w:p>
        </w:tc>
      </w:tr>
      <w:tr>
        <w:trPr>
          <w:trHeight w:val="223"/>
        </w:trPr>
        <w:tc>
          <w:tcPr>
            <w:tcW w:w="2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our content library is one of the largest targeting law enforcement currently consisting of 47 training modules.</w:t>
            </w:r>
          </w:p>
        </w:tc>
      </w:tr>
      <w:tr>
        <w:trPr>
          <w:trHeight w:val="428"/>
        </w:trPr>
        <w:tc>
          <w:tcPr>
            <w:tcW w:w="2000" w:type="dxa"/>
            <w:vAlign w:val="bottom"/>
            <w:gridSpan w:val="2"/>
          </w:tcPr>
          <w:p>
            <w:pPr>
              <w:spacing w:after="0"/>
              <w:rPr>
                <w:sz w:val="20"/>
                <w:szCs w:val="20"/>
                <w:color w:val="auto"/>
              </w:rPr>
            </w:pPr>
            <w:r>
              <w:rPr>
                <w:rFonts w:ascii="Arial" w:cs="Arial" w:eastAsia="Arial" w:hAnsi="Arial"/>
                <w:sz w:val="17"/>
                <w:szCs w:val="17"/>
                <w:b w:val="1"/>
                <w:bCs w:val="1"/>
                <w:color w:val="auto"/>
              </w:rPr>
              <w:t>Industry Background</w:t>
            </w:r>
          </w:p>
        </w:tc>
        <w:tc>
          <w:tcPr>
            <w:tcW w:w="9240" w:type="dxa"/>
            <w:vAlign w:val="bottom"/>
          </w:tcPr>
          <w:p>
            <w:pPr>
              <w:spacing w:after="0"/>
              <w:rPr>
                <w:sz w:val="24"/>
                <w:szCs w:val="24"/>
                <w:color w:val="auto"/>
              </w:rPr>
            </w:pPr>
          </w:p>
        </w:tc>
      </w:tr>
    </w:tbl>
    <w:p>
      <w:pPr>
        <w:spacing w:after="0" w:line="20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market for use-of-force related products and devices includes law enforcement agencies, correctional facilities, military agencies, private security guard companies and retail consumers. We believe law enforcement officials are the opinion leaders regarding market acceptance of new public safety products. We are focused on the law enforcement agency segment of the market for our BolaWrap remote restraint solution and the Wrap Reality virtual reality system.</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number of recent well-publicized national events, such as the death of George Floyd, the protesting thereafter, the Capitol riots and other publicized encounters and events throughout 2020, have highlighted some of the challenges of modern policing and emphasized the need for more hands-off, less-lethal engagements and new approaches for more extensive officer training. Police reform and reorganization of police departments have now become a topic with heightened community focus and public engagement. We believe these events will garner additional government funding and community support for new law enforcement solutions and more focused training. In conversations with industry leading organizations such as the Major City Chiefs Association (MCCA), International Association of Chiefs of Police (IACP), and others, police reform is a priority and area of focus in the new Biden-Harris administration.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7"/>
          <w:szCs w:val="17"/>
          <w:color w:val="auto"/>
        </w:rPr>
        <w:t>Currently, law enforcement agencies authorize a continuum of force options ranging from verbal commands to lethal force. Studies have concluded that most police officers never deploy lethal force in the course of their careers. Although a majority of law enforcement officers around the world are armed with firearms, only a small percentage will actually ever use them. Officers, however, use less-lethal force on a regular basis. Traditional tactics such as using a control hold, baton, club, or combat to control a suspect may result not only in a risk of injury to the suspect, but also a risk that the officer will be injured. Other force options including chemical spray, impact munitions and conducted electrical weapons (“</w:t>
      </w:r>
      <w:r>
        <w:rPr>
          <w:rFonts w:ascii="Arial" w:cs="Arial" w:eastAsia="Arial" w:hAnsi="Arial"/>
          <w:sz w:val="17"/>
          <w:szCs w:val="17"/>
          <w:i w:val="1"/>
          <w:iCs w:val="1"/>
          <w:color w:val="auto"/>
        </w:rPr>
        <w:t>CEWs”</w:t>
      </w:r>
      <w:r>
        <w:rPr>
          <w:rFonts w:ascii="Arial" w:cs="Arial" w:eastAsia="Arial" w:hAnsi="Arial"/>
          <w:sz w:val="17"/>
          <w:szCs w:val="17"/>
          <w:color w:val="auto"/>
        </w:rPr>
        <w:t>), not only risk injury, but are often controversial. Each weapon available to law enforcement has distinct advantages and disadvantages, and we believe law enforcement agencies require a variety of different tools for different situations.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believe BolaWrap is a necessary tool to meet modern policing requirements when individuals do not respond to verbal commands. At the same time the public is demanding less-lethal policing. This is even more apparent in police interactions with the mentally ill. According to a report by The State of Mental Health in America, 2018, published by The Mental Health America an estimated 40 million adults in the U.S. suffer from mental health issues. And, in a 2015 report on The Role of Mental Illness in Fatal Law Enforcement Encounters, the Treatment Advocacy Center: Office of Research &amp; Public Affairs, 7.9 million individuals have severe mental illness that affect their thinking and behavior. </w:t>
      </w:r>
      <w:r>
        <w:rPr>
          <w:rFonts w:ascii="Arial" w:cs="Arial" w:eastAsia="Arial" w:hAnsi="Arial"/>
          <w:sz w:val="16"/>
          <w:szCs w:val="16"/>
          <w:color w:val="211D1E"/>
        </w:rPr>
        <w:t>Amounting to somewhat fewer than four in every 100 adults in America,</w:t>
      </w:r>
      <w:r>
        <w:rPr>
          <w:rFonts w:ascii="Arial" w:cs="Arial" w:eastAsia="Arial" w:hAnsi="Arial"/>
          <w:sz w:val="16"/>
          <w:szCs w:val="16"/>
          <w:color w:val="auto"/>
        </w:rPr>
        <w:t xml:space="preserve"> </w:t>
      </w:r>
      <w:r>
        <w:rPr>
          <w:rFonts w:ascii="Arial" w:cs="Arial" w:eastAsia="Arial" w:hAnsi="Arial"/>
          <w:sz w:val="16"/>
          <w:szCs w:val="16"/>
          <w:color w:val="211D1E"/>
        </w:rPr>
        <w:t xml:space="preserve">individuals with severe mental illness generate no less than one in ten calls for police service and occupy at least one in five prison and jail beds in the U.S. An estimated one in three individuals transported to hospital emergency rooms in psychiatric crisis are taken there by police. </w:t>
      </w:r>
      <w:r>
        <w:rPr>
          <w:rFonts w:ascii="Arial" w:cs="Arial" w:eastAsia="Arial" w:hAnsi="Arial"/>
          <w:sz w:val="16"/>
          <w:szCs w:val="16"/>
          <w:color w:val="192B38"/>
        </w:rPr>
        <w:t>BolaWrap enables officers to safely</w:t>
      </w:r>
      <w:r>
        <w:rPr>
          <w:rFonts w:ascii="Arial" w:cs="Arial" w:eastAsia="Arial" w:hAnsi="Arial"/>
          <w:sz w:val="16"/>
          <w:szCs w:val="16"/>
          <w:color w:val="211D1E"/>
        </w:rPr>
        <w:t xml:space="preserve"> </w:t>
      </w:r>
      <w:r>
        <w:rPr>
          <w:rFonts w:ascii="Arial" w:cs="Arial" w:eastAsia="Arial" w:hAnsi="Arial"/>
          <w:sz w:val="16"/>
          <w:szCs w:val="16"/>
          <w:color w:val="192B38"/>
        </w:rPr>
        <w:t xml:space="preserve">and humanely take subjects into custody without injury to get them the help they need. </w:t>
      </w:r>
      <w:r>
        <w:rPr>
          <w:rFonts w:ascii="Arial" w:cs="Arial" w:eastAsia="Arial" w:hAnsi="Arial"/>
          <w:sz w:val="16"/>
          <w:szCs w:val="16"/>
          <w:color w:val="000000"/>
        </w:rPr>
        <w:t>BolaWrap restraint of individuals at a distance may offer reduced</w:t>
      </w:r>
      <w:r>
        <w:rPr>
          <w:rFonts w:ascii="Arial" w:cs="Arial" w:eastAsia="Arial" w:hAnsi="Arial"/>
          <w:sz w:val="16"/>
          <w:szCs w:val="16"/>
          <w:color w:val="192B38"/>
        </w:rPr>
        <w:t xml:space="preserve"> </w:t>
      </w:r>
      <w:r>
        <w:rPr>
          <w:rFonts w:ascii="Arial" w:cs="Arial" w:eastAsia="Arial" w:hAnsi="Arial"/>
          <w:sz w:val="16"/>
          <w:szCs w:val="16"/>
          <w:color w:val="000000"/>
        </w:rPr>
        <w:t>frequency of deployment of other control techniques, including CEWs, especially in encounters with the mentally ill.</w:t>
      </w:r>
    </w:p>
    <w:p>
      <w:pPr>
        <w:spacing w:after="0" w:line="17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Litigation and insurance costs involving use of force for law enforcement agencies can be significant, with settlements in the millions of dollars for many departments. Reducing the frequency of need for other use of force tools and the number of injuries and fatalities caused by law enforcement officers may reduce the number of suits filed against agencies for excessive use of force, wrongful death and injury.</w:t>
      </w:r>
    </w:p>
    <w:p>
      <w:pPr>
        <w:spacing w:after="0" w:line="176"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We believe BolaWrap may have the benefit of increasing goodwill between public safety agencies and their communities. Community relations considerations can be particularly important at a time when almost any interaction with public safety officers can be recorded and scrutinized by the media and the public.</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industry response to BolaWrap confirms the need to fill a gap between verbal commands and pain inducing compliance tools. Our goal is to equip every public safety officer with the BolaWrap remote restraint solution.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Markets</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participate in the global non-lethal market that, according to the November 2020 report by Global Market Outlook, was estimated to be $6.8 billion in 2019 and is expected to grow to $8.1 billion in 2025 even factoring the impact of COVID-19. The following segments are our target markets: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Domestic and International Law Enforcement</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Federal, state and local law enforcement agencies in the United States currently represent the primary target market for our products and services. According to the FBI’s Criminal Justice Information Services Division in 2018 there were over 800,000 local and state full-time law enforcement officers in the U.S. The U.S. Department of Justice in October 2019 reported that based on 2016 data, there were over 100,000 full-time federal officers primarily providing police protection and over 15,300 general purpose law enforcement agencies in the U.S.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Federal officers include over 37,000 customs and border patrol officers. We believe our product line can be an effective tool to safely assist in detention of individuals subject to the agency’s jurisdiction. The BolaWrap offers an additional tool for frontline agents to de-escalate encounters while effecting agent responsibilities.</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Additionally, we have estimated an addressable international market of over 12.1 million police officers in the 100 largest police forces gathered from individual country statistics outside the U.S. We delivered our first international order in 2018 and in 2019 entered into agreements with our first international distributors. Through December 31, 2020 we have sold BolaWrap products to 36 countries. We currently anticipate that sales attributable to international markets will represent the majority of our sales in the fiscal year ending December 31, 2021. Our belief is based on the fact that sales of our products within the U.S. are characterized by longer sales cycles and regulatory issues versus international sales where purchase decisions are largely centralized at the national level.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i w:val="1"/>
          <w:iCs w:val="1"/>
          <w:color w:val="auto"/>
        </w:rPr>
        <w:t>Correctional Facilities</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2005, the United States Bureau of Justice statistics (“Census of State and Federal Correctional Facilities, 2005,” U.S. Department of Justice, Bureau of Justice Statistics, published October 2008) estimated that there were 295,000 correctional officers in over 1,800 federal and state correctional facilities in the United States, therefore representing a large potential market for our products and services.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Private Security Firms and Guard Services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According to 2019 Bureau of Labor Statistics estimates (“Occupational Employment Statistics,” United States Department of Labor), there were approximately 1.1 million privately employed security guards in the U.S. They represent a broad range of individuals, including those employed by investigation and security services, hospitals, schools, local government, and others. We believe that some security personnel armed with the BolaWrap could be effective to de-escalate some encounters without eliminating other devices available today. Providing guards with the BolaWrap may reduce the potential liability of private security companies and personnel in such encounters.</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most countries private security personnel outnumbers police officers. Research produced and reported by The Guardian suggests there were over 20 million private security workers worldwide in 2017 and that global spending on private security was anticipated to exceed $240 billion in 2020. Just the ten largest target countries outside the U.S. had approximately 17 million security workers in 2017.</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Although there are use cases in private security, correctional facilities and in military policing, we are currently targeting our products and services for law enforcement. We do not currently plan a consumer version of the device.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Virtual Reality Training Market</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A2A2A"/>
        </w:rPr>
        <w:t>According to a 2019 report published by Allied Market Research, the virtual training and simulation market size was valued at $204.41 billion in 2019 and is projected to grow to $601.85 billion by 2027. Law enforcement and military are important segments of this market and the rise in awareness regarding virtual training and simulation drives market growth. Technology innovations now allow virtual reality to bring real world situations into the virtual space in a 360-degree immersion.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Wrap Products and Services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BolaWrap Remote Restraint</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BolaWrap 100 is our first remote restraint product. It is a hand-held remote restraint device that discharges an eight-foot Kevlar tether to entangle an individual at a range of 10-25 feet. Inspired by law enforcement professionals, the device allows law enforcement to safely and effectively control encounters on the low end of the applied-force continuum.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1018540</wp:posOffset>
            </wp:positionH>
            <wp:positionV relativeFrom="page">
              <wp:posOffset>361950</wp:posOffset>
            </wp:positionV>
            <wp:extent cx="5520055" cy="303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520055" cy="303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BolaWrap 100 functions by wrapping an individual’s arms and/or legs, impeding a subject from fleeing a scene, rapidly approaching an officer, or inducing harm to themselves or others. This device enables officers to safely and humanely take subjects into custody without injury in order to get them the help they need.</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small, light, but rugged BolaWrap 100 is designed to provide remote restraint while other use of force continuum options remain open. The design of the device ensures a wide device-effectiveness zone; it will impede a subject’s movement when deployed at the arms or legs. A guiding laser ensures accurate placement of the Kevlar tether, mitigating the risk of injury to subject and officer by quickly ending an encounter. Quick ejection and rapid replacement of Bola cartridges allows one device to be reused in a single encounter or in multiple encounters.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limited effective options for remote engagement, so when verbal commands are ignored, law enforcement is faced with either going “hands on” or escalating to potentially injurious less-lethal forces or a firearm. The BolaWrap 100 has shown to be effective in restraining individuals, hindering the flight ability and reducing the ability to fight, allowing effective officer action. We believe our tool is essential to meet modern policing requirements in working with subjects who are incapable of responding to verbal commands. With increased public attention paid to mental illness and implicit bias, there has also been increased agency demand for an effective non-lethal tool that does not rely on pain compliance. We believe our device minimizes the need to employ other uses of force, including hand-to-hand combat and other less-lethal weapons.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BolaWrap 100 does not rely on pain to gain compliance or electricity-enabled neuromuscular incapacitation for effectiveness. The wrapping effect is intended to impede flight while not inducing uncontrolled falls or injury. There is no issue of recovery time, as is the case with CEW, impact munitions or chemical devices. Other less-lethal weapons relying on “pain compliance” have been shown to have a largely adverse effect, often causing an incident to escalate into one causing injury to both subjects and officers.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spend significant resources training law enforcement on the safe and effective use of the BolaWrap 100 in conjunction with de-escalation and apprehension techniques. However, like any restraining action, injuries may result from the use of BolaWrap or as a consequence of its use. Our training includes primary use cases that fall into the three broad categories routinely encountered by law enforcement and security personnel:</w:t>
      </w:r>
    </w:p>
    <w:p>
      <w:pPr>
        <w:spacing w:after="0" w:line="176" w:lineRule="exact"/>
        <w:rPr>
          <w:sz w:val="20"/>
          <w:szCs w:val="20"/>
          <w:color w:val="auto"/>
        </w:rPr>
      </w:pPr>
    </w:p>
    <w:p>
      <w:pPr>
        <w:jc w:val="both"/>
        <w:ind w:left="660" w:hanging="330"/>
        <w:spacing w:after="0" w:line="26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remotely restrain and limit the mobility of an individual who is experiencing a mental health crisis, narcotics-induced psychosis, or other condition rendering them incapable of responding to law enforcement’s verbal commands but that presents a danger to law enforcement, the public or themselves if not restrained;</w:t>
      </w:r>
    </w:p>
    <w:p>
      <w:pPr>
        <w:spacing w:after="0" w:line="1" w:lineRule="exact"/>
        <w:rPr>
          <w:rFonts w:ascii="Arial" w:cs="Arial" w:eastAsia="Arial" w:hAnsi="Arial"/>
          <w:sz w:val="17"/>
          <w:szCs w:val="17"/>
          <w:color w:val="auto"/>
        </w:rPr>
      </w:pPr>
    </w:p>
    <w:p>
      <w:pPr>
        <w:ind w:left="660" w:hanging="330"/>
        <w:spacing w:after="0" w:line="26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remotely restrain and limit the mobility of an individual attempting to evade arrest or questioning, as well as individuals ignoring verbal commands from law enforcement. These individuals are commonly referred to as passively resistant or non-compliant; and</w:t>
      </w:r>
    </w:p>
    <w:p>
      <w:pPr>
        <w:spacing w:after="0" w:line="1" w:lineRule="exact"/>
        <w:rPr>
          <w:rFonts w:ascii="Arial" w:cs="Arial" w:eastAsia="Arial" w:hAnsi="Arial"/>
          <w:sz w:val="17"/>
          <w:szCs w:val="17"/>
          <w:color w:val="auto"/>
        </w:rPr>
      </w:pPr>
    </w:p>
    <w:p>
      <w:pPr>
        <w:ind w:left="660" w:hanging="330"/>
        <w:spacing w:after="0" w:line="287"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assist in subduing individuals actively resisting arrest by limiting mobility, possibly making other engagement options less risky to officers and less injurious to individuals.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74" w:lineRule="auto"/>
        <w:rPr>
          <w:sz w:val="20"/>
          <w:szCs w:val="20"/>
          <w:color w:val="auto"/>
        </w:rPr>
      </w:pPr>
      <w:r>
        <w:rPr>
          <w:rFonts w:ascii="Arial" w:cs="Arial" w:eastAsia="Arial" w:hAnsi="Arial"/>
          <w:sz w:val="17"/>
          <w:szCs w:val="17"/>
          <w:color w:val="auto"/>
        </w:rPr>
        <w:t>Law enforcement encounters with the mentally ill or those suffering a mental health crisis present a difficult challenge, often generating public controversy and costly consequences. According to the Treatment Advocacy Center: Office of Research &amp; Public Affairs in a 2015 report on The Role of Mental Illness in Fatal Law Enforcement Encounters, one in ten police encounters involve the mentally ill and a minimum of one in four fatal police encounters involve the mentally ill.</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Early reports from a number of field deployments by law enforcement agencies during 2019 and 2020, on stationary as well as moving targets, have been encouraging and we expect additional use data in 2021. A field deployment is generally considered ‘successful’ by law enforcement agencies if compliance is achieved, and no additional force is required after the BolaWrap is exposed or used. Agencies have reported achieving compliance by utilizing the BolaWrap in the following ways:</w:t>
      </w:r>
    </w:p>
    <w:p>
      <w:pPr>
        <w:spacing w:after="0" w:line="182" w:lineRule="exact"/>
        <w:rPr>
          <w:sz w:val="20"/>
          <w:szCs w:val="20"/>
          <w:color w:val="auto"/>
        </w:rPr>
      </w:pPr>
    </w:p>
    <w:p>
      <w:pPr>
        <w:ind w:left="660" w:hanging="330"/>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By pointing the BolaWrap’s green line laser at the suspect in conjunction with verbal commands</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Via the loud sound emitted by the BolaWrap upon deployment</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Through the impact and/or restraint of the Kevlar cord around the suspect</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When used in conjunction with other less-lethal tools</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request that all agencies fill out a Use of Device Report when the BolaWrap is used during an encounter in the field. However, not all field deployments are reported to us by law enforcement agencies, as many consider the deployment of the BolaWrap to be low level that does not constitute a reportable use of force. Some deployments to date have been captured on bodycam and shared with the public. Others were reported by the agency or the media but were not captured on bodycam. As more agencies adopt the BolaWrap onto their duty belts, we believe we will continue to see an increase in the rate of field deployments, which we anticipate will contribute to further adoption of the device by law enforcement worldwide.</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unable to predict the market acceptance of BolaWrap products or the level of future sales. We believe we can grow orders and shipments during 2021. We plan to extend the product line with additional models and features in the future. However, there can be no assurance of the timing or quantity of orders or sales in future periods. See “Risk Factors” included below in this Annual Report for additional information regarding risks and uncertainties associated with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Wrap Reality</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2019, we partnered with an independent technology company to scope and configure a virtual reality system and developed training scenarios using BolaWrap. We used the system and scenarios during two large trade shows in October and November 2019. In December 2019 we installed a system in our Tempe training facility being used for demonstrations and training. During 2020, we outlined situations and contracted for additional virtual reality scenarios that we received in January 2021.</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December 2020 we acquired NSENA Inc. (“</w:t>
      </w:r>
      <w:r>
        <w:rPr>
          <w:rFonts w:ascii="Arial" w:cs="Arial" w:eastAsia="Arial" w:hAnsi="Arial"/>
          <w:sz w:val="16"/>
          <w:szCs w:val="16"/>
          <w:i w:val="1"/>
          <w:iCs w:val="1"/>
          <w:color w:val="auto"/>
        </w:rPr>
        <w:t>NSENA</w:t>
      </w:r>
      <w:r>
        <w:rPr>
          <w:rFonts w:ascii="Arial" w:cs="Arial" w:eastAsia="Arial" w:hAnsi="Arial"/>
          <w:sz w:val="16"/>
          <w:szCs w:val="16"/>
          <w:color w:val="auto"/>
        </w:rPr>
        <w:t>”), a developer and provider of a law enforcement training system employing immersive computer graphics virtual reality with proprietary software-enabled content. The NSENA system leverages high-quality enterprise head-mounted devices (HMDs) and a high-GPU gaming personal computer to power proprietary software. We have rebranded the system, software and business as Wrap Reality and believe our content library is one of the largest targeting law enforcement currently consisting of 47 training scenarios. Wrap Reality’s scenarios were developed by and for police officers and cover a wide array of skills and scenarios including de-escalation, conflict resolution and all levels of use-of-force.</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Wrap Reality takes advantage of the most advanced virtual reality hardware available. The Wrap Reality system allows up to two participants to enter the simulated training environment simultaneously, and customized weapons controllers enable trainees to engage in strategic decision making along the force continuum.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9" w:name="page10"/>
    <w:bookmarkEnd w:id="9"/>
    <w:p>
      <w:pPr>
        <w:jc w:val="both"/>
        <w:ind w:right="20"/>
        <w:spacing w:after="0" w:line="280" w:lineRule="auto"/>
        <w:rPr>
          <w:sz w:val="20"/>
          <w:szCs w:val="20"/>
          <w:color w:val="auto"/>
        </w:rPr>
      </w:pPr>
      <w:r>
        <w:rPr>
          <w:rFonts w:ascii="Arial" w:cs="Arial" w:eastAsia="Arial" w:hAnsi="Arial"/>
          <w:sz w:val="17"/>
          <w:szCs w:val="17"/>
          <w:color w:val="auto"/>
        </w:rPr>
        <w:t>While we are marketing and selling the current Wrap Reality system, we plan to integrate previous scenarios into a robust platform integrated with BolaWrap and additional de-escalation techniques into new Wrap Reality scenarios. We also seek to enhance the Wrap Reality experience through software and platform innovation.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Wrap Armor</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designed, tested and obtained independent certification for our Wrap Armor labeled 20” x 30” rifle rated police shield and a pistol rated patrol shield. In April 2020 we delivered our first order of Wrap Armor shields. We believe our strong and light National Institute of Justice 0108.01 Type III (High Powered Rifle) compliant tactical shield offers police agencies an affordable defense against increasingly sophisticated threats. We are currently evaluating and testing additional models and sizes, securing sources of supply and determining the sales and marketing resources to be allocated to market this product line. We have not yet developed our plans for this or similar shield products.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Marketing and Training</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sales, marketing and training organizations work together closely to drive revenue growth by enhancing market awareness of our solutions, generating leads, building a strong sales pipeline and cultivating customer and distributor relationships.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Law enforcement agencies represent our primary target market. In this market, we expect that the decision to purchase BolaWrap product and accessories will normally be made by a group of people including the agency head, his/her training staff, and use of force and weapons experts. The decision sometimes involves political decision-makers, such as city council members and various committees. Although we expect the decision-making process for a remote restraint device will be less complicated than that for other less-lethal products such as CEWs, the process may take as little as a few weeks or as long as a year or more partially due to budgeting reasons and other distractions of agencies. For instance, during the summer of 2020, the U.S. had a significant number of protests in many major cities, which took agency time away from proactive planning actions.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employ demonstrations as a primary sales step with demonstrations scheduled from the over 9,000 law enforcement leads created by our marketing activities since 2018. Demonstrations are generally followed by delivery of product for test and evaluation and training with selected agencies. Some of these deliveries are paid sales and some are issued as an incentive, with the goal and expectation of larger future sales of devices and cartridges. In 2019 and 2020, we demonstrated to more than 250 agencies and 690 agencies, respectively. We and our distributors seek, when possible, to convert demonstration and training deliveries to sales or after a trial period to have the devices returned for use as further demonstration or training devices. We consider training as an integral element of our sales and marketing approach and believe that departments that have trained instructors knowledgeable about our product will be more likely to purchase devices. We provide our product training as a service to agencies; however, training may be fee-based in the future.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Initial sales in 2018 and early 2019 were made by our executive and sales employees. In June 2019, we implemented a channel distribution strategy in which we sell our products to existing independent regional police equipment distributors who then sell to local law enforcement agencies. We are focusing our internal sales, sales support and business development resources on building relationships with large agencies and actively supporting distributors. Our sales force is currently comprised of 20 professionals. This team includes sales and business development personnel primarily in the field working directly with agencies, distributors and their customers and providing sales support including supporting demonstration and training contractors. In addition to full-time sales, sales support and business development personnel from time to time we utilize part-time consultants with law enforcement or government agency expertise to support our sales and marketing activities.</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currently have distribution agreements with 14 domestic distributors representing all 50 states and Puerto Rico. These nonexclusive and cancelable agreements provide certain territorial rights to distributors but allow us to sell direct to certain agencies.</w:t>
      </w:r>
    </w:p>
    <w:p>
      <w:pPr>
        <w:spacing w:after="0" w:line="16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have distribution agreements with 35 international distributors. These agreements are generally exclusive, require minimum performance and allow us to sell direct to customers subject to certain compensation. We focus significant sales and business development efforts to support our international distributors.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While one of our sales managers is focused on sales of Wrap Reality virtual reality systems, we are training our demonstration, training and other staff and our distributors on the virtual reality training product to build awareness and grow sales. We are also seeking to partner with other organizations to enhance our virtual reality sales, marketing and technology. We are currently collaborating with the National Tactical Officers Association (NTOA) to assist in creating virtual reality training scenarios responsive to the needs of their 40,000 members from specialties that include patrol, Tactical Emergency Medical Support (TEMS), crisis negotiations, canine, corrections, sniper, protective operations, explosives, command, tactical dispatchers, behavioral sciences and others.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Prospective customers learn about Wrap solutions through a variety of ways, including targeted social media, paid advertising, media, press releases, web site searches, sales calls and public relations. When a lead is generated through our marketing activities and qualified, we connect them with a sales representative and/or a distributor to discuss their needs and the solutions in which they are interested. We track our marketing and sales activities to provide immediate preview into activities, leads, quotes and pipeline opportunities. We believe we are developing a strong pipeline of opportunities for Wrap solutions.</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marketing staff also engages with local, state and federal agencies and personnel both directly and through professional firms that advocate less-lethal engagements and increased education and training.</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actively promote our brands and believe the Wrap and BolaWrap tradenames are becoming increasingly known world-wide as the pioneer and leader in remote restraint. We participate in a variety of domestic and international trade shows and conferences, both directly and with our distributors. We expect our marketing efforts will also continue to benefit from significant free media coverage.</w:t>
      </w:r>
    </w:p>
    <w:p>
      <w:pPr>
        <w:spacing w:after="0" w:line="176" w:lineRule="exact"/>
        <w:rPr>
          <w:sz w:val="20"/>
          <w:szCs w:val="20"/>
          <w:color w:val="auto"/>
        </w:rPr>
      </w:pPr>
    </w:p>
    <w:p>
      <w:pPr>
        <w:jc w:val="both"/>
        <w:spacing w:after="0" w:line="367" w:lineRule="auto"/>
        <w:rPr>
          <w:sz w:val="20"/>
          <w:szCs w:val="20"/>
          <w:color w:val="auto"/>
        </w:rPr>
      </w:pPr>
      <w:r>
        <w:rPr>
          <w:rFonts w:ascii="Arial" w:cs="Arial" w:eastAsia="Arial" w:hAnsi="Arial"/>
          <w:sz w:val="15"/>
          <w:szCs w:val="15"/>
          <w:color w:val="auto"/>
        </w:rPr>
        <w:t>We intend to increase the use of our trademarks throughout our product distribution chain and believe growing brand awareness will assist in expanding our business. We believe our reputation as a pioneer in the new category of remote restraint, strong training and product support provide us competitive advantages.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Demonstration, Training and Support</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a demonstration and training department as a part of its sales and marketing activities and does not charge for product demonstrations or training. Training is not a condition or requirement of sale as most sales are made through distributors to their end customers. The Company conducts local and regional in-person, webinar and on-line demonstrations and use of force and de-escalation training to support law enforcement agencies with no purchase requirement. Such training may occur before or after initial or subsequent purchase or field deployment of the Company’s products. The Company believes that law enforcement trainers and officers that have seen demonstrations or have been trained about its products are more supportive of their departments purchase and deployment of product.</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Most law enforcement and corrections agencies will not purchase new use of force devices until a training program is in place to certify officers in their proper use. Generally, they also must adapt any new tools to their use of force policies and clear use with any relevant committees or review boards. We have developed and offer robust training and class materials that certify law enforcement officers and trainers as BolaWrap Instructors in the use and limitations of the BolaWrap 100.</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Recognizing the need to provide robust training and sales support we launched the Wrap “Train the Trainer” program in October 2018. The program is designed such that our Master BolaWrap Instructors train local BolaWrap Instructors at local agencies who then train line officers in accordance with an agency’s policies.</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BolaWrap Master Instructors are considered independent contractors and are required to have law enforcement training experience and be effective communicators. In order to be certified as a Master Instructor, candidates must complete a two-day Master Instructor school at our Tempe training facility, observe a Train the Trainer course and then be observed teaching a Train the Trainer Course. We have 52 Master Instructors, residing in 24 states that have completed the two-day course and more than 40 have been certified as Master Instructors allowing them to conduct Instructor Certification Training. In addition, we have seven Master Instructors who have been designated Senior Master Instructors qualified to teach and certify other Master Instructors.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1" w:name="page12"/>
    <w:bookmarkEnd w:id="11"/>
    <w:p>
      <w:pPr>
        <w:jc w:val="both"/>
        <w:spacing w:after="0" w:line="296" w:lineRule="auto"/>
        <w:rPr>
          <w:sz w:val="20"/>
          <w:szCs w:val="20"/>
          <w:color w:val="auto"/>
        </w:rPr>
      </w:pPr>
      <w:r>
        <w:rPr>
          <w:rFonts w:ascii="Arial" w:cs="Arial" w:eastAsia="Arial" w:hAnsi="Arial"/>
          <w:sz w:val="16"/>
          <w:szCs w:val="16"/>
          <w:color w:val="auto"/>
        </w:rPr>
        <w:t>BolaWrap Instructors are generally sworn law enforcement officers, typically department trainers, defensive tactic instructors or SWAT officers. To be certified as a BolaWrap Instructor, individuals must attend a five-hour BolaWrap Instructor certification course, pass a written exam and show proficiency in deploying and using the BolaWrap. We also assist Instructors on lessons learned and best practices for teaching line officers in the use of BolaWrap. The nature and extent of line officer training is at each agency’s discretion. Instructor certification is effective for two years after which it requires renewal.</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employ a cloud-based software system, the Wrap Learning Management System, to schedule and organize training events, registration and training records. This software also hosts training resources and materials including a 30-minute BolaWrap Familiarization Course that distributors, purchasers and other interested parties are highly encouraged to utilize to educate themselves on BolaWrap use.</w:t>
      </w:r>
    </w:p>
    <w:p>
      <w:pPr>
        <w:spacing w:after="0" w:line="176"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 xml:space="preserve">We have assembled a team of five experienced and well-known trainers </w:t>
      </w:r>
      <w:r>
        <w:rPr>
          <w:rFonts w:ascii="Arial" w:cs="Arial" w:eastAsia="Arial" w:hAnsi="Arial"/>
          <w:sz w:val="17"/>
          <w:szCs w:val="17"/>
          <w:color w:val="212121"/>
        </w:rPr>
        <w:t>from different regions across the U.S. that form the Wrap Training Academy Advisory</w:t>
      </w:r>
      <w:r>
        <w:rPr>
          <w:rFonts w:ascii="Arial" w:cs="Arial" w:eastAsia="Arial" w:hAnsi="Arial"/>
          <w:sz w:val="17"/>
          <w:szCs w:val="17"/>
          <w:color w:val="auto"/>
        </w:rPr>
        <w:t xml:space="preserve"> </w:t>
      </w:r>
      <w:r>
        <w:rPr>
          <w:rFonts w:ascii="Arial" w:cs="Arial" w:eastAsia="Arial" w:hAnsi="Arial"/>
          <w:sz w:val="17"/>
          <w:szCs w:val="17"/>
          <w:color w:val="212121"/>
        </w:rPr>
        <w:t>Board. The Wrap Training Academy Advisory Board provides guidance to maintain a high-quality training program for Wrap products.</w:t>
      </w:r>
    </w:p>
    <w:p>
      <w:pPr>
        <w:spacing w:after="0" w:line="16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Since launching our ‘Train the Trainer’ program in October 2018, we now have at least one individual at over 520 U.S. police departments that has received formal training and over 1,550 officers are currently certified BolaWrap 100 instructors qualified and certified to train line officers. We encourage training prior to use of the BolaWrap 100 by individual departments but the nature and extent of training, if any, is at the discretion of each the individual agency.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We also demonstrate and provide training on our Wrap Reality platform and modules.</w:t>
      </w:r>
    </w:p>
    <w:p>
      <w:pPr>
        <w:spacing w:after="0" w:line="23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believe our professional training and sales support team and systems provide both a competitive advantage and a barrier to new competition. The nature of modern policing requires that equipment and services be supported and that line officers have access to training and procedures to properly perform their duties and minimize the policing risks. We believe we have positioned our training and support teams to respond to agencies of all sizes.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4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product and training solutions continue to gain worldwide awareness and recognition through media exposure, product demonstrations, and word of mouth as a result of positive responses and increased acceptance of our solutions. We believe we have a strong global brand, technology and product foundation, which we continue to expand to serve new markets and customers for greater business growth. We believe we have strong market opportunities for our product solutions throughout the world in the law enforcement, defense, public safety and security sectors as a result of increasing threats by non-compliant individuals and the demand for less-lethal policing. We believe our training and virtual reality platform are positioned in rapid growth markets worldwide.</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commercialization strategy focuses on the immediate addressable domestic market of approximately 900,000 full-time sworn officers in over 15,300 federal, state and local law enforcement agencies and the over 12.1 million police officers in the 100 largest police forces internationally. Our goal is to realize the potential of our entire suite of technology solutions targeting law enforcement and security personnel worldwide.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2021 we intend to continue operating with financial discipline in order to create value for our stockholders. We intend to continue the pursuit of domestic and international business opportunities with our network of well-established distributors and grow our revenues. We plan to develop improved and new products to our portfolio including products for use by security and related personnel. We also seek business initiatives and opportunities including acquisitions and collaborations that may be complementary to existing product and service offerings through our sales network.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Suppliers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Manufacturing</w:t>
      </w:r>
    </w:p>
    <w:p>
      <w:pPr>
        <w:spacing w:after="0" w:line="2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maintaining scalable manufacturing capabilities is essential to the performance of our products and the growth of our business. Our manufacturing and assembly involve unique processes and materials. We contract with third-party suppliers to produce various parts, components and subassemblies. We established initial startup production in our Las Vegas facility in 2018. In October 2019, we completed a move and started production at our new facility in Tempe, Arizona. This facility now includes our corporate administration, sales, training, engineering, manufacturing and warehousing. In our Tempe facility, we complete the final assembly, test and ship our products. We have refined our internal processes to improve how we design, test, and qualify products. We continue to implement rigorous manufacturing and quality processes to track production and field issues. We implement design and component changes periodically to reduce our product costs and improve product reliability and manufacturability.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i w:val="1"/>
          <w:iCs w:val="1"/>
          <w:color w:val="auto"/>
        </w:rPr>
        <w:t>Suppliers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minimize inventories and maximize the efficiency of our supply chain by having a number of components and sub-assemblies produced by outside suppliers. We rely on one supplier for laser assembly with some parts sole sourced from other suppliers. We also rely on one supplier for certain virtual reality hardware. We are making efforts to source alternative suppliers to reduce such reliance. Our ability to assemble and manufacture our products could be adversely affected if we were to lose a sole source supplier and were unable to find an alternative supplier. We believe we have developed strong relationships with our key suppliers. If these suppliers should experience quality problems or part shortages, our production schedules could be significantly delayed, or our costs significantly increased.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At December 31, 2020, we had backlog of approximately $120,000 expected to be delivered in the first quarter of 2021. The amount of backlog at any point in time is dependent upon order timing, scheduled delivery dates to our customers and product lead times. Most domestic orders are shipped shortly after order and backlog is typically associated with larger international orders. Distributor and customer orders for future deliveries are generally subject to modification, rescheduling or in some instances, cancellation in the normal course of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Warranties</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warrant our products to be free from defects in materials and workmanship for a period up to one year from the date of purchase. The warranty will be generally a limited warranty, and in some instances impose certain shipping costs on the customer. We expect in most cases it will be more economical and effective to replace the defective device rather than repair.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target the BolaWrap product as a new solution for law enforcement and not as a replacement for other devices currently in use. However, we do compete with other use of force products for budget dollar allocations. Law enforcement agencies may also determine that we are an alternative to other solutions in spite of such positioning.</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Other use of force devices, including CEWs, pepper spray, batons, and impact weapons may compete with the BolaWrap product indirectly. Many law enforcement and corrections personnel consider such less-lethal weapons to be distinct tools, each best-suited to a particular set of circumstances. Consistent with this tool kit approach, purchasing any given tool does not preclude the purchase of one or several more. In other cases, budgetary considerations and limited space on officers’ belts dictate that only a limited number of devices will be purchased and carried. We believe the BolaWrap’s unique remote restraint use, effectiveness, and low possibility of injury will enable it to compete effectively against other alternatives.</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There are a number of competitors offering virtual reality simulators for law enforcement to compete with Wrap Reality. We also compete against established video-based simulators. There are other virtual reality providers and developers focused on other applications that may in the future elect to develop and compete in the law enforcement training space.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Wrap Armor ballistic shield products, in addition to competing for law enforcement budget dollars, also competes with many other shield manufacturers.</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Many of our present and potential future competitors have, or may have, substantially greater resources to devote to compete in the law enforcement market and to further technological and new product developments. Also, these competitors or others may introduce products with features and performance competitive to our product.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Government Regulation</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BolaWrap 100 is classified as a “firearm” by the U.S. Bureau of Alcohol, Tobacco, Firearms and Explosives (“</w:t>
      </w:r>
      <w:r>
        <w:rPr>
          <w:rFonts w:ascii="Arial" w:cs="Arial" w:eastAsia="Arial" w:hAnsi="Arial"/>
          <w:sz w:val="17"/>
          <w:szCs w:val="17"/>
          <w:i w:val="1"/>
          <w:iCs w:val="1"/>
          <w:color w:val="auto"/>
        </w:rPr>
        <w:t>ATF</w:t>
      </w:r>
      <w:r>
        <w:rPr>
          <w:rFonts w:ascii="Arial" w:cs="Arial" w:eastAsia="Arial" w:hAnsi="Arial"/>
          <w:sz w:val="17"/>
          <w:szCs w:val="17"/>
          <w:color w:val="auto"/>
        </w:rPr>
        <w:t>”), and is subject to federal firearms-related regulations. We hold two Federal Firearms Manufacturing Licenses that expire in 2022 through 2023. ATF regulations are enforced by surveillance and inspection. If ATF finds a violation, it can institute a wide range of enforcement actions, ranging from public warnings to more severe sanctions such as fines, penalties, suspension or withdrawal of regulatory approvals, product recalls, seizure of products, operating restrictions or total shutdown of production, and criminal prosecution.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states also have regulations restricting the sale and use of certain firearms and may determine their own classification and restrictions irrespective of ATF regulation. In most cases, the law enforcement and corrections market are subject to different ATF and state regulations or exemptions than the private citizen market, and we do not expect additional state restrictions or approvals for sales to law enforcement. Where different regulations exist, we expect that the regulations affecting the private citizen market may also apply to the private security markets, except as the applicable regulations otherwise specifically provide.</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subject to a variety of government laws and regulations that apply to companies engaged in international operations, including, among others, the Foreign Corrupt Practices Act, U.S. Department of Commerce export controls, local government regulations and procurement policies and practices (including regulations relating to import-export control, investments, exchange controls and repatriation of earnings). The BolaWrap 100 is also considered a crime control product by the U.S. government. Accordingly, the export of our devices is regulated under export administration regulations. As a result, we must obtain export licenses from the Department of Commerce for all shipments outside the U.S. We do not expect the need to obtain these licenses will cause a material delay in our foreign shipments. Export regulations also prohibit the further shipment of our products from foreign markets in which we hold a valid export license to markets in which we do not hold an export license for our products. International destination regulations, which may affect our device, and sale thereof, are numerous and often unclear. We work with our international distributors, agents and advisors who are familiar with the applicable import regulations in each of our targeted international markets.</w:t>
      </w:r>
    </w:p>
    <w:p>
      <w:pPr>
        <w:spacing w:after="0" w:line="19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products are produced to comply with standard product safety requirements for sale in the U.S. and similar requirements for sale in international markets. We are developing additional models of restraint devices that may be subject to different or additional international, federal and state regulations. We expect to meet the electrical and other regulatory requirements for any future electronic systems or components we develop for sale throughout the world.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 and Proprietary Information</w:t>
      </w: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intend to vigorously protect our intellectual property assets including issued patents, pending patents, trademarks, copyrights, trade craft, contractual obligations and trade secrets such as know-how. Our policy is to enter into confidentiality and nondisclosure agreements with key employees and consultants or third party to whom any of our proprietary information is disclosed. These agreements prohibit the disclosure of confidential information to others, both during and subsequent to employment or the duration of the working relationship. These agreements may not prevent disclosure of confidential information or provide adequate remedies for any breach. We rely on copyrights, trade secrets and other proprietary rights to protect the content of our training services including the Wrap Reality virtual reality training software and content.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such factors as innovation, technological expertise, and experienced personnel, we believe strong product offerings that are continually upgraded and enhanced will keep us competitive, and we seek patent and other intellectual property protection on important technological improvements that we make. Prior to the filing and granting of patents, our policy is to disclose key features to patent counsel and maintain these features as trade secrets prior to product introduction. Patent applications may not result in issued patents covering all important claims and could be denied in their entirety.</w:t>
      </w:r>
    </w:p>
    <w:p>
      <w:pPr>
        <w:spacing w:after="0" w:line="16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We currently have ten issued U.S. patents related to the BolaWrap technology and nine additional U.S. patents pending. In September 2018, we commenced filing our first foreign patent applications targeting the European Union (38 countries) and 17 other countries, of which two have issued to date. We have reserved rights to file additional foreign patents. The failure to obtain patent protection or the loss of patent protection on our existing and future technologies or the circumvention of our patents by competitors could have a material adverse effect on our ability to compete successfully.</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have been granted trade name protection for “BolaWrap” and “Wrap” in multiple countries and expect to employ a combination of registered and common law trade names, trademarks and service marks in our business. We rely on a variety of intellectual property protections for our products and technologies, including contractual obligations, and we intend to pursue a policy of vigorously enforcing such rights.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4" w:name="page15"/>
    <w:bookmarkEnd w:id="14"/>
    <w:p>
      <w:pPr>
        <w:jc w:val="both"/>
        <w:spacing w:after="0" w:line="274" w:lineRule="auto"/>
        <w:rPr>
          <w:sz w:val="20"/>
          <w:szCs w:val="20"/>
          <w:color w:val="auto"/>
        </w:rPr>
      </w:pPr>
      <w:r>
        <w:rPr>
          <w:rFonts w:ascii="Arial" w:cs="Arial" w:eastAsia="Arial" w:hAnsi="Arial"/>
          <w:sz w:val="17"/>
          <w:szCs w:val="17"/>
          <w:color w:val="auto"/>
        </w:rPr>
        <w:t>The law enforcement product and services industry is characterized by frequent litigation regarding patent and other intellectual property rights. Others, including academic institutions and competitors, hold numerous patents in less-lethal and related technologies. Although we are not aware of any existing patents that would materially inhibit our ability to commercialize our technology, others may assert claims in the future. Such claims, with or without merit, may have a material adverse effect on our financial condition,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research and development initiatives are led by our internal personnel and make use of specialized consultants when necessary. These initiatives include basic research, mechanical engineering design and testing. Future development projects will focus on new versions of the BolaWrap technology and new public safety technologies.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fiscal years ended December 31, 2020 and 2019, we spent approximately $2.8 million and $2.2 million, respectively, on company-sponsored research and development. Future levels of research and development expenditures will vary depending on the timing of further new product development and the availability of funds to carry on additional research and development on currently owned technologies or in other areas. During 2021 in addition to continued development and enhancement of our remote restraint products we expect to incur additional costs improving our training systems including enhancing our Wrap Reality simulator and related content.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License and Royalties</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obligated to pay royalties pursuant to an exclusive Amended and Restated Intellectual Property License Agreement, dated as of September 30, 2016, with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 private technology invention, consulting and licensing company owned and controlled by Elwood G. Norris and James A. Barnes, both officers and stockholders of the Company. Syzygy has no ongoing operations, and does not engage in any manufacturing, production or other related activities.</w:t>
      </w:r>
    </w:p>
    <w:p>
      <w:pPr>
        <w:spacing w:after="0" w:line="18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agreement provides for the payment of royalties of 4% of revenue from products employing the licensed device technology up to the earlier to occur of (i) the payment by the Company of an aggregate of $1.0 million in royalties, or (ii) September 30, 2026. All development and patent costs have been paid by us and patent applications and the technology related to the BolaWrap 100 have been assigned to the Company, subject to the royalty obligation.</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As a part of our acquisition of NSENA in December 2020, we agreed to pay additional earn-out consideration equal to 10% of net revenues (or a lesser amount equal to 50% of direct profit) from specific identified prospects that become revenue customers before September 30, 2021, but only on amounts collected between consummation of the acquisition and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to experience any significant seasonality trends. However, seasonality trends may occur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Information about Customer Concentration and Geographic Areas</w:t>
      </w:r>
    </w:p>
    <w:p>
      <w:pPr>
        <w:spacing w:after="0" w:line="240"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Financial information regarding customer concentration and geographic areas in which we operate is contained in Note 16, Major Customers and Related Information to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current executive officers of Wrap Technologies, Inc. and their ages and business experience are set forth below.</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5" w:name="page16"/>
    <w:bookmarkEnd w:id="15"/>
    <w:p>
      <w:pPr>
        <w:jc w:val="both"/>
        <w:ind w:firstLine="645"/>
        <w:spacing w:after="0" w:line="285" w:lineRule="auto"/>
        <w:rPr>
          <w:sz w:val="20"/>
          <w:szCs w:val="20"/>
          <w:color w:val="auto"/>
        </w:rPr>
      </w:pPr>
      <w:r>
        <w:rPr>
          <w:rFonts w:ascii="Arial" w:cs="Arial" w:eastAsia="Arial" w:hAnsi="Arial"/>
          <w:sz w:val="16"/>
          <w:szCs w:val="16"/>
          <w:b w:val="1"/>
          <w:bCs w:val="1"/>
          <w:i w:val="1"/>
          <w:iCs w:val="1"/>
          <w:color w:val="auto"/>
        </w:rPr>
        <w:t xml:space="preserve">Thomas P. Smith, </w:t>
      </w:r>
      <w:r>
        <w:rPr>
          <w:rFonts w:ascii="Arial" w:cs="Arial" w:eastAsia="Arial" w:hAnsi="Arial"/>
          <w:sz w:val="16"/>
          <w:szCs w:val="16"/>
          <w:color w:val="auto"/>
        </w:rPr>
        <w:t>age 53, joined the Company in March 2019 as President. In October 2020 he was also appointed as Interim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Smith co-founded TASER International (now Axon Enterprise, Inc.) (“</w:t>
      </w:r>
      <w:r>
        <w:rPr>
          <w:rFonts w:ascii="Arial" w:cs="Arial" w:eastAsia="Arial" w:hAnsi="Arial"/>
          <w:sz w:val="16"/>
          <w:szCs w:val="16"/>
          <w:i w:val="1"/>
          <w:iCs w:val="1"/>
          <w:color w:val="auto"/>
        </w:rPr>
        <w:t>TASER</w:t>
      </w:r>
      <w:r>
        <w:rPr>
          <w:rFonts w:ascii="Arial" w:cs="Arial" w:eastAsia="Arial" w:hAnsi="Arial"/>
          <w:sz w:val="16"/>
          <w:szCs w:val="16"/>
          <w:color w:val="auto"/>
        </w:rPr>
        <w:t>”) in 1993. He served as President of TASER until October 2006, and as Chairman of the Board of Directors of TASER from October 2006 until he retired to pursue entrepreneurial activities in February 2012. Amongst his most significant roles and responsibilities at TASER, Mr. Smith managed domestic and international export sales, significantly expanding the sale and distribution of TASER’s products, including sales to more than 17,200 federal, state and local law enforcement agencies in over 100 countries. In 2012 he co-founded Achilles Technology Solutions, LLC (“</w:t>
      </w:r>
      <w:r>
        <w:rPr>
          <w:rFonts w:ascii="Arial" w:cs="Arial" w:eastAsia="Arial" w:hAnsi="Arial"/>
          <w:sz w:val="16"/>
          <w:szCs w:val="16"/>
          <w:i w:val="1"/>
          <w:iCs w:val="1"/>
          <w:color w:val="auto"/>
        </w:rPr>
        <w:t>Achilles</w:t>
      </w:r>
      <w:r>
        <w:rPr>
          <w:rFonts w:ascii="Arial" w:cs="Arial" w:eastAsia="Arial" w:hAnsi="Arial"/>
          <w:sz w:val="16"/>
          <w:szCs w:val="16"/>
          <w:color w:val="auto"/>
        </w:rPr>
        <w:t>”), and through its wholly-owned subsidiary ATS Armor, LLC (“</w:t>
      </w:r>
      <w:r>
        <w:rPr>
          <w:rFonts w:ascii="Arial" w:cs="Arial" w:eastAsia="Arial" w:hAnsi="Arial"/>
          <w:sz w:val="16"/>
          <w:szCs w:val="16"/>
          <w:i w:val="1"/>
          <w:iCs w:val="1"/>
          <w:color w:val="auto"/>
        </w:rPr>
        <w:t>ATS Armor</w:t>
      </w:r>
      <w:r>
        <w:rPr>
          <w:rFonts w:ascii="Arial" w:cs="Arial" w:eastAsia="Arial" w:hAnsi="Arial"/>
          <w:sz w:val="16"/>
          <w:szCs w:val="16"/>
          <w:color w:val="auto"/>
        </w:rPr>
        <w:t>”), which he co-founded in 2015, developed products for law enforcement and military. Mr. Smith served as the Managing Member of Achilles from 2012 to January 2020. In addition, Mr. Smith served as the Managing Member of ATS Armor and ATS MER (“</w:t>
      </w:r>
      <w:r>
        <w:rPr>
          <w:rFonts w:ascii="Arial" w:cs="Arial" w:eastAsia="Arial" w:hAnsi="Arial"/>
          <w:sz w:val="16"/>
          <w:szCs w:val="16"/>
          <w:i w:val="1"/>
          <w:iCs w:val="1"/>
          <w:color w:val="auto"/>
        </w:rPr>
        <w:t>ATS MER</w:t>
      </w:r>
      <w:r>
        <w:rPr>
          <w:rFonts w:ascii="Arial" w:cs="Arial" w:eastAsia="Arial" w:hAnsi="Arial"/>
          <w:sz w:val="16"/>
          <w:szCs w:val="16"/>
          <w:color w:val="auto"/>
        </w:rPr>
        <w:t>”), a research and development company acquired by Achilles in 2015 that was primarily funded by government SBIR contracts, until March 2019 and February 2019, respectively. ATS Armor filed a petition for Chapter 7 Bankruptcy in March 2019, and ATS MER filed a petition for Chapter 7 Bankruptcy in February 2019. Mr. Smith holds a B.S. degree in Ecology and Evolutionary Biology from the University of Arizona and a M.B.A. degree from Northern Arizona University.</w:t>
      </w:r>
    </w:p>
    <w:p>
      <w:pPr>
        <w:spacing w:after="0" w:line="177"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b w:val="1"/>
          <w:bCs w:val="1"/>
          <w:i w:val="1"/>
          <w:iCs w:val="1"/>
          <w:color w:val="auto"/>
        </w:rPr>
        <w:t xml:space="preserve">Scot Cohen </w:t>
      </w:r>
      <w:r>
        <w:rPr>
          <w:rFonts w:ascii="Arial" w:cs="Arial" w:eastAsia="Arial" w:hAnsi="Arial"/>
          <w:sz w:val="16"/>
          <w:szCs w:val="16"/>
          <w:color w:val="auto"/>
        </w:rPr>
        <w:t>age 52, cofounded the Company with Messrs. James Barnes and Elwood Norris in March 2016, and currently serves as its Executive Chair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July 2017. Prior to that, he served as a Manager until the Company’s incorporation in March 2017 at which time he was appointed to serve as the Company’s Corporate Secretary until January 2018. Mr. Cohen has over 20 years of experience in institutional asset management, wealth management, and capital markets. He currently manages several operating partnerships that actively invest in the energy sector in addition to maintaining an active investment portfolio in various public companies, early-stage private companies, hedge funds and alternative assets including real estate. Some of these include serving as Principal of the Iroquois Capital Opportunity Fund, a closed end private equity fund he founded in 2010 which focuses on investments in North American oil and gas assets; as the Manager of V3 Capital, LLC, an investor in public and private companies that he also founded in 2015; and was the co-founder of Iroquois Capital Investment Group, LLC. Mr. Cohen currently sits on the board of directors of Charlie’s Holding, Inc., and serves as Executive Chair of the Board of Petro River Oil Corp. since 2012. Mr. Cohen earned his Bachelor of Science degree from Ohio University.</w:t>
      </w:r>
    </w:p>
    <w:p>
      <w:pPr>
        <w:spacing w:after="0" w:line="17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b w:val="1"/>
          <w:bCs w:val="1"/>
          <w:i w:val="1"/>
          <w:iCs w:val="1"/>
          <w:color w:val="auto"/>
        </w:rPr>
        <w:t xml:space="preserve">James A. Barnes </w:t>
      </w:r>
      <w:r>
        <w:rPr>
          <w:rFonts w:ascii="Arial" w:cs="Arial" w:eastAsia="Arial" w:hAnsi="Arial"/>
          <w:sz w:val="17"/>
          <w:szCs w:val="17"/>
          <w:color w:val="auto"/>
        </w:rPr>
        <w:t>age 66, cofounded the Company with Messrs. Elwood Norris and Cohen in March 2016, and currently serves as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Secretary and Treasurer. He served as Manager until the Company’s incorporation in March 2017 when he was appointed President and Chief Financial Officer. He served as a member of the Company’s Board of Directors from March 2017 to November 2018. In January 2018 he was appointed to the additional positions of Secretary and Treasurer and resigned as President. He has served as the President of Sunrise Capital, Inc., a private venture capital and financial and regulatory consulting firm, since 1984. He was Chief Financial Officer of Parametric Sound Corporation (now Turtle Beach Corporation) from 2010 to February 2015, and from February 2015 to February 2017 served as Vice President Administration at Turtle Beach Corporation. Since 1999, he has been Manager of Syzygy Licensing LLC, a private technology invention and licensing company he owns with Mr. Elwood Norris. He previously practiced as a certified public accountant and management consultant with Ernst &amp; Ernst, Touche Ross &amp; Co., and as a principal in J. McDonald &amp; Co. Ltd., Phoenix, Arizona. He graduated from the University of Nebraska with a Bachelor of Arts Degree in Business Administration in 1976 and is a certified public accountant (status: inactive).</w:t>
      </w:r>
    </w:p>
    <w:p>
      <w:pPr>
        <w:spacing w:after="0" w:line="190"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b w:val="1"/>
          <w:bCs w:val="1"/>
          <w:i w:val="1"/>
          <w:iCs w:val="1"/>
          <w:color w:val="auto"/>
        </w:rPr>
        <w:t xml:space="preserve">Elwood G. Norris </w:t>
      </w:r>
      <w:r>
        <w:rPr>
          <w:rFonts w:ascii="Arial" w:cs="Arial" w:eastAsia="Arial" w:hAnsi="Arial"/>
          <w:sz w:val="16"/>
          <w:szCs w:val="16"/>
          <w:color w:val="auto"/>
        </w:rPr>
        <w:t>age 82, cofounded the Company with Mr. Barnes and Mr. Cohen in March 2016 and currently serves as the Company’s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He served as a director on the Company’s Board of Directors from March 2017 to January 2018. He was previously a director and President of Parametric Sound Corporation (now Turtle Beach Corporation) from 2010 to February 2015, and from February 2015 to September 2016 he served as Chief Scientist, a non-executive position, at Turtle Beach. He was a director of LRAD Corporation (now Genasys Inc.) from August 1980 to June 2010. He served as Chairman of LRAD Corporation’s Board of Directors, an executive position, in which he served in a technical advisory role and acted as a product spokesman from September 2000 to April 2009. He is an inventor, and has authored more than 80 U.S. patents, primarily in the fields of electrical and acoustical engineering, and has been a frequent speaker on innovation to corporations and government organizations. He is the inventor of our BolaWrap technology. Mr. Elwood Norris is a majority owner of Syzygy but has no employment or management relationship with Syzygy.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officers serve at the discretion of the board of directors.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color w:val="auto"/>
        </w:rPr>
        <w:t>Employees</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employ 52 full-time employees with 50 in the United States and two located in the United Kingdom. In addition to our four executive officers, we had 24 persons engaged in sales, marketing, sales support and training, 12 in production, eight in research and development and four in administration. In addition, we engage consultants from time to time to provide additional sales, marketing, training and research and development services, and anticipate engaging consultants going forward to supplement our full- and part-time personnel.</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are dedicated to preserving operational excellence and remaining an employer of choice. We provide and maintain a work environment that is designed to attract, develop and retain top talent through offering our employees an engaging work experience that contributes to their career development. We recognize that our success is based on the collective talents and dedication of those we employ, and we are highly invested in their success.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xml:space="preserve">”). The SEC maintains an Internet site that contains reports, proxy and information statements, and other information regarding issuers that file electronically with the SEC. You can find our SEC filings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www.wrap.com</w:t>
      </w:r>
      <w:r>
        <w:rPr>
          <w:rFonts w:ascii="Arial" w:cs="Arial" w:eastAsia="Arial" w:hAnsi="Arial"/>
          <w:sz w:val="17"/>
          <w:szCs w:val="17"/>
          <w:color w:val="auto"/>
        </w:rPr>
        <w:t xml:space="preserve">. Information contained on our website is not part of this Annual Report. Our SEC filings (including any amendments) are also made available free of charge on </w:t>
      </w:r>
      <w:r>
        <w:rPr>
          <w:rFonts w:ascii="Arial" w:cs="Arial" w:eastAsia="Arial" w:hAnsi="Arial"/>
          <w:sz w:val="17"/>
          <w:szCs w:val="17"/>
          <w:u w:val="single" w:color="auto"/>
          <w:color w:val="auto"/>
        </w:rPr>
        <w:t>www.wrap.com</w:t>
      </w:r>
      <w:r>
        <w:rPr>
          <w:rFonts w:ascii="Arial" w:cs="Arial" w:eastAsia="Arial" w:hAnsi="Arial"/>
          <w:sz w:val="17"/>
          <w:szCs w:val="17"/>
          <w:color w:val="auto"/>
        </w:rPr>
        <w:t>, as soon as reasonably practicable after we electronically file such material with, or furnish it to, the SEC.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ITEM 1A. RISK FACTORS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investment in our Company involves a high degree of risk. In addition to the other information included in this Annual Report, you should carefully consider the following risk factors in evaluating an investment in our Company. You should consider these matters in conjunction with the other information included or incorporated by reference in this Annual Report. If any of the following risks actually occurs, our business, reputation, financial condition, results of operations, revenue, and future prospects could be negatively impacted. In that event, the market price of our Common Stock could decline, and you could lose part or all of your investment.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Factors Relating to Our Business and Industry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expect additional losses and may not achieve or sustain profitability.</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a history of operating losses and expect to incur additional losses until we achieve sufficient revenue and resulting margins to offset our operating costs. Our net loss for the years ended December 31, 2020 and 2019 was $12,580,209 and $8,325,488, respectively. Our ability to achieve future profitability is dependent on a variety of factors, many of which are outside of our control. Failure to achieve profitability or sustain profitability, if achieved, may require us to raise additional financing, which could have a material negative impact on the market value of our Common Stock.</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Global economic conditions or business interruptions related to the COVID-19 pandemic or other events may negatively impact our financial conditions and results of operations.</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monitoring the impact of the COVID-19 pandemic, which has caused significant uncertainty and disruption to global financial markets and supply chains, beginning in early calendar year 2020. The significance of the operational and financial impact of the COVID-19 pandemic will depend on how long and widespread the uncertainty and disruption continue. The extent to which the COVID-19 pandemic impacts our financial conditions and results of operations will depend on future developments, which are highly uncertain and cannot be predicted, including new information which may emerge concerning the severity of the outbreak and the actions being taken to contain and treat it. Uncertainty surrounds the duration and broader impact of the COVID-19 pandemic and therefore, the effects it will have on our financial results and operations. If economic or market conditions in key global markets deteriorate, we may experience material adverse effects on our business, financial condition and results from operations.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Factors deriving from the domestic and international response to the COVID-19 pandemic that may negatively impact sales and gross margin in the future include but are not limited to: limitations on the ability of our suppliers to meet delivery requirements and commitments; limitations on the ability of employees to perform their work due to illness caused by the pandemic or local, state or federal orders requiring employees to remain at home; limitations on the ability of carriers to deliver products to customers; limitations on the ability of our customers to conduct their business and purchase our products and services; and limitations on the ability of our customers to pay us on a timely basis.</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Substantially all of our employees are located in the U.S. In addition to our employees, we rely on (i) distributors, agents and third-party logistics providers in connection with product sales and distribution and (ii) raw material and component suppliers in the U.S., Canada, Europe and China. If we, or any of these third-party partners encounter any disruptions to our or their respective operations or facilities, or if we or any of these third-party partners were to shut down for any reason, including by pandemic, fire, natural disaster, such as a hurricane, tornado or severe storm, power outage, systems failure, labor dispute, or other unforeseen disruption, then we or they may be prevented or delayed from effectively operating our or their business, respectively.</w:t>
      </w:r>
    </w:p>
    <w:p>
      <w:pPr>
        <w:spacing w:after="0" w:line="17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We may need additional capital to execute our business plan, and raising additional capital, if possible, by issuing additional equity securities may cause dilution to existing stockholders. In addition, raising additional capital by issuing additional debt instruments may restrict our operations.</w:t>
      </w:r>
    </w:p>
    <w:p>
      <w:pPr>
        <w:spacing w:after="0" w:line="14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Although we believe we have adequate financial resources to fund our operations and capital needs for at least the next twelve months, and that we may be able to generate funds from product sales during that time, existing working capital may not be sufficient to achieve profitable operations due to product introduction costs, operating losses and other factors. Principal factors affecting the availability of internally generated funds include:</w:t>
      </w:r>
    </w:p>
    <w:p>
      <w:pPr>
        <w:spacing w:after="0" w:line="176" w:lineRule="exact"/>
        <w:rPr>
          <w:sz w:val="20"/>
          <w:szCs w:val="20"/>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of product sales and services to meet planned projections;</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spending levels impacting sales of our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working capital requirements to support business growth;</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integrate acquisitions;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control spending;</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collect accounts receivable;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acceptance of our products and services in planned markets.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8" w:name="page19"/>
    <w:bookmarkEnd w:id="18"/>
    <w:p>
      <w:pPr>
        <w:jc w:val="both"/>
        <w:spacing w:after="0" w:line="280" w:lineRule="auto"/>
        <w:rPr>
          <w:sz w:val="20"/>
          <w:szCs w:val="20"/>
          <w:color w:val="auto"/>
        </w:rPr>
      </w:pPr>
      <w:r>
        <w:rPr>
          <w:rFonts w:ascii="Arial" w:cs="Arial" w:eastAsia="Arial" w:hAnsi="Arial"/>
          <w:sz w:val="17"/>
          <w:szCs w:val="17"/>
          <w:color w:val="auto"/>
        </w:rPr>
        <w:t>In the event we are required to raise additional capital through the issuance of equity or convertible debt securities, the percentage ownership of our stockholders could be diluted significantly, and such newly issued securities may have rights, preferences or privileges senior to those of our existing stockholders. In addition, the issuance of any equity securities could be at a discount to the market price.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incur debt financing, the payment of principal and interest on such indebtedness may limit funds available for our business activities, and we could be subject to covenants that restrict our ability to operate our business and make distributions to our stockholders. These restrictive covenants may include limitations on additional borrowing and specific restrictions on the use of our assets, as well as prohibitions on our ability to create liens, pay dividends, redeem stock or make investments. There is no assurance that any equity or debt financing transaction will be available on acceptable terms, if at all.</w:t>
      </w:r>
    </w:p>
    <w:p>
      <w:pPr>
        <w:spacing w:after="0" w:line="167"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expect to be dependent on sales of our BolaWrap product for the foreseeable future, and if this product is not widely accepted, our growth prospects will be diminished.</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expect to depend on sales of the BolaWrap product and related cartridges for the foreseeable future. A lack of demand for this product, or its failure to achieve broader market acceptance, would significantly harm our growth prospects, operating results and financial condition. To execute our business plan successfully, we will need to execute on the following objectives, either on our own or with strategic collaborators:</w:t>
      </w:r>
    </w:p>
    <w:p>
      <w:pPr>
        <w:spacing w:after="0" w:line="176" w:lineRule="exact"/>
        <w:rPr>
          <w:sz w:val="20"/>
          <w:szCs w:val="20"/>
          <w:color w:val="auto"/>
        </w:rPr>
      </w:pPr>
    </w:p>
    <w:p>
      <w:pPr>
        <w:ind w:left="660" w:hanging="33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 our commercialization of the BolaWrap product, and develop additional future products and accessories for commercialization;</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 required regulatory approvals for our products in global market locations;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Expand and, as required, enforce our intellectual property portfolio for the BolaWrap product and other future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 sales, distribution and marketing capabilities, and/or enter into strategic partnering arrangements to access such capabilities,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 market acceptance for the BolaWrap 100 and/or other future products.</w:t>
      </w:r>
    </w:p>
    <w:p>
      <w:pPr>
        <w:spacing w:after="0" w:line="22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We are materially dependent on the acceptance of our product by the law enforcement market. If law enforcement agencies do not purchase our product, our revenue will be adversely affected and we may not be able to expand into other markets, or otherwise continue as a going concern.</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substantial number of law enforcement agencies may not purchase our remote restraint product. In addition, if our product is not widely accepted by the law enforcement market, we may not be able to expand sales of our product into other markets. Law enforcement agencies may be influenced by claims or perceptions that our product is not effective or may be used in an abusive manner. Sales of our product to these agencies may be delayed or limited by such claims or perceptions.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and unpredictable warranty costs as our products are introduced and produced.</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warrant our products to be free from defects in materials and workmanship for a period of up to one year from the date of purchase. We may incur substantial and unpredictable warranty costs from post-production product or component failures. Future warranty costs could further adversely affect our financial position, results of operations and business prospects.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incur charges for excess or obsolete inventory and incur production costs for improvements or model changes.</w:t>
      </w:r>
    </w:p>
    <w:p>
      <w:pPr>
        <w:spacing w:after="0" w:line="23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While we strive to effectively manage our inventory, rapidly changing technology, and uneven customer demand may result in short product cycles and the value of our inventory may be adversely affected by changes in technology that affect our ability to sell the products in our inventory. If we do not effectively forecast and manage our inventory, we may need to write off inventory as excess or obsolete, which in turn can adversely affect cost of sales and gross profit.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9" w:name="page20"/>
    <w:bookmarkEnd w:id="19"/>
    <w:p>
      <w:pPr>
        <w:jc w:val="both"/>
        <w:spacing w:after="0" w:line="329" w:lineRule="auto"/>
        <w:rPr>
          <w:sz w:val="20"/>
          <w:szCs w:val="20"/>
          <w:color w:val="auto"/>
        </w:rPr>
      </w:pPr>
      <w:r>
        <w:rPr>
          <w:rFonts w:ascii="Arial" w:cs="Arial" w:eastAsia="Arial" w:hAnsi="Arial"/>
          <w:sz w:val="16"/>
          <w:szCs w:val="16"/>
          <w:color w:val="auto"/>
        </w:rPr>
        <w:t>We have experienced, and may in the future experience, improvement and model changes and unusual production costs associated with implementing production for our products. We currently have no reserve for slow moving or obsolete inventory but may incur future charges for obsolete or excess inventory.</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international operations could be harmed by factors including political instability, natural disasters, fluctuations in currency exchange rates, and changes in regulations that govern international transactions.</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sell our products worldwide and have exported to multiple countries. We expect exports to continue to be a significant part of our future business. The risks inherent in international trade may reduce our international sales or impede growth and harm our business and the businesses of our customers and our suppliers. These risks include, among other things: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tariff regulations;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●Political instability, war, terrorism and other political risks;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●Foreign currency exchange rate fluctuations;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●Establishing and maintaining relationships with local distributors, agents and dealers;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●Lengthy shipping times and accounts receivable payment cycles;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●Import and export control and licensing requirements;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●Compliance with a variety of U.S. laws, including the Foreign Corrupt Practices Act, by us or key subcontractors;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●Compliance with a variety of foreign laws and regulations, including unexpected changes in taxation and regulatory requirements;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●Greater difficulty in safeguarding intellectual property abroad than in the U.S.; and</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●Difficulty in staffing and managing geographically diverse operations.</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and other risks may preclude or curtail international sales or increase the relative price of our products compared to those manufactured in other countries, reducing the demand for our products. Failure to comply with U.S. and international governmental laws and regulations applicable to international business, such as the Foreign Corrupt Practices Act or U.S. export control regulations, could have an adverse impact on our business with the U.S. and international governments.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anticipate that a majority of our revenue in the short-term will be generated from international sales, which may adversely affect our ability to timely collect accounts receivable.</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year ended December 31, 2020, we generated approximately 64% of our revenue from international sales, 56% of which was uncollected at the end of the fiscal year. Due principally to the longer sales cycle and regulatory issues associated with domestic sales versus international sales, we currently anticipate that a substantial portion of our sales in the year ended December 31, 2021 will be generated from international orders. In the event we are unable to timely collect account receivables associated with international sales, or collection of such international sales are delayed, our financial condition could be adversely and materially affected.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If we are unable to manage our projected growth, our growth prospects may be limited, and our future profitability may be adversely affected.</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continue to expand our sales, marketing and training programs and our manufacturing capability. Rapid expansion may strain our managerial, financial and other resources. If we are unable to manage our growth, our business, operating results and financial condition could be adversely affected. Our systems, procedures, controls and management resources also may not be adequate to support our future operations. We will need to continually improve our operational, financial and other internal systems to manage our growth effectively, and any failure to do so may lead to inefficiencies and redundancies, and result in reduced growth prospects and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personal injury and other liability claims that harm our reputation and adversely affect our sales and financial condition.</w:t>
      </w:r>
    </w:p>
    <w:p>
      <w:pPr>
        <w:spacing w:after="0" w:line="2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product is intended to be used in confrontations that could result in injury to those involved, whether or not involving our product. Our product may cause or be associated with such injuries. A person injured in a confrontation or otherwise in connection with the use of our product may bring legal action against us to recover damages on the basis of theories including personal injury, wrongful death, negligent design, dangerous product or inadequate warning. We may also be subject to lawsuits involving allegations of misuse of our product. If successful, personal injury, misuse and other claims could have a material adverse effect on our operating results and financial condition. Although we carry product liability insurance, significant litigation could also result in a diversion of management’s attention and resources, negative publicity and an award of monetary damages in excess of our insurance coverage.</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future success is dependent on our ability to expand sales through distributors, and our inability to grow our sales force or maintain and add distributors would negatively affect our sales.</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distribution strategy is to pursue sales through multiple channels with an emphasis on independent distributors, domestically and internationally. Our inability to recruit and retain sales personnel and maintain and add police equipment distributors who can successfully sell our products could adversely affect our sales. If we do not competitively price our products, meet the requirements of any future distributors or end-users, provide adequate marketing support, or comply with the terms of any distribution arrangements, such distributors may fail to aggressively market our product or may terminate their relationships with us. These developments would likely have a material adverse effect on our sales. Our reliance on the sales of our products by distributors also makes it more difficult to predict our revenue, cash flow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expend significant resources to generate sales due to our lengthy sales cycle, and such efforts may not result in sales or revenue.</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law enforcement agencies consider a wide range of issues before committing to purchase a product, including product benefits, training costs, the cost to use our product in addition to, or in place of, other use of force products, product reliability and budget constraints. The length of our sales cycle may range from 30 days to a year or more. We may incur substantial selling costs and expend significant effort in connection with the evaluation of our product by potential customers before they place an order, if they place an order at all. If these potential customers do not purchase our product, we will have expended significant resources without corresponding revenue.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Most of our intended end-users are subject to budgetary and political constraints that may delay or prevent sales.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of our and our distributors intended end-user customers are government agencies. These agencies often do not set their own budgets and therefore have little control over the amount of money they can spend. In addition, these agencies experience political pressure that may dictate the manner in which they spend money. As a result, even if an agency wants to acquire our product, it may be unable to purchase our product due to budgetary or political constraints. Some government agency orders may also be canceled or substantially delayed due to budgetary, political or other scheduling delays, which frequently occur in connection with the acquisition of products by such agencies.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dependence on third-party suppliers for key components of our product could delay shipment of our products and reduce our sales.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on certain domestic and foreign suppliers for the delivery of components used in the assembly of our product. Our reliance on third-party suppliers creates risks related to our potential inability to obtain an adequate supply of components or sub-assemblies and reduced control over pricing and timing of delivery of components and subassemblies. Specifically, we will depend on suppliers of sub-assemblies, machined parts, injection molded plastic parts, and other miscellaneous custom parts for our product. We do not have any long-term supply agreements with any suppliers. Any interruption of supply for any material components of our products could significantly delay the shipment of our products and have a material adverse effect on our revenue, profitability and financial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1" w:name="page22"/>
    <w:bookmarkEnd w:id="21"/>
    <w:p>
      <w:pPr>
        <w:jc w:val="both"/>
        <w:spacing w:after="0" w:line="296" w:lineRule="auto"/>
        <w:rPr>
          <w:sz w:val="20"/>
          <w:szCs w:val="20"/>
          <w:color w:val="auto"/>
        </w:rPr>
      </w:pPr>
      <w:r>
        <w:rPr>
          <w:rFonts w:ascii="Arial" w:cs="Arial" w:eastAsia="Arial" w:hAnsi="Arial"/>
          <w:sz w:val="17"/>
          <w:szCs w:val="17"/>
          <w:b w:val="1"/>
          <w:bCs w:val="1"/>
          <w:i w:val="1"/>
          <w:iCs w:val="1"/>
          <w:color w:val="auto"/>
        </w:rPr>
        <w:t>We may not be able to successfully integrate acquisitions in the future, and we may not be able to realize, revenue enhancements or other synergies from such acquisitions.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December 14, 2020, we acquired substantially all of the virtual reality system assets and business of NSENA. Our ability to successfully implement our business plan and achieve targeted financial results and other benefits including, among other things, greater market presence and development, and enhancements to our product portfolio and customer base, is dependent on our ability to successfully identify, consummate and integrate acquisitions, including NSENA as well as other businesses we may acquire in the future. We may not realize the intended benefits of the NSENA acquisition or the acquisition of other businesses in the future as rapidly as, or to the extent, anticipated by our management. There can be no assurance that we will be able to successfully integrate the NSENA business or any other acquired businesses, products or technologies without substantial expenses, delays or other operational or financial problems. Acquisitions, including our acquisition of NSENA, involve a number of risks, some or all which could have a material adverse effect on our acquired businesses, products or technologies. Furthermore, there can be no assurance that the NSENA business or any other acquired business, product, or technology will be profitable or achieve anticipated revenues and income. Our failure to manage our acquisition and integration strategy successfully could have a material adverse effect on our business, results of operations and financial condition. The process of integrating an acquired business involves risks, including but not limited to:</w:t>
      </w:r>
    </w:p>
    <w:p>
      <w:pPr>
        <w:spacing w:after="0" w:line="188" w:lineRule="exact"/>
        <w:rPr>
          <w:sz w:val="20"/>
          <w:szCs w:val="20"/>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Demands on management related to changes in the size and possible locations of our businesses and employees;</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Diversion of management's attention from the management of daily operations;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Difficulties in the assimilation of different corporate cultures, employees and business practices;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Retaining the loyalty and business of the employees or customers of acquired businesses;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Retaining employees that may be vital to the integration of acquired businesses or to the future prospects of the combined businesses;</w:t>
      </w:r>
    </w:p>
    <w:p>
      <w:pPr>
        <w:spacing w:after="0" w:line="19" w:lineRule="exact"/>
        <w:rPr>
          <w:rFonts w:ascii="Arial" w:cs="Arial" w:eastAsia="Arial" w:hAnsi="Arial"/>
          <w:sz w:val="17"/>
          <w:szCs w:val="17"/>
          <w:color w:val="auto"/>
        </w:rPr>
      </w:pPr>
    </w:p>
    <w:p>
      <w:pPr>
        <w:ind w:left="660" w:hanging="330"/>
        <w:spacing w:after="0" w:line="28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and unanticipated expenses related to the integration of departments, information technology systems, including accounting systems, technologies, books and records, and procedures, and maintaining uniform standards, such as internal accounting controls, procedures, and policies;</w:t>
      </w: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Costs and expenses associated with any undisclosed or potential liabilities,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use of more cash or other financial resources on integration and implementation activities than we expect.</w:t>
      </w:r>
    </w:p>
    <w:p>
      <w:pPr>
        <w:spacing w:after="0" w:line="22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Failure to successfully integrate NSENA or any other acquired business in the future may result in reduced levels of revenue, earnings, or operating efficiency than might have been achieved if we had not acquired such businesses.</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addition, the acquisition of NSENA and any future businesses could result in additional debt and related interest expense, contingent liabilities, and amortization expenses related to intangible assets, as well as the issuance of our Common Stock, which could have a material adverse effect on our financial condition, operating results, and cash flow.</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of our products may adversely affect sales.</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device is classified as a firearm regulated by the U.S. Bureau of Alcohol, Tobacco, Firearms and Explosives (“ATF”) involving substantial regulatory compliance. ATF regulations are enforced by surveillance and inspection. If ATF finds a violation, it can institute a wide range of enforcement actions, ranging from public warnings to more severe sanctions such as fines, penalties, suspension or withdrawal of regulatory approvals, product recalls, seizure of products, operating restrictions or total shutdown of production, and criminal prosecution. Any such actions could have a material adverse impact on our operations.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device may face state restrictions, especially regarding sales to security agencies. Our product sales may be significantly affected by federal, state and local regulation. Failure to comply with regulations could also result in the imposition of fines, penalties and other actions that could adversely impact our financial position, cash flows and operating results.</w:t>
      </w:r>
    </w:p>
    <w:p>
      <w:pPr>
        <w:spacing w:after="0" w:line="17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product is also controlled by the U.S. Department of Commerce (“</w:t>
      </w:r>
      <w:r>
        <w:rPr>
          <w:rFonts w:ascii="Arial" w:cs="Arial" w:eastAsia="Arial" w:hAnsi="Arial"/>
          <w:sz w:val="17"/>
          <w:szCs w:val="17"/>
          <w:i w:val="1"/>
          <w:iCs w:val="1"/>
          <w:color w:val="auto"/>
        </w:rPr>
        <w:t>DOC</w:t>
      </w:r>
      <w:r>
        <w:rPr>
          <w:rFonts w:ascii="Arial" w:cs="Arial" w:eastAsia="Arial" w:hAnsi="Arial"/>
          <w:sz w:val="17"/>
          <w:szCs w:val="17"/>
          <w:color w:val="auto"/>
        </w:rPr>
        <w:t>”) for exports directly from the United States. Consequently, we need to obtain export licenses from the DOC for the export of our products from the United States. Compliance with or changes in U.S. export regulations could significantly and adversely affect any future international sales.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Certain foreign jurisdictions may restrict the importation or sale of our products, limiting our international sales opportunities.</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products, including the BolaWrap 100, have limited issued patents or other intellectual property protection. If we are unable to protect our intellectual property, we may lose a competitive advantage or incur substantial litigation costs to protect our rights.</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success depends in part upon our proprietary technology. We currently own ten issued U.S. patents related to the BolaWrap 100 and have nine U.S. patents pending. We have filed foreign patent applications in the European Union (up to 38 countries) and 17 other countries, and reserved our rights to file additional foreign patents. Our protective measures taken thus far, including our issued patents, pending patents, issued and pending trademarks and trade secret laws, may prove inadequate to protect our proprietary rights. There can be no assurance we will be granted any patent rights from pending patents. The scope of any possible patent rights may not prevent others from developing and selling competing products. The validity and breadth of claims covered in any possible patents involve complex legal and factual questions, and the resolution of such claims may be highly uncertain, lengthy, and expensive. In addition, any patents, if granted, may be held invalid upon challenge, or others may claim rights in or ownership of our patents.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competitive position will be seriously damaged if our products are found to infringe on the intellectual property rights of others.</w:t>
      </w:r>
    </w:p>
    <w:p>
      <w:pPr>
        <w:spacing w:after="0" w:line="23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Other companies and our competitors may currently own or obtain patents or other proprietary rights that might prevent, limit or interfere with our ability to make, use or sell our products. Any intellectual property infringement claims made against us, with or without merit, could be costly and time-consuming to defend and divert our management’s attention from our business. In the event of a successful claim of infringement against us and our failure or inability to license the infringed technology, our business and operating results could be adversely affected. Any litigation or claims, whether or not valid, could result in substantial costs and diversion of our resources. An adverse result from intellectual property litigation could force us to do one or more of the following: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●Cease selling, incorporating or using products or services that incorporate the challenged intellectual property;</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●Obtain a license from the holder of the infringed intellectual property right, which license may not be available on reasonable terms, if at all; and</w:t>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●Redesign products or services that incorporate the disputed technology.</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If we are forced to take any of the foregoing actions, we could face substantial costs and shipment delays and our business could be materially harmed. Although we carry general liability insurance, our insurance may not cover potential claims of this type or be adequate to indemnify us for all liability that may be imposed.</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addition, it is possible that our distributors and customers may seek indemnity from us in the event that our products are found or alleged to infringe the intellectual property rights of others. Any such claim for indemnity could result in substantial expense to us that could harm our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Competition in the law enforcement market could reduce our sales, make our products obsolete or inferior and prevent us from achieving profitability.</w:t>
      </w:r>
    </w:p>
    <w:p>
      <w:pPr>
        <w:spacing w:after="0" w:line="2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law enforcement market is highly competitive. We face competition from numerous larger, better capitalized, more experienced and more widely known companies that make restraint devices, less-lethal weapons and other law enforcement products. One or more of our competitors may have developed or may succeed in developing technologies and products that are more effective than any of ours, rendering our technology and products obsolete or noncompetitive. Increased competition could result in reduced sales, greater pricing pressure, lower gross margins, and prevent us from achieving profitability.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Foreign currency fluctuations may reduce our competitiveness and sales in international markets.</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relative change in currency values creates fluctuations in product pricing for future potential international customers. These changes in international end-user costs may result in lost orders and reduce the competitiveness of our products in certain international markets. These changes may also negatively affect the financial condition of some international customers and reduce or eliminate their future orders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dependent on the continued services of our executive team and key employees.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and operations are substantially dependent upon the experience and continued service of our executive team including our President and Interim Chief Executive Officer, Thomas Smith. We do not maintain “key person” life insurance on Mr. Smith or any of our other executive officers and have no employment agreements or post-employment agreements to have access to important institutional knowledge should any executive officer resign or be dismissed. The loss of one or several key employees could have a material adverse effect upon our business, financial condition, results of operations and cash flows.</w:t>
      </w:r>
    </w:p>
    <w:p>
      <w:pPr>
        <w:spacing w:after="0" w:line="186" w:lineRule="exact"/>
        <w:rPr>
          <w:sz w:val="20"/>
          <w:szCs w:val="20"/>
          <w:color w:val="auto"/>
        </w:rPr>
      </w:pPr>
    </w:p>
    <w:p>
      <w:pPr>
        <w:jc w:val="both"/>
        <w:spacing w:after="0" w:line="333" w:lineRule="auto"/>
        <w:rPr>
          <w:sz w:val="20"/>
          <w:szCs w:val="20"/>
          <w:color w:val="auto"/>
        </w:rPr>
      </w:pPr>
      <w:r>
        <w:rPr>
          <w:rFonts w:ascii="Arial" w:cs="Arial" w:eastAsia="Arial" w:hAnsi="Arial"/>
          <w:sz w:val="15"/>
          <w:szCs w:val="15"/>
          <w:color w:val="auto"/>
        </w:rPr>
        <w:t>We are also dependent on our ability to retain and motivate high quality personnel, especially sales and skilled engineering personnel. Competition for such personnel is intense, and we may not be able to attract, assimilate or retain other highly qualified managerial, sales and technical personnel in the future. The inability to attract and retain the necessary managerial, sales and technical personnel could cause our business, operating results or financial condition to suffer.</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current Chief Executive Officer serves in an interim capacity. Our business may be adversely affected if we are unable to effectively handle any transition in the position of Chief Executive Officer or other executive positions.</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President Thomas Smith was appointed as interim Chief Executive Officer in October 2020. Executive leadership transitions can be inherently difficult to manage and may cause significant and costly disruption to our business. The loss of services of Mr. Smith or other members of senior management, or the inability to attract qualified permanent replacements, could have a material adverse effect on our business, financial condition,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Factors Relating to Our Financial Statements and Operating Results</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cannot predict our future operating results. Our quarterly and annual results will likely be subject to fluctuations caused by many factors, any of which could result in our failure to achieve our expectations.</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currently expect that the BolaWrap product will be the primary source of our revenue in the foreseeable future. We expect our revenue to vary significantly due to a number of factors. Many of these factors are beyond our control. Any one or more of these factors, including those listed below, could cause us to fail to achieve our revenue expectations. These factors include, among others:</w:t>
      </w:r>
    </w:p>
    <w:p>
      <w:pPr>
        <w:spacing w:after="0" w:line="176" w:lineRule="exact"/>
        <w:rPr>
          <w:sz w:val="20"/>
          <w:szCs w:val="20"/>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develop and supply product to customers;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Market acceptance of, and changes in demand for, our products;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Gains or losses of significant customers, distributors or strategic relationships;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Unpredictable volume and timing of customer orders;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availability, pricing and timeliness of delivery of components for our products;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Fluctuations in the availability of manufacturing capacity or manufacturing yields and related manufacturing costs;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Timing of new technological advances, product announcements or introductions by us and by our competitors;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Unpredictable warranty costs associated with our products;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4" w:name="page25"/>
    <w:bookmarkEnd w:id="24"/>
    <w:p>
      <w:pPr>
        <w:ind w:left="660" w:hanging="330"/>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Budgetary cycles and order delays by customers or production delays by us or our suppliers;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Regulatory changes affecting the marketability of our products;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Logistics challenges of obtaining supplies and components and shipping products resulting from the pandemic;</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General economic conditions that could affect the timing of customer orders and capital spending and result in order cancellations or rescheduling; and</w:t>
      </w:r>
    </w:p>
    <w:p>
      <w:pPr>
        <w:spacing w:after="0" w:line="257" w:lineRule="exact"/>
        <w:rPr>
          <w:rFonts w:ascii="Arial" w:cs="Arial" w:eastAsia="Arial" w:hAnsi="Arial"/>
          <w:sz w:val="15"/>
          <w:szCs w:val="15"/>
          <w:color w:val="auto"/>
        </w:rPr>
      </w:pPr>
    </w:p>
    <w:p>
      <w:pPr>
        <w:ind w:left="660" w:hanging="33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political conditions in this country and in various other parts of the world that could affect spending for the products that we intend to offer.</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Some or all of these factors could adversely affect demand for our products and, therefore, adversely affect our future operating results. As a result of these and other factors, we believe that period-to-period comparisons of our operating results may not be meaningful in the near term, and accordingly you should not rely upon our performance in a particular period as indicative of our performance in any future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expense may vary from period to period, which could affect quarterly results and our stock price.</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If we incur additional expense in a quarter in which we do not experience increased revenue, our results of operations will be adversely affected, and we may incur larger losses than anticipated for that quarter. Factors that could cause our expense to fluctuate from period to period include:</w:t>
      </w:r>
    </w:p>
    <w:p>
      <w:pPr>
        <w:spacing w:after="0" w:line="163" w:lineRule="exact"/>
        <w:rPr>
          <w:sz w:val="20"/>
          <w:szCs w:val="20"/>
          <w:color w:val="auto"/>
        </w:rPr>
      </w:pPr>
    </w:p>
    <w:p>
      <w:pPr>
        <w:ind w:left="660" w:hanging="330"/>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and extent of our research and development efforts;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Investments and costs of maintaining or protecting our intellectual property;</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Marketing and sales efforts to promote our products and technologies; and</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personnel and consultant hiring.</w:t>
      </w:r>
    </w:p>
    <w:p>
      <w:pPr>
        <w:spacing w:after="0" w:line="23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Most of our operating expenses are relatively fixed in the short term. We may be unable to rapidly adjust spending to compensate for any unexpected sales shortfalls, which could harm our quarterly operating results and our stock price. We do not have the ability to predict future operating results with any certainty.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acts of fraud.</w:t>
      </w:r>
    </w:p>
    <w:p>
      <w:pPr>
        <w:spacing w:after="0" w:line="2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in reports filed or submitted under the Securities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control systems, they cannot provide absolute assurance that all control issues and instances of fraud, if any, within our company have been prevented or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5" w:name="page26"/>
    <w:bookmarkEnd w:id="25"/>
    <w:p>
      <w:pPr>
        <w:jc w:val="both"/>
        <w:spacing w:after="0" w:line="296" w:lineRule="auto"/>
        <w:rPr>
          <w:sz w:val="20"/>
          <w:szCs w:val="20"/>
          <w:color w:val="auto"/>
        </w:rPr>
      </w:pPr>
      <w:r>
        <w:rPr>
          <w:rFonts w:ascii="Arial" w:cs="Arial" w:eastAsia="Arial" w:hAnsi="Arial"/>
          <w:sz w:val="17"/>
          <w:szCs w:val="17"/>
          <w:b w:val="1"/>
          <w:bCs w:val="1"/>
          <w:i w:val="1"/>
          <w:iCs w:val="1"/>
          <w:color w:val="auto"/>
        </w:rPr>
        <w:t>Failure to maintain an effective system of internal control over financial reporting could harm stockholder and business confidence in our financial reporting, our ability to obtain financing and other aspects of our business.</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Maintaining an effective system of internal control over financial reporting is necessary for us to provide reliable financial reports. Section 404 of the Sarbanes-Oxley Act of 2002 and the related rules and regulations promulgated by the SEC require us to include in our Form 10-K a report by management regarding the effectiveness of our internal control over financial reporting. The report includes, among other things, an assessment of the effectiveness of our internal control over financial reporting as of the end of the respective fiscal year, including a statement as to whether or not our internal control over financial reporting is effective. This assessment must include disclosure of any material weaknesses in our internal control over financial reporting identified by management. While our management has concluded that our internal control over financial reporting was effective as of December 31, 2020, it is possible that material weaknesses will be identified in the future. In addition, components of our internal control over financial reporting may require improvement from time to time. If management is unable to assert that our internal control over financial reporting is effective in any future period, investors may lose confidence in the accuracy and completeness of our financial reports, which could have an adverse effect on the Company’s stock price.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Factors Relating to Our Common Stock</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stock price is volatile and may continue to be volatile or may decline regardless of our operating performance, resulting in substantial losses for investors.</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market price of our Common Stock has fluctuated significant to date and in the future may fluctuate significantly in response to numerous factors, many of which are beyond our control, including the factors listed below and other factors described in this “Risk Factors” section:</w:t>
      </w:r>
    </w:p>
    <w:p>
      <w:pPr>
        <w:spacing w:after="0" w:line="163" w:lineRule="exact"/>
        <w:rPr>
          <w:sz w:val="20"/>
          <w:szCs w:val="20"/>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w:t>
      </w:r>
    </w:p>
    <w:p>
      <w:pPr>
        <w:spacing w:after="0" w:line="234" w:lineRule="exact"/>
        <w:rPr>
          <w:rFonts w:ascii="Arial" w:cs="Arial" w:eastAsia="Arial" w:hAnsi="Arial"/>
          <w:sz w:val="17"/>
          <w:szCs w:val="17"/>
          <w:color w:val="auto"/>
        </w:rPr>
      </w:pPr>
    </w:p>
    <w:p>
      <w:pPr>
        <w:ind w:left="660" w:hanging="330"/>
        <w:spacing w:after="0" w:line="29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162"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Rating changes by any securities analysts who follow our Company;</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availability of federal funding to support local law enforcement efforts, or local budgets;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Announcements by us of significant technical innovations, acquisitions, strategic partnerships, joint ventures or capital commitments;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security product companies generally;</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including as a result of trends in the economy as a whole;</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Announcements of merger or acquisition transactions;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our board of directors or management;</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Sales of large blocks of our Common Stock, including sales by our executive officers, directors and significant stockholders;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Short sales, hedging and other derivative transactions involving our capital stock;</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conditions in the United States and abroad; and</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or responses to these events.</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addition, stock markets have experienced extreme price and volume fluctuations that have affected and continue to affect the market prices of equity securities of many security and technology companies. Stock prices of many security and technology companies have fluctuated in a manner unrelated or disproportionate to the operating performance of those companies.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We are and, in the future, may be subject to securities litigation, which may be expensive and could divert management attention.</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share price is volatile, and in the past companies that have experienced volatility in the market price of their stock have been subject to securities class action litigation. For instance, in September 2020 a putative class action lawsuit and in November 2020 a shareholder derivative lawsuit were filed against us and certain of our directors and officers.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Lawsuits of this nature divert financial and management resources that would otherwise be used to benefit our operations. Although we deny the material allegations in the lawsuits and intend to defend ourselves vigorously, defending the lawsuits may result in substantial costs. 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addition, we may be the target of securities-related litigation in the future. Such litigation may divert our management’s attention and resources, result in substantial costs, and have an adverse effect on our business, results of operations and financial condition. We maintain director and officer insurance that we regard as reasonably adequate to protect us from potential claims; however, we cannot assure you that it will. Further, if we are subject to future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may adversely affect the market price of our Common Stock.</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Sales or distributions of a substantial number of shares of our Common Stock in the public market, or the perception that such sales could occur, could adversely affect the market price of our Common Stock. Many of the outstanding shares of our Common Stock, other than the shares held by executive officers and directors, are eligible for immediate resale in the public market. Substantial selling of our Common Stock could adversely affect the market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could be delisted from the Nasdaq Stock Market.</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Nasdaq’s continued listing standards for our Common Stock require, among other things, that (i) we maintain a closing bid price for our Common Stock of at least $1.00, and (ii) we maintain: (A) stockholders’ equity of $2.5 million; (B) market value of listed securities of $35 million; or (C) net income from continuing operations of $500,000 in the most recently completed fiscal year or in two of the last three most recently completed fiscal years. Any failures to satisfy any continued listing requirements could lead to the receipt of a deficiency notice from Nasdaq and ultimately to a delisting from trading of our Common Stock. If our Common Stock were delisted from Nasdaq, among other things, this could result in a number of negative implications, including reduced liquidity in our Common Stock as a result of the loss of market efficiencies associated with Nasdaq and the loss of federal preemption of state securities laws as well as the potential loss of confidence by suppliers, customers and employees, institutional investor interest, fewer business development opportunities, greater difficulty in obtaining financing and possible breaches of certain 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officers and directors are among our largest stockholders and may have certain personal interests that may affect the Company.</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Management owned approximately 41% of our Common Stock at December 31, 2020. As a result, our management, acting individually or as a group, has the potential ability to exert influence on the outcome of issues requiring approval by our stockholders. This concentration of ownership may have effects such as delaying or preventing a change in control of the Company that may be favored by other stockholders or preventing transactions in which stockholders might otherwise recover a premium for their shares over current market prices.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issue additional shares of Common Stock in the future. The issuance of additional shares of Common Stock may reduce the value of your Common Stock.</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may issue additional shares of Common Stock without further action by our stockholders. Moreover, the economic and voting interests of each stockholder will be diluted as a result of any such issuances. Although the number of shares of Common Stock that stockholders presently own will not decrease, such shares will represent a smaller percentage of the total shares that will be outstanding after the issuance of additional shares. The issuance of additional shares of Common Stock may cause the market price of our Common Stock to decline.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Sales of shares of Common Stock issuable upon the exercise of any future options or warrants may lower the price of our Common Stock.</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At December 31, 2020, we had warrants, options and restricted stock units outstanding on 7.6 million shares of our Common Stock. The issuance of shares of Common Stock issuable upon the exercise of options or warrants or issuance from restricted stock units could cause substantial dilution to existing holders of our Common Stock, and the sale of those shares in the market could cause the market price of our Common Stock to decline. The potential dilution from the issuance of these shares could negatively affect the terms on which we are able to obtain equity financing.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in the future, and the terms of the preferred stock may reduce the value of your Common Stock.</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authorized to issue up to 5 million shares of preferred stock in one or more series. Our Board of Directors may determine the terms of future preferred stock offerings without further action by our stockholders. If we issue preferred stock, it could affect your rights or reduce the value of your Common Stock. In particular, specific rights granted to future holders of preferred stock could be used to restrict our ability to merge with or sell our assets to a third party. Preferred stock terms may include voting rights, preferences as to dividends and liquidation, conversion and redemption rights and sinking fund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incur substantial costs as a result of being a public company.</w:t>
      </w:r>
    </w:p>
    <w:p>
      <w:pPr>
        <w:spacing w:after="0" w:line="23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a public company, we incur significant levels of legal, accounting, insurance, exchange listing fees and other expenses that we did not incur as a private company. We are subject to the reporting requirements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the Sarbanes-Oxley Act of 2002 (the “</w:t>
      </w:r>
      <w:r>
        <w:rPr>
          <w:rFonts w:ascii="Arial" w:cs="Arial" w:eastAsia="Arial" w:hAnsi="Arial"/>
          <w:sz w:val="17"/>
          <w:szCs w:val="17"/>
          <w:i w:val="1"/>
          <w:iCs w:val="1"/>
          <w:color w:val="auto"/>
        </w:rPr>
        <w:t>Sarbanes-Oxley Act</w:t>
      </w:r>
      <w:r>
        <w:rPr>
          <w:rFonts w:ascii="Arial" w:cs="Arial" w:eastAsia="Arial" w:hAnsi="Arial"/>
          <w:sz w:val="17"/>
          <w:szCs w:val="17"/>
          <w:color w:val="auto"/>
        </w:rPr>
        <w:t>”), the Dodd-Frank Act, the listing requirements of the Nasdaq Capital Market and other applicable securities rules and regulations. Compliance with these rules and regulations increases our legal and financial compliance costs, makes some activities more difficult, time-consuming or costly and increases demand on our systems and resources as compared to when we operated as a private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corporate employees in the future or engage outside consultants to comply with these requirements, which would increase our costs and expenses.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disclosure of information in this report and in the filings that we are required to make as a public company, our business, operating results and financial condition have become more visible, which has resulted in, and may in the future result in threatened or actual litigation, including by competitors and other third parties. If any such claims are successful, our business, operating results and financial condition could be adversely affected, and even if the claims do not result in litigation or are resolved in our favor, these claims, and the time and resources necessary to resolve them, could divert the resources of our management and adversely affect our business, operating results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The payment of dividends will be at the discretion of our Board of Directors.</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have never declared dividends on our Common Stock, and currently do not anticipate that we will do so in the foreseeable future. The declaration and amount of future dividends, if any, will be determined by our Board of Directors and will depend on our financial condition, earnings, capital requirements, financial covenants, regulatory constraints, industry practice and other factors our Board of Directors deems relevant.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executive offices, sales, training, assembly and warehouse facilities are located at 1817 West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Tempe, Arizona. The lease of 11,256 square feet commenced in June 2019 and expires July 2022. The aggregate monthly payments are currently $7,884 increasing 3% each June during the lease term, plus other certain costs and charges as specified in the lease agreement, including the Company’s proportionate share of the building operating expenses and real estate taxes.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also leases 1,987 square feet of office and warehousing space located at 4620 Arville Street, Suite E, Las Vegas, Nevada 89103, pursuant to a lease amendment that commenced January 2021 and terminates at the end of March 2021. The monthly rate is $1,683 plus shared operating expenses. In February 2019, we entered into a two-year lease expiring at the end of February 2021 for 1,906 square feet of office and warehousing space located at </w:t>
      </w:r>
      <w:r>
        <w:rPr>
          <w:rFonts w:ascii="Arial" w:cs="Arial" w:eastAsia="Arial" w:hAnsi="Arial"/>
          <w:sz w:val="17"/>
          <w:szCs w:val="17"/>
          <w:color w:val="1B1B1B"/>
        </w:rPr>
        <w:t>20331</w:t>
      </w:r>
      <w:r>
        <w:rPr>
          <w:rFonts w:ascii="Arial" w:cs="Arial" w:eastAsia="Arial" w:hAnsi="Arial"/>
          <w:sz w:val="17"/>
          <w:szCs w:val="17"/>
          <w:color w:val="auto"/>
        </w:rPr>
        <w:t xml:space="preserve"> </w:t>
      </w:r>
      <w:r>
        <w:rPr>
          <w:rFonts w:ascii="Arial" w:cs="Arial" w:eastAsia="Arial" w:hAnsi="Arial"/>
          <w:sz w:val="17"/>
          <w:szCs w:val="17"/>
          <w:color w:val="1B1B1B"/>
        </w:rPr>
        <w:t xml:space="preserve">Lake Forest Drive, Suite C-11, Lake Forest, California 92630. </w:t>
      </w:r>
      <w:r>
        <w:rPr>
          <w:rFonts w:ascii="Arial" w:cs="Arial" w:eastAsia="Arial" w:hAnsi="Arial"/>
          <w:sz w:val="17"/>
          <w:szCs w:val="17"/>
          <w:color w:val="000000"/>
        </w:rPr>
        <w:t>The monthly rate is currently $2,649 per month plus shared operating costs. We intend to vacate</w:t>
      </w:r>
      <w:r>
        <w:rPr>
          <w:rFonts w:ascii="Arial" w:cs="Arial" w:eastAsia="Arial" w:hAnsi="Arial"/>
          <w:sz w:val="17"/>
          <w:szCs w:val="17"/>
          <w:color w:val="1B1B1B"/>
        </w:rPr>
        <w:t xml:space="preserve"> </w:t>
      </w:r>
      <w:r>
        <w:rPr>
          <w:rFonts w:ascii="Arial" w:cs="Arial" w:eastAsia="Arial" w:hAnsi="Arial"/>
          <w:sz w:val="17"/>
          <w:szCs w:val="17"/>
          <w:color w:val="000000"/>
        </w:rPr>
        <w:t>the Nevada and California facilities at the end of the respective lease terms consolidating operations at the Tempe facility. We are evaluating our facility requirements and expect we may need additional space during the next 12 months.</w:t>
      </w:r>
    </w:p>
    <w:p>
      <w:pPr>
        <w:spacing w:after="0" w:line="18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Beginning in October 2017, we commenced reimbursing officer Mr. Elwood Norris $1,500 per month on a month-to-month basis for laboratory facility costs. From November 2018 through November 2020, we paid $5,000 per month on a month-to-month basis for a 50% share of 1,000 square feet at 55 Fifth Ave, Suite 1702, New York, NY 10003. We from time to time rent executive space on a month-to-month basis for remotely located employees.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Securities Litigation</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23, 2020, Carone Cobden filed a putative class action complaint against the Company, former Chief Executive Officer David Norris (“Norris”), Chief Financial Officer James A. Barnes (“</w:t>
      </w:r>
      <w:r>
        <w:rPr>
          <w:rFonts w:ascii="Arial" w:cs="Arial" w:eastAsia="Arial" w:hAnsi="Arial"/>
          <w:sz w:val="16"/>
          <w:szCs w:val="16"/>
          <w:i w:val="1"/>
          <w:iCs w:val="1"/>
          <w:color w:val="auto"/>
        </w:rPr>
        <w:t>Barnes</w:t>
      </w:r>
      <w:r>
        <w:rPr>
          <w:rFonts w:ascii="Arial" w:cs="Arial" w:eastAsia="Arial" w:hAnsi="Arial"/>
          <w:sz w:val="16"/>
          <w:szCs w:val="16"/>
          <w:color w:val="auto"/>
        </w:rPr>
        <w:t>”) and President Thomas Smith (“</w:t>
      </w:r>
      <w:r>
        <w:rPr>
          <w:rFonts w:ascii="Arial" w:cs="Arial" w:eastAsia="Arial" w:hAnsi="Arial"/>
          <w:sz w:val="16"/>
          <w:szCs w:val="16"/>
          <w:i w:val="1"/>
          <w:iCs w:val="1"/>
          <w:color w:val="auto"/>
        </w:rPr>
        <w:t>Smith</w:t>
      </w:r>
      <w:r>
        <w:rPr>
          <w:rFonts w:ascii="Arial" w:cs="Arial" w:eastAsia="Arial" w:hAnsi="Arial"/>
          <w:sz w:val="16"/>
          <w:szCs w:val="16"/>
          <w:color w:val="auto"/>
        </w:rPr>
        <w:t>”) in the United States District Court for the Central District of California, docketed as Case No. 2-20-cv-08760-DMG-PVCx (the “</w:t>
      </w:r>
      <w:r>
        <w:rPr>
          <w:rFonts w:ascii="Arial" w:cs="Arial" w:eastAsia="Arial" w:hAnsi="Arial"/>
          <w:sz w:val="16"/>
          <w:szCs w:val="16"/>
          <w:i w:val="1"/>
          <w:iCs w:val="1"/>
          <w:color w:val="auto"/>
        </w:rPr>
        <w:t>Cobden Complaint</w:t>
      </w:r>
      <w:r>
        <w:rPr>
          <w:rFonts w:ascii="Arial" w:cs="Arial" w:eastAsia="Arial" w:hAnsi="Arial"/>
          <w:sz w:val="16"/>
          <w:szCs w:val="16"/>
          <w:color w:val="auto"/>
        </w:rPr>
        <w:t>”). The Cobden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Arial" w:cs="Arial" w:eastAsia="Arial" w:hAnsi="Arial"/>
          <w:sz w:val="16"/>
          <w:szCs w:val="16"/>
          <w:i w:val="1"/>
          <w:iCs w:val="1"/>
          <w:color w:val="auto"/>
        </w:rPr>
        <w:t>BolaWrap Pilot Program</w:t>
      </w:r>
      <w:r>
        <w:rPr>
          <w:rFonts w:ascii="Arial" w:cs="Arial" w:eastAsia="Arial" w:hAnsi="Arial"/>
          <w:sz w:val="16"/>
          <w:szCs w:val="16"/>
          <w:color w:val="auto"/>
        </w:rPr>
        <w:t>”). The Cobden Complaint also alleges that the conduct of the named defendants artificially inflated the price of the Company’s traded securities, and that the disclosure of certain adverse information to the public led to a decline in the market value of the Company’s securities. The Cobden Complaint further alleges violations of Sections 10(b) and 20(a) of the Exchange Act, and Rule 10b-5 promulgated thereunder, and defines the class period as July 31, 2020 through September 23, 2020.</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1, 2020, Joseph Mercurio filed a second putative class action complaint against the Company, Norris, Smith, and Barnes in the same court, which contains substantially the same factual allegations and legal claims as set forth in the Cobden Complaint, and is docketed as Case No. 2-20-cv-09030-DMG-PVCx (the “</w:t>
      </w:r>
      <w:r>
        <w:rPr>
          <w:rFonts w:ascii="Arial" w:cs="Arial" w:eastAsia="Arial" w:hAnsi="Arial"/>
          <w:sz w:val="17"/>
          <w:szCs w:val="17"/>
          <w:i w:val="1"/>
          <w:iCs w:val="1"/>
          <w:color w:val="auto"/>
        </w:rPr>
        <w:t>Mercurio Complaint</w:t>
      </w:r>
      <w:r>
        <w:rPr>
          <w:rFonts w:ascii="Arial" w:cs="Arial" w:eastAsia="Arial" w:hAnsi="Arial"/>
          <w:sz w:val="17"/>
          <w:szCs w:val="17"/>
          <w:color w:val="auto"/>
        </w:rPr>
        <w:t>”). On October 15, 2020, Paula Earley filed a third putative class action complaint against the Company, Smith, Norris, Barnes, Chief Strategy Officer Mike Rothans (“</w:t>
      </w:r>
      <w:r>
        <w:rPr>
          <w:rFonts w:ascii="Arial" w:cs="Arial" w:eastAsia="Arial" w:hAnsi="Arial"/>
          <w:sz w:val="17"/>
          <w:szCs w:val="17"/>
          <w:i w:val="1"/>
          <w:iCs w:val="1"/>
          <w:color w:val="auto"/>
        </w:rPr>
        <w:t>Rothans</w:t>
      </w:r>
      <w:r>
        <w:rPr>
          <w:rFonts w:ascii="Arial" w:cs="Arial" w:eastAsia="Arial" w:hAnsi="Arial"/>
          <w:sz w:val="17"/>
          <w:szCs w:val="17"/>
          <w:color w:val="auto"/>
        </w:rPr>
        <w:t>”), and former Chief Executive Officer Marc Thomas (“</w:t>
      </w:r>
      <w:r>
        <w:rPr>
          <w:rFonts w:ascii="Arial" w:cs="Arial" w:eastAsia="Arial" w:hAnsi="Arial"/>
          <w:sz w:val="17"/>
          <w:szCs w:val="17"/>
          <w:i w:val="1"/>
          <w:iCs w:val="1"/>
          <w:color w:val="auto"/>
        </w:rPr>
        <w:t>Thomas</w:t>
      </w:r>
      <w:r>
        <w:rPr>
          <w:rFonts w:ascii="Arial" w:cs="Arial" w:eastAsia="Arial" w:hAnsi="Arial"/>
          <w:sz w:val="17"/>
          <w:szCs w:val="17"/>
          <w:color w:val="auto"/>
        </w:rPr>
        <w:t>”) in the same court, which contains many of the same factual allegations and legal claims as set forth in the Cobden and Mercurio Complaints, but defines the class period as April 29, 2020 through September 23, 2020, and alleges additional false or misleading statements in connection with BolaWrap and the BolaWrap Pilot Program (the “</w:t>
      </w:r>
      <w:r>
        <w:rPr>
          <w:rFonts w:ascii="Arial" w:cs="Arial" w:eastAsia="Arial" w:hAnsi="Arial"/>
          <w:sz w:val="17"/>
          <w:szCs w:val="17"/>
          <w:i w:val="1"/>
          <w:iCs w:val="1"/>
          <w:color w:val="auto"/>
        </w:rPr>
        <w:t>Earley</w:t>
      </w:r>
      <w:r>
        <w:rPr>
          <w:rFonts w:ascii="Arial" w:cs="Arial" w:eastAsia="Arial" w:hAnsi="Arial"/>
          <w:sz w:val="17"/>
          <w:szCs w:val="17"/>
          <w:color w:val="auto"/>
        </w:rPr>
        <w:t xml:space="preserve"> </w:t>
      </w:r>
      <w:r>
        <w:rPr>
          <w:rFonts w:ascii="Arial" w:cs="Arial" w:eastAsia="Arial" w:hAnsi="Arial"/>
          <w:sz w:val="17"/>
          <w:szCs w:val="17"/>
          <w:i w:val="1"/>
          <w:iCs w:val="1"/>
          <w:color w:val="auto"/>
        </w:rPr>
        <w:t>Complaint</w:t>
      </w:r>
      <w:r>
        <w:rPr>
          <w:rFonts w:ascii="Arial" w:cs="Arial" w:eastAsia="Arial" w:hAnsi="Arial"/>
          <w:sz w:val="17"/>
          <w:szCs w:val="17"/>
          <w:color w:val="auto"/>
        </w:rPr>
        <w:t>”). The Earley Complaint is docketed as Case No. 2-20-cv-09444-DMG-PVCx.</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9" w:name="page30"/>
    <w:bookmarkEnd w:id="29"/>
    <w:p>
      <w:pPr>
        <w:jc w:val="both"/>
        <w:spacing w:after="0" w:line="270" w:lineRule="auto"/>
        <w:rPr>
          <w:sz w:val="20"/>
          <w:szCs w:val="20"/>
          <w:color w:val="auto"/>
        </w:rPr>
      </w:pPr>
      <w:r>
        <w:rPr>
          <w:rFonts w:ascii="Arial" w:cs="Arial" w:eastAsia="Arial" w:hAnsi="Arial"/>
          <w:sz w:val="17"/>
          <w:szCs w:val="17"/>
          <w:color w:val="auto"/>
        </w:rPr>
        <w:t xml:space="preserve">On November 3, 2020, the Hon. Dolly M. Gee consolidated the three above-mentioned cases under the caption </w:t>
      </w:r>
      <w:r>
        <w:rPr>
          <w:rFonts w:ascii="Arial" w:cs="Arial" w:eastAsia="Arial" w:hAnsi="Arial"/>
          <w:sz w:val="17"/>
          <w:szCs w:val="17"/>
          <w:i w:val="1"/>
          <w:iCs w:val="1"/>
          <w:color w:val="auto"/>
        </w:rPr>
        <w:t>In re Wrap Technologies, Inc.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Act Litigation</w:t>
      </w:r>
      <w:r>
        <w:rPr>
          <w:rFonts w:ascii="Arial" w:cs="Arial" w:eastAsia="Arial" w:hAnsi="Arial"/>
          <w:sz w:val="17"/>
          <w:szCs w:val="17"/>
          <w:color w:val="auto"/>
        </w:rPr>
        <w:t>, Case No. 20-8760-DMG (PVCx) (the “</w:t>
      </w:r>
      <w:r>
        <w:rPr>
          <w:rFonts w:ascii="Arial" w:cs="Arial" w:eastAsia="Arial" w:hAnsi="Arial"/>
          <w:sz w:val="17"/>
          <w:szCs w:val="17"/>
          <w:i w:val="1"/>
          <w:iCs w:val="1"/>
          <w:color w:val="auto"/>
        </w:rPr>
        <w:t>Securities Action</w:t>
      </w:r>
      <w:r>
        <w:rPr>
          <w:rFonts w:ascii="Arial" w:cs="Arial" w:eastAsia="Arial" w:hAnsi="Arial"/>
          <w:sz w:val="17"/>
          <w:szCs w:val="17"/>
          <w:color w:val="auto"/>
        </w:rPr>
        <w:t>”). On January 7, 2021, the Court appointed a lead plaintiff in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Action, who designated its attorneys as lead counsel. On January 21, 2021, Judge Gee ordered that a consolidated amended complaint be filed in the Securities Action on or before March 12, 2021, with defendants’ motion to dismiss to be filed on or before April 26, 2021, and a hearing on the motion to dismiss to be held on July 23, 2021. The Company believes that the complaints underlying the Securities Action are without merit and intends to vigorously defend against the claims raised therein.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Shareholder Derivative Litigation</w:t>
      </w: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November 13, 2020, Naresh Rammohan filed a shareholder derivative action in the United States District Court for the Central District of California against Smith, Barnes, Rothans, Thomas, Norris,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7"/>
          <w:szCs w:val="17"/>
          <w:i w:val="1"/>
          <w:iCs w:val="1"/>
          <w:color w:val="auto"/>
        </w:rPr>
        <w:t>Rammohan Complaint</w:t>
      </w:r>
      <w:r>
        <w:rPr>
          <w:rFonts w:ascii="Arial" w:cs="Arial" w:eastAsia="Arial" w:hAnsi="Arial"/>
          <w:sz w:val="17"/>
          <w:szCs w:val="17"/>
          <w:color w:val="auto"/>
        </w:rPr>
        <w:t>”). The Rammohan Complaint names the Company as a nominal defendant and recites many of the allegations set forth in the Securities Action relating to the BolaWrap Pilot Program.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7"/>
          <w:szCs w:val="17"/>
          <w:i w:val="1"/>
          <w:iCs w:val="1"/>
          <w:color w:val="auto"/>
        </w:rPr>
        <w:t>Westerman Complaint</w:t>
      </w:r>
      <w:r>
        <w:rPr>
          <w:rFonts w:ascii="Arial" w:cs="Arial" w:eastAsia="Arial" w:hAnsi="Arial"/>
          <w:sz w:val="17"/>
          <w:szCs w:val="17"/>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7"/>
          <w:szCs w:val="17"/>
          <w:i w:val="1"/>
          <w:iCs w:val="1"/>
          <w:color w:val="auto"/>
        </w:rPr>
        <w:t>Lowe</w:t>
      </w:r>
      <w:r>
        <w:rPr>
          <w:rFonts w:ascii="Arial" w:cs="Arial" w:eastAsia="Arial" w:hAnsi="Arial"/>
          <w:sz w:val="17"/>
          <w:szCs w:val="17"/>
          <w:color w:val="auto"/>
        </w:rPr>
        <w:t xml:space="preserve"> </w:t>
      </w:r>
      <w:r>
        <w:rPr>
          <w:rFonts w:ascii="Arial" w:cs="Arial" w:eastAsia="Arial" w:hAnsi="Arial"/>
          <w:sz w:val="17"/>
          <w:szCs w:val="17"/>
          <w:i w:val="1"/>
          <w:iCs w:val="1"/>
          <w:color w:val="auto"/>
        </w:rPr>
        <w:t>Complaint</w:t>
      </w:r>
      <w:r>
        <w:rPr>
          <w:rFonts w:ascii="Arial" w:cs="Arial" w:eastAsia="Arial" w:hAnsi="Arial"/>
          <w:sz w:val="17"/>
          <w:szCs w:val="17"/>
          <w:color w:val="auto"/>
        </w:rPr>
        <w:t>”).</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above-mentioned derivative cases (collectively, the “</w:t>
      </w:r>
      <w:r>
        <w:rPr>
          <w:rFonts w:ascii="Arial" w:cs="Arial" w:eastAsia="Arial" w:hAnsi="Arial"/>
          <w:sz w:val="16"/>
          <w:szCs w:val="16"/>
          <w:i w:val="1"/>
          <w:iCs w:val="1"/>
          <w:color w:val="auto"/>
        </w:rPr>
        <w:t>Derivative Actions</w:t>
      </w:r>
      <w:r>
        <w:rPr>
          <w:rFonts w:ascii="Arial" w:cs="Arial" w:eastAsia="Arial" w:hAnsi="Arial"/>
          <w:sz w:val="16"/>
          <w:szCs w:val="16"/>
          <w:color w:val="auto"/>
        </w:rPr>
        <w:t xml:space="preserve">”) each been have been transferred to Judge Gee as cases related to the Securities Action. On January 27, 2021, Judge Gee issued an order to show cause why the Derivative Actions should not be consolidated under the caption </w:t>
      </w:r>
      <w:r>
        <w:rPr>
          <w:rFonts w:ascii="Arial" w:cs="Arial" w:eastAsia="Arial" w:hAnsi="Arial"/>
          <w:sz w:val="16"/>
          <w:szCs w:val="16"/>
          <w:i w:val="1"/>
          <w:iCs w:val="1"/>
          <w:color w:val="auto"/>
        </w:rPr>
        <w:t>In re Wrap</w:t>
      </w:r>
      <w:r>
        <w:rPr>
          <w:rFonts w:ascii="Arial" w:cs="Arial" w:eastAsia="Arial" w:hAnsi="Arial"/>
          <w:sz w:val="16"/>
          <w:szCs w:val="16"/>
          <w:color w:val="auto"/>
        </w:rPr>
        <w:t xml:space="preserve"> </w:t>
      </w:r>
      <w:r>
        <w:rPr>
          <w:rFonts w:ascii="Arial" w:cs="Arial" w:eastAsia="Arial" w:hAnsi="Arial"/>
          <w:sz w:val="16"/>
          <w:szCs w:val="16"/>
          <w:i w:val="1"/>
          <w:iCs w:val="1"/>
          <w:color w:val="auto"/>
        </w:rPr>
        <w:t>Technologies, Inc. Shareholder Derivative Litigation</w:t>
      </w:r>
      <w:r>
        <w:rPr>
          <w:rFonts w:ascii="Arial" w:cs="Arial" w:eastAsia="Arial" w:hAnsi="Arial"/>
          <w:sz w:val="16"/>
          <w:szCs w:val="16"/>
          <w:color w:val="auto"/>
        </w:rPr>
        <w:t>, Case No. 2:20-10444-DMG-PVCx and stayed pending the resolution of the anticipated motion to dismiss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Securities Action. On February 5, 2021, the parties in the Derivative Actions responded jointly to the order to show cause, stipulating that the case should be consolidated and stayed as suggested by the Court. We believe that the Derivative Actions will be consolidated and stayed by the Court. As with the Securities Action, the Company believes that the Derivative Actions are without merit and intends to vigorously defend against the claims raised therein.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December 31, 2020 we had no provision for liability under existing litigation.</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34"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b w:val="1"/>
          <w:bCs w:val="1"/>
          <w:color w:val="auto"/>
        </w:rPr>
        <w:t>ITEM 5. MARKET FOR COMMON EQUITY AND RELATED STOCKHOLDER MATTERS AND ISSUER PURCHASES OF EQUITY SECURITIES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listed on the Nasdaq Capital Market under the symbol “WRAP”.</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At March 3, 2021 there were 37,644,556 shares of Common Stock outstanding and approximately 25 stockholders of record.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0"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Our 2017 Stock Incentive Plan (the “</w:t>
      </w:r>
      <w:r>
        <w:rPr>
          <w:rFonts w:ascii="Arial" w:cs="Arial" w:eastAsia="Arial" w:hAnsi="Arial"/>
          <w:sz w:val="15"/>
          <w:szCs w:val="15"/>
          <w:i w:val="1"/>
          <w:iCs w:val="1"/>
          <w:color w:val="auto"/>
        </w:rPr>
        <w:t>2017 Plan</w:t>
      </w:r>
      <w:r>
        <w:rPr>
          <w:rFonts w:ascii="Arial" w:cs="Arial" w:eastAsia="Arial" w:hAnsi="Arial"/>
          <w:sz w:val="15"/>
          <w:szCs w:val="15"/>
          <w:color w:val="auto"/>
        </w:rPr>
        <w:t>”) was adopted by our Board of Directors on March 31, 2017, and approved by a majority of our stockholders on March 31, 2017. The 2017 Plan reserved 2.0 million shares of our Common Stock for issuance as one of four types of equity incentive awards: (i) stock options,</w:t>
      </w:r>
    </w:p>
    <w:p>
      <w:pPr>
        <w:spacing w:after="0" w:line="1" w:lineRule="exact"/>
        <w:rPr>
          <w:sz w:val="20"/>
          <w:szCs w:val="20"/>
          <w:color w:val="auto"/>
        </w:rPr>
      </w:pPr>
    </w:p>
    <w:p>
      <w:pPr>
        <w:ind w:right="120" w:firstLine="7"/>
        <w:spacing w:after="0" w:line="287" w:lineRule="auto"/>
        <w:tabs>
          <w:tab w:leader="none" w:pos="2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of Common Stock, (iii) restricted stock awards, and (iv) restricted stock units. The 2017 Plan permits the qualification of awards under the plan as “performance-based compensation” within the meaning of Section 162(m) of the Internal Revenue Code.</w:t>
      </w:r>
    </w:p>
    <w:p>
      <w:pPr>
        <w:spacing w:after="0" w:line="171" w:lineRule="exact"/>
        <w:rPr>
          <w:sz w:val="20"/>
          <w:szCs w:val="20"/>
          <w:color w:val="auto"/>
        </w:rPr>
      </w:pPr>
    </w:p>
    <w:p>
      <w:pPr>
        <w:jc w:val="both"/>
        <w:ind w:right="100"/>
        <w:spacing w:after="0" w:line="280" w:lineRule="auto"/>
        <w:rPr>
          <w:sz w:val="20"/>
          <w:szCs w:val="20"/>
          <w:color w:val="auto"/>
        </w:rPr>
      </w:pPr>
      <w:r>
        <w:rPr>
          <w:rFonts w:ascii="Arial" w:cs="Arial" w:eastAsia="Arial" w:hAnsi="Arial"/>
          <w:sz w:val="17"/>
          <w:szCs w:val="17"/>
          <w:color w:val="auto"/>
        </w:rPr>
        <w:t>The Board of the Company approved an increase in the Plan authorizing an additional 2,100,000 shares of Common Stock on March 16, 2019, ratified by stockholders on May 23, 2019, and a further increase authorizing an additional 1,900,000 shares on April 8, 2020, ratified by stockholders on June 5, 2020, for a total of 6,000,000 shares of Common Stock reserved for issuance under the 2017 Plan as of the date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December 31, 2020, with respect to compensation plans (including individual compensation arrangements)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under which our equity securities are authorized for issuance, aggregated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88"/>
              </w:rPr>
              <w:t>Number of securities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ind w:left="160"/>
              <w:spacing w:after="0" w:line="161" w:lineRule="exact"/>
              <w:rPr>
                <w:sz w:val="20"/>
                <w:szCs w:val="20"/>
                <w:color w:val="auto"/>
              </w:rPr>
            </w:pPr>
            <w:r>
              <w:rPr>
                <w:rFonts w:ascii="Arial" w:cs="Arial" w:eastAsia="Arial" w:hAnsi="Arial"/>
                <w:sz w:val="15"/>
                <w:szCs w:val="15"/>
                <w:b w:val="1"/>
                <w:bCs w:val="1"/>
                <w:color w:val="auto"/>
                <w:w w:val="97"/>
              </w:rPr>
              <w:t>remaining available for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Weighted-</w:t>
            </w:r>
          </w:p>
        </w:tc>
        <w:tc>
          <w:tcPr>
            <w:tcW w:w="180" w:type="dxa"/>
            <w:vAlign w:val="bottom"/>
          </w:tcPr>
          <w:p>
            <w:pPr>
              <w:spacing w:after="0"/>
              <w:rPr>
                <w:sz w:val="14"/>
                <w:szCs w:val="14"/>
                <w:color w:val="auto"/>
              </w:rPr>
            </w:pPr>
          </w:p>
        </w:tc>
        <w:tc>
          <w:tcPr>
            <w:tcW w:w="1600" w:type="dxa"/>
            <w:vAlign w:val="bottom"/>
            <w:gridSpan w:val="3"/>
          </w:tcPr>
          <w:p>
            <w:pPr>
              <w:jc w:val="center"/>
              <w:ind w:right="280"/>
              <w:spacing w:after="0" w:line="161" w:lineRule="exact"/>
              <w:rPr>
                <w:sz w:val="20"/>
                <w:szCs w:val="20"/>
                <w:color w:val="auto"/>
              </w:rPr>
            </w:pPr>
            <w:r>
              <w:rPr>
                <w:rFonts w:ascii="Arial" w:cs="Arial" w:eastAsia="Arial" w:hAnsi="Arial"/>
                <w:sz w:val="15"/>
                <w:szCs w:val="15"/>
                <w:b w:val="1"/>
                <w:bCs w:val="1"/>
                <w:color w:val="auto"/>
                <w:w w:val="86"/>
              </w:rPr>
              <w:t>future issuance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820" w:type="dxa"/>
            <w:vAlign w:val="bottom"/>
            <w:gridSpan w:val="6"/>
          </w:tcPr>
          <w:p>
            <w:pPr>
              <w:jc w:val="right"/>
              <w:ind w:right="140"/>
              <w:spacing w:after="0" w:line="161" w:lineRule="exact"/>
              <w:rPr>
                <w:sz w:val="20"/>
                <w:szCs w:val="20"/>
                <w:color w:val="auto"/>
              </w:rPr>
            </w:pPr>
            <w:r>
              <w:rPr>
                <w:rFonts w:ascii="Arial" w:cs="Arial" w:eastAsia="Arial" w:hAnsi="Arial"/>
                <w:sz w:val="15"/>
                <w:szCs w:val="15"/>
                <w:b w:val="1"/>
                <w:bCs w:val="1"/>
                <w:color w:val="auto"/>
                <w:w w:val="85"/>
              </w:rPr>
              <w:t>Number of securities to beaverage exercise</w:t>
            </w:r>
          </w:p>
        </w:tc>
        <w:tc>
          <w:tcPr>
            <w:tcW w:w="180" w:type="dxa"/>
            <w:vAlign w:val="bottom"/>
          </w:tcPr>
          <w:p>
            <w:pPr>
              <w:spacing w:after="0"/>
              <w:rPr>
                <w:sz w:val="14"/>
                <w:szCs w:val="14"/>
                <w:color w:val="auto"/>
              </w:rPr>
            </w:pPr>
          </w:p>
        </w:tc>
        <w:tc>
          <w:tcPr>
            <w:tcW w:w="1600" w:type="dxa"/>
            <w:vAlign w:val="bottom"/>
            <w:gridSpan w:val="3"/>
          </w:tcPr>
          <w:p>
            <w:pPr>
              <w:jc w:val="center"/>
              <w:ind w:right="280"/>
              <w:spacing w:after="0" w:line="161" w:lineRule="exact"/>
              <w:rPr>
                <w:sz w:val="20"/>
                <w:szCs w:val="20"/>
                <w:color w:val="auto"/>
              </w:rPr>
            </w:pPr>
            <w:r>
              <w:rPr>
                <w:rFonts w:ascii="Arial" w:cs="Arial" w:eastAsia="Arial" w:hAnsi="Arial"/>
                <w:sz w:val="15"/>
                <w:szCs w:val="15"/>
                <w:b w:val="1"/>
                <w:bCs w:val="1"/>
                <w:color w:val="auto"/>
                <w:w w:val="86"/>
              </w:rPr>
              <w:t>under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3"/>
              </w:rPr>
              <w:t>issued upon exercise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price of</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8"/>
              </w:rPr>
              <w:t>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outstanding</w:t>
            </w:r>
          </w:p>
        </w:tc>
        <w:tc>
          <w:tcPr>
            <w:tcW w:w="1780" w:type="dxa"/>
            <w:vAlign w:val="bottom"/>
            <w:gridSpan w:val="4"/>
          </w:tcPr>
          <w:p>
            <w:pPr>
              <w:ind w:left="160"/>
              <w:spacing w:after="0" w:line="161" w:lineRule="exact"/>
              <w:rPr>
                <w:sz w:val="20"/>
                <w:szCs w:val="20"/>
                <w:color w:val="auto"/>
              </w:rPr>
            </w:pPr>
            <w:r>
              <w:rPr>
                <w:rFonts w:ascii="Arial" w:cs="Arial" w:eastAsia="Arial" w:hAnsi="Arial"/>
                <w:sz w:val="15"/>
                <w:szCs w:val="15"/>
                <w:b w:val="1"/>
                <w:bCs w:val="1"/>
                <w:color w:val="auto"/>
                <w:w w:val="86"/>
              </w:rPr>
              <w:t>equity compensation plan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61" w:lineRule="exact"/>
              <w:rPr>
                <w:sz w:val="20"/>
                <w:szCs w:val="20"/>
                <w:color w:val="auto"/>
              </w:rPr>
            </w:pPr>
            <w:r>
              <w:rPr>
                <w:rFonts w:ascii="Arial" w:cs="Arial" w:eastAsia="Arial" w:hAnsi="Arial"/>
                <w:sz w:val="15"/>
                <w:szCs w:val="15"/>
                <w:b w:val="1"/>
                <w:bCs w:val="1"/>
                <w:color w:val="auto"/>
                <w:w w:val="85"/>
              </w:rPr>
              <w:t>options,</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outstanding options,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9"/>
              </w:rPr>
              <w:t>warrants and</w:t>
            </w:r>
          </w:p>
        </w:tc>
        <w:tc>
          <w:tcPr>
            <w:tcW w:w="180" w:type="dxa"/>
            <w:vAlign w:val="bottom"/>
          </w:tcPr>
          <w:p>
            <w:pPr>
              <w:spacing w:after="0"/>
              <w:rPr>
                <w:sz w:val="14"/>
                <w:szCs w:val="14"/>
                <w:color w:val="auto"/>
              </w:rPr>
            </w:pPr>
          </w:p>
        </w:tc>
        <w:tc>
          <w:tcPr>
            <w:tcW w:w="1600" w:type="dxa"/>
            <w:vAlign w:val="bottom"/>
            <w:gridSpan w:val="3"/>
          </w:tcPr>
          <w:p>
            <w:pPr>
              <w:jc w:val="center"/>
              <w:ind w:right="280"/>
              <w:spacing w:after="0" w:line="161" w:lineRule="exact"/>
              <w:rPr>
                <w:sz w:val="20"/>
                <w:szCs w:val="20"/>
                <w:color w:val="auto"/>
              </w:rPr>
            </w:pPr>
            <w:r>
              <w:rPr>
                <w:rFonts w:ascii="Arial" w:cs="Arial" w:eastAsia="Arial" w:hAnsi="Arial"/>
                <w:sz w:val="15"/>
                <w:szCs w:val="15"/>
                <w:b w:val="1"/>
                <w:bCs w:val="1"/>
                <w:color w:val="auto"/>
                <w:w w:val="85"/>
              </w:rPr>
              <w:t>(excluding securities</w:t>
            </w:r>
          </w:p>
        </w:tc>
        <w:tc>
          <w:tcPr>
            <w:tcW w:w="0" w:type="dxa"/>
            <w:vAlign w:val="bottom"/>
          </w:tcPr>
          <w:p>
            <w:pPr>
              <w:spacing w:after="0"/>
              <w:rPr>
                <w:sz w:val="1"/>
                <w:szCs w:val="1"/>
                <w:color w:val="auto"/>
              </w:rPr>
            </w:pPr>
          </w:p>
        </w:tc>
      </w:tr>
      <w:tr>
        <w:trPr>
          <w:trHeight w:val="161"/>
        </w:trPr>
        <w:tc>
          <w:tcPr>
            <w:tcW w:w="67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Plan Category</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280"/>
              <w:spacing w:after="0" w:line="161" w:lineRule="exact"/>
              <w:rPr>
                <w:sz w:val="20"/>
                <w:szCs w:val="20"/>
                <w:color w:val="auto"/>
              </w:rPr>
            </w:pPr>
            <w:r>
              <w:rPr>
                <w:rFonts w:ascii="Arial" w:cs="Arial" w:eastAsia="Arial" w:hAnsi="Arial"/>
                <w:sz w:val="15"/>
                <w:szCs w:val="15"/>
                <w:b w:val="1"/>
                <w:bCs w:val="1"/>
                <w:color w:val="auto"/>
                <w:w w:val="87"/>
              </w:rPr>
              <w:t>reflected in column</w:t>
            </w:r>
          </w:p>
        </w:tc>
        <w:tc>
          <w:tcPr>
            <w:tcW w:w="0" w:type="dxa"/>
            <w:vAlign w:val="bottom"/>
          </w:tcPr>
          <w:p>
            <w:pPr>
              <w:spacing w:after="0"/>
              <w:rPr>
                <w:sz w:val="1"/>
                <w:szCs w:val="1"/>
                <w:color w:val="auto"/>
              </w:rPr>
            </w:pPr>
          </w:p>
        </w:tc>
      </w:tr>
      <w:tr>
        <w:trPr>
          <w:trHeight w:val="181"/>
        </w:trPr>
        <w:tc>
          <w:tcPr>
            <w:tcW w:w="674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0"/>
              </w:rPr>
              <w:t>warrants and rights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rights</w:t>
            </w:r>
          </w:p>
        </w:tc>
        <w:tc>
          <w:tcPr>
            <w:tcW w:w="180" w:type="dxa"/>
            <w:vAlign w:val="bottom"/>
          </w:tcPr>
          <w:p>
            <w:pPr>
              <w:spacing w:after="0"/>
              <w:rPr>
                <w:sz w:val="15"/>
                <w:szCs w:val="15"/>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rPr>
              <w:t>(a))</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(a)</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center"/>
              <w:ind w:right="2"/>
              <w:spacing w:after="0"/>
              <w:rPr>
                <w:sz w:val="20"/>
                <w:szCs w:val="20"/>
                <w:color w:val="auto"/>
              </w:rPr>
            </w:pPr>
            <w:r>
              <w:rPr>
                <w:rFonts w:ascii="Arial" w:cs="Arial" w:eastAsia="Arial" w:hAnsi="Arial"/>
                <w:sz w:val="15"/>
                <w:szCs w:val="15"/>
                <w:b w:val="1"/>
                <w:bCs w:val="1"/>
                <w:color w:val="auto"/>
                <w:w w:val="93"/>
              </w:rPr>
              <w:t>(b)</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w:t>
            </w:r>
          </w:p>
        </w:tc>
        <w:tc>
          <w:tcPr>
            <w:tcW w:w="2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plans approved by security holders</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4,359,592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1,150,055</w:t>
            </w:r>
          </w:p>
        </w:tc>
        <w:tc>
          <w:tcPr>
            <w:tcW w:w="1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Equity compensation plans not approved by security holders</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4,359,592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1,150,055</w:t>
            </w:r>
          </w:p>
        </w:tc>
        <w:tc>
          <w:tcPr>
            <w:tcW w:w="1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40"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No unregistered securities were issued during the fiscal year that were not previously reported in a Quarterly Report on Form 10-Q or Current Report on Form 8-K.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Our Transfer Agent and Registrar for our Common Stock is Colonial Stock Transfer, located at 66 Exchange Place, Suite 100, Salt Lake City, Utah 84111.</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40"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Information requested by this Item is not included, as we are electing to take advantage of scaled disclosure requirements available to Smaller Reporting Companies.</w:t>
      </w: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340"/>
          </w:cols>
          <w:pgMar w:left="320" w:top="555"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40" w:lineRule="exact"/>
        <w:rPr>
          <w:sz w:val="20"/>
          <w:szCs w:val="20"/>
          <w:color w:val="auto"/>
        </w:rPr>
      </w:pPr>
    </w:p>
    <w:p>
      <w:pPr>
        <w:jc w:val="both"/>
        <w:ind w:firstLine="57"/>
        <w:spacing w:after="0" w:line="271" w:lineRule="auto"/>
        <w:rPr>
          <w:sz w:val="20"/>
          <w:szCs w:val="20"/>
          <w:color w:val="auto"/>
        </w:rPr>
      </w:pPr>
      <w:r>
        <w:rPr>
          <w:rFonts w:ascii="Arial" w:cs="Arial" w:eastAsia="Arial" w:hAnsi="Arial"/>
          <w:sz w:val="17"/>
          <w:szCs w:val="17"/>
          <w:i w:val="1"/>
          <w:iCs w:val="1"/>
          <w:color w:val="auto"/>
        </w:rPr>
        <w:t>The discussion and analysis set forth below should be read in conjunction with the information presented in other sections of this Annual Report, including “Item 1. Business,” “Item 1A. Risk Factors,” and “Item 8. Financial Statements and Supplementary Data.” The following discussion may contain forward-looking statements that reflect our plans, estimates and beliefs. Words such as “expects,” “anticipates,” “intends,” “plans,” “believes,” “seeks,” “estimates” and similar expressions or variations of such words are intended to identify forward-looking statements but are not the only means of identifying forward-looking statements. Our actual results could differ materially from those discussed in these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a global public safety technology and services company organized in March 2016 delivering modern policing solutions to law enforcement and security personnel. We began product sales of our first public safety product, the BolaWrap 100 remote restraint device, in late 2018.</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immediate addressable domestic market for our solutions consists of approximately 900,000 full-time sworn law enforcement officers at over 15,300 federal, state and local law enforcement agencies.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Statistics MRC, a market research consulting firm, we participate in a segment of the non-lethal products global market expected to grow to $11.85 billion by 2023.</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Our products, services and solutions include:</w:t>
      </w:r>
    </w:p>
    <w:p>
      <w:pPr>
        <w:spacing w:after="0" w:line="234" w:lineRule="exact"/>
        <w:rPr>
          <w:sz w:val="20"/>
          <w:szCs w:val="20"/>
          <w:color w:val="auto"/>
        </w:rPr>
      </w:pPr>
    </w:p>
    <w:p>
      <w:pPr>
        <w:jc w:val="both"/>
        <w:ind w:left="660"/>
        <w:spacing w:after="0" w:line="280" w:lineRule="auto"/>
        <w:rPr>
          <w:sz w:val="20"/>
          <w:szCs w:val="20"/>
          <w:color w:val="auto"/>
        </w:rPr>
      </w:pPr>
      <w:r>
        <w:rPr>
          <w:rFonts w:ascii="Arial" w:cs="Arial" w:eastAsia="Arial" w:hAnsi="Arial"/>
          <w:sz w:val="17"/>
          <w:szCs w:val="17"/>
          <w:i w:val="1"/>
          <w:iCs w:val="1"/>
          <w:color w:val="auto"/>
        </w:rPr>
        <w:t xml:space="preserve">BolaWrap Remote Restraint Device </w:t>
      </w:r>
      <w:r>
        <w:rPr>
          <w:rFonts w:ascii="Arial" w:cs="Arial" w:eastAsia="Arial" w:hAnsi="Arial"/>
          <w:sz w:val="17"/>
          <w:szCs w:val="17"/>
          <w:color w:val="auto"/>
        </w:rPr>
        <w:t>– is a hand-held remote restraint device that discharges an eight-foot bola style Kevlar tether to entangle an</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at a range of 10-25 feet. BolaWrap 100 assists law enforcement to safely and effectively control encounters early in the use of force continuum without resorting to painful force options.</w:t>
      </w:r>
    </w:p>
    <w:p>
      <w:pPr>
        <w:spacing w:after="0" w:line="176" w:lineRule="exact"/>
        <w:rPr>
          <w:sz w:val="20"/>
          <w:szCs w:val="20"/>
          <w:color w:val="auto"/>
        </w:rPr>
      </w:pPr>
    </w:p>
    <w:p>
      <w:pPr>
        <w:jc w:val="both"/>
        <w:ind w:left="660"/>
        <w:spacing w:after="0" w:line="280" w:lineRule="auto"/>
        <w:rPr>
          <w:sz w:val="20"/>
          <w:szCs w:val="20"/>
          <w:color w:val="auto"/>
        </w:rPr>
      </w:pPr>
      <w:r>
        <w:rPr>
          <w:rFonts w:ascii="Arial" w:cs="Arial" w:eastAsia="Arial" w:hAnsi="Arial"/>
          <w:sz w:val="17"/>
          <w:szCs w:val="17"/>
          <w:i w:val="1"/>
          <w:iCs w:val="1"/>
          <w:color w:val="auto"/>
        </w:rPr>
        <w:t xml:space="preserve">Wrap Reality </w:t>
      </w:r>
      <w:r>
        <w:rPr>
          <w:rFonts w:ascii="Arial" w:cs="Arial" w:eastAsia="Arial" w:hAnsi="Arial"/>
          <w:sz w:val="17"/>
          <w:szCs w:val="17"/>
          <w:color w:val="auto"/>
        </w:rPr>
        <w:t>– is a law enforcement training system employing immersive computer graphics virtual reality with proprietary software-enabled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It allows up to two participants to enter a simulated training environment simultaneously, and customized weapons controllers enable trainees to engage in strategic decision making along the force continuum.</w:t>
      </w:r>
    </w:p>
    <w:p>
      <w:pPr>
        <w:spacing w:after="0" w:line="176" w:lineRule="exact"/>
        <w:rPr>
          <w:sz w:val="20"/>
          <w:szCs w:val="20"/>
          <w:color w:val="auto"/>
        </w:rPr>
      </w:pPr>
    </w:p>
    <w:p>
      <w:pPr>
        <w:jc w:val="both"/>
        <w:ind w:left="660"/>
        <w:spacing w:after="0" w:line="296" w:lineRule="auto"/>
        <w:rPr>
          <w:sz w:val="20"/>
          <w:szCs w:val="20"/>
          <w:color w:val="auto"/>
        </w:rPr>
      </w:pPr>
      <w:r>
        <w:rPr>
          <w:rFonts w:ascii="Arial" w:cs="Arial" w:eastAsia="Arial" w:hAnsi="Arial"/>
          <w:sz w:val="17"/>
          <w:szCs w:val="17"/>
          <w:i w:val="1"/>
          <w:iCs w:val="1"/>
          <w:color w:val="auto"/>
        </w:rPr>
        <w:t xml:space="preserve">Wrap Armor </w:t>
      </w:r>
      <w:r>
        <w:rPr>
          <w:rFonts w:ascii="Arial" w:cs="Arial" w:eastAsia="Arial" w:hAnsi="Arial"/>
          <w:sz w:val="17"/>
          <w:szCs w:val="17"/>
          <w:color w:val="auto"/>
        </w:rPr>
        <w:t>– we offer a light-weight rifle rated police shield and a pistol rated patrol shield that offers police agencies an affordable defense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increasingly sophisticated threats.</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addition to the United States domestic law enforcement market, we have sold our restraint products to 36 countries. We have established an active distributor network with 14 domestic distributors representing all 50 states and Puerto Rico. We have distribution agreements with 35 international distributors. We focus significant sales, training and business development efforts to support our distribution network.</w:t>
      </w:r>
    </w:p>
    <w:p>
      <w:pPr>
        <w:spacing w:after="0" w:line="17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branding and market presence globally and have established significant competitive advantages in our markets.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Developments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Proceeds from Public Offering</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2020, we consummated a registered direct public offering resulting in net proceeds of approximately $11.67 million (“</w:t>
      </w:r>
      <w:r>
        <w:rPr>
          <w:rFonts w:ascii="Arial" w:cs="Arial" w:eastAsia="Arial" w:hAnsi="Arial"/>
          <w:sz w:val="16"/>
          <w:szCs w:val="16"/>
          <w:i w:val="1"/>
          <w:iCs w:val="1"/>
          <w:color w:val="auto"/>
        </w:rPr>
        <w:t>June 2020 Offering</w:t>
      </w:r>
      <w:r>
        <w:rPr>
          <w:rFonts w:ascii="Arial" w:cs="Arial" w:eastAsia="Arial" w:hAnsi="Arial"/>
          <w:sz w:val="16"/>
          <w:szCs w:val="16"/>
          <w:color w:val="auto"/>
        </w:rPr>
        <w:t>”). We sold 2,066,667 units (“</w:t>
      </w:r>
      <w:r>
        <w:rPr>
          <w:rFonts w:ascii="Arial" w:cs="Arial" w:eastAsia="Arial" w:hAnsi="Arial"/>
          <w:sz w:val="16"/>
          <w:szCs w:val="16"/>
          <w:i w:val="1"/>
          <w:iCs w:val="1"/>
          <w:color w:val="auto"/>
        </w:rPr>
        <w:t>June 2020 Units</w:t>
      </w:r>
      <w:r>
        <w:rPr>
          <w:rFonts w:ascii="Arial" w:cs="Arial" w:eastAsia="Arial" w:hAnsi="Arial"/>
          <w:sz w:val="16"/>
          <w:szCs w:val="16"/>
          <w:color w:val="auto"/>
        </w:rPr>
        <w:t>”), with each unit consisting of (i) one share of Common Stock and (ii) a warrant to purchase one share of Common Stock. The June 2020 Units were offered and sold to Investors at a public offering price of $6.00 per unit. Each of the warrants offered and sold in the June 2020 Offering are exercisable for a period of 24 months from the date of issuance, are non-transferrable and have an exercise price of $6.00 per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auto"/>
        </w:rPr>
        <w:t>Proceeds from Warrant Exercises</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During the year ended December 31, 2020 the Company received gross proceeds of $26,190,483 from the exercise of 5,155,976 warrants and paid $1,016,645 as an agent fee to facilitate exercise of certain warrants resulting in net proceeds of $25,173,838. Elwood Norris, the Company’s Chief Technology Officer, exercised 333,334 of these warrants at $5.00 per share for cash of $1,666,670.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PPP Loan</w:t>
      </w:r>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May 2020, we obtained $414,362 in proceeds from a U.S. Small Business Administration ("</w:t>
      </w:r>
      <w:r>
        <w:rPr>
          <w:rFonts w:ascii="Arial" w:cs="Arial" w:eastAsia="Arial" w:hAnsi="Arial"/>
          <w:sz w:val="15"/>
          <w:szCs w:val="15"/>
          <w:i w:val="1"/>
          <w:iCs w:val="1"/>
          <w:color w:val="auto"/>
        </w:rPr>
        <w:t>SBA</w:t>
      </w:r>
      <w:r>
        <w:rPr>
          <w:rFonts w:ascii="Arial" w:cs="Arial" w:eastAsia="Arial" w:hAnsi="Arial"/>
          <w:sz w:val="15"/>
          <w:szCs w:val="15"/>
          <w:color w:val="auto"/>
        </w:rPr>
        <w:t>") Promissory Note (the "</w:t>
      </w:r>
      <w:r>
        <w:rPr>
          <w:rFonts w:ascii="Arial" w:cs="Arial" w:eastAsia="Arial" w:hAnsi="Arial"/>
          <w:sz w:val="15"/>
          <w:szCs w:val="15"/>
          <w:i w:val="1"/>
          <w:iCs w:val="1"/>
          <w:color w:val="auto"/>
        </w:rPr>
        <w:t>PPP Loan</w:t>
      </w:r>
      <w:r>
        <w:rPr>
          <w:rFonts w:ascii="Arial" w:cs="Arial" w:eastAsia="Arial" w:hAnsi="Arial"/>
          <w:sz w:val="15"/>
          <w:szCs w:val="15"/>
          <w:color w:val="auto"/>
        </w:rPr>
        <w:t>") pursuant to the Paycheck Protection Program ("</w:t>
      </w:r>
      <w:r>
        <w:rPr>
          <w:rFonts w:ascii="Arial" w:cs="Arial" w:eastAsia="Arial" w:hAnsi="Arial"/>
          <w:sz w:val="15"/>
          <w:szCs w:val="15"/>
          <w:i w:val="1"/>
          <w:iCs w:val="1"/>
          <w:color w:val="auto"/>
        </w:rPr>
        <w:t>PPP</w:t>
      </w:r>
      <w:r>
        <w:rPr>
          <w:rFonts w:ascii="Arial" w:cs="Arial" w:eastAsia="Arial" w:hAnsi="Arial"/>
          <w:sz w:val="15"/>
          <w:szCs w:val="15"/>
          <w:color w:val="auto"/>
        </w:rPr>
        <w:t>") of the Coronavirus Aid, Relief, and Economic Security Act (the "</w:t>
      </w:r>
      <w:r>
        <w:rPr>
          <w:rFonts w:ascii="Arial" w:cs="Arial" w:eastAsia="Arial" w:hAnsi="Arial"/>
          <w:sz w:val="15"/>
          <w:szCs w:val="15"/>
          <w:i w:val="1"/>
          <w:iCs w:val="1"/>
          <w:color w:val="auto"/>
        </w:rPr>
        <w:t>CARES Act</w:t>
      </w:r>
      <w:r>
        <w:rPr>
          <w:rFonts w:ascii="Arial" w:cs="Arial" w:eastAsia="Arial" w:hAnsi="Arial"/>
          <w:sz w:val="15"/>
          <w:szCs w:val="15"/>
          <w:color w:val="auto"/>
        </w:rPr>
        <w:t>") as administered by the SBA. Under the terms of the CARES Act, the Company subsequently applied for and in December 2020 was granted forgiveness for the PPP Loan plus interest. The Company’s</w:t>
      </w:r>
    </w:p>
    <w:p>
      <w:pPr>
        <w:ind w:firstLine="7"/>
        <w:spacing w:after="0" w:line="320" w:lineRule="auto"/>
        <w:tabs>
          <w:tab w:leader="none" w:pos="3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Loan in the amount of $414,362 and accrued interest was forgiven in full by the Small Business Administration. The Company recognized $416,683 in debt forgiveness income as a result of the forgiveness.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Purchase Agreement with NSENA</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December 14, 2020, the Company, through a new wholly owned subsidiary Wrap Reality, Inc. (“</w:t>
      </w:r>
      <w:r>
        <w:rPr>
          <w:rFonts w:ascii="Arial" w:cs="Arial" w:eastAsia="Arial" w:hAnsi="Arial"/>
          <w:sz w:val="17"/>
          <w:szCs w:val="17"/>
          <w:i w:val="1"/>
          <w:iCs w:val="1"/>
          <w:color w:val="auto"/>
        </w:rPr>
        <w:t>Wrap Reality</w:t>
      </w:r>
      <w:r>
        <w:rPr>
          <w:rFonts w:ascii="Arial" w:cs="Arial" w:eastAsia="Arial" w:hAnsi="Arial"/>
          <w:sz w:val="17"/>
          <w:szCs w:val="17"/>
          <w:color w:val="auto"/>
        </w:rPr>
        <w:t>”), entered into an Asset Purchase Agreement (the “</w:t>
      </w:r>
      <w:r>
        <w:rPr>
          <w:rFonts w:ascii="Arial" w:cs="Arial" w:eastAsia="Arial" w:hAnsi="Arial"/>
          <w:sz w:val="17"/>
          <w:szCs w:val="17"/>
          <w:i w:val="1"/>
          <w:iCs w:val="1"/>
          <w:color w:val="auto"/>
        </w:rPr>
        <w:t>Asset Purchase Agreement</w:t>
      </w:r>
      <w:r>
        <w:rPr>
          <w:rFonts w:ascii="Arial" w:cs="Arial" w:eastAsia="Arial" w:hAnsi="Arial"/>
          <w:sz w:val="17"/>
          <w:szCs w:val="17"/>
          <w:color w:val="auto"/>
        </w:rPr>
        <w:t>”) with NSENA Inc, a Delaware corporation (“</w:t>
      </w:r>
      <w:r>
        <w:rPr>
          <w:rFonts w:ascii="Arial" w:cs="Arial" w:eastAsia="Arial" w:hAnsi="Arial"/>
          <w:sz w:val="17"/>
          <w:szCs w:val="17"/>
          <w:i w:val="1"/>
          <w:iCs w:val="1"/>
          <w:color w:val="auto"/>
        </w:rPr>
        <w:t>NSENA</w:t>
      </w:r>
      <w:r>
        <w:rPr>
          <w:rFonts w:ascii="Arial" w:cs="Arial" w:eastAsia="Arial" w:hAnsi="Arial"/>
          <w:sz w:val="17"/>
          <w:szCs w:val="17"/>
          <w:color w:val="auto"/>
        </w:rPr>
        <w:t>”) and Ethan Moeller (“</w:t>
      </w:r>
      <w:r>
        <w:rPr>
          <w:rFonts w:ascii="Arial" w:cs="Arial" w:eastAsia="Arial" w:hAnsi="Arial"/>
          <w:sz w:val="17"/>
          <w:szCs w:val="17"/>
          <w:i w:val="1"/>
          <w:iCs w:val="1"/>
          <w:color w:val="auto"/>
        </w:rPr>
        <w:t>Moeller</w:t>
      </w:r>
      <w:r>
        <w:rPr>
          <w:rFonts w:ascii="Arial" w:cs="Arial" w:eastAsia="Arial" w:hAnsi="Arial"/>
          <w:sz w:val="17"/>
          <w:szCs w:val="17"/>
          <w:color w:val="auto"/>
        </w:rPr>
        <w:t>”), the majority stockholder of NSENA and acquired NSENA’s immersive virtual reality technology and business (the “</w:t>
      </w:r>
      <w:r>
        <w:rPr>
          <w:rFonts w:ascii="Arial" w:cs="Arial" w:eastAsia="Arial" w:hAnsi="Arial"/>
          <w:sz w:val="17"/>
          <w:szCs w:val="17"/>
          <w:i w:val="1"/>
          <w:iCs w:val="1"/>
          <w:color w:val="auto"/>
        </w:rPr>
        <w:t>Transaction</w:t>
      </w:r>
      <w:r>
        <w:rPr>
          <w:rFonts w:ascii="Arial" w:cs="Arial" w:eastAsia="Arial" w:hAnsi="Arial"/>
          <w:sz w:val="17"/>
          <w:szCs w:val="17"/>
          <w:color w:val="auto"/>
        </w:rPr>
        <w:t>”). In addition, the Company hired three NSENA persons as employees (including Moeller) (“</w:t>
      </w:r>
      <w:r>
        <w:rPr>
          <w:rFonts w:ascii="Arial" w:cs="Arial" w:eastAsia="Arial" w:hAnsi="Arial"/>
          <w:sz w:val="17"/>
          <w:szCs w:val="17"/>
          <w:i w:val="1"/>
          <w:iCs w:val="1"/>
          <w:color w:val="auto"/>
        </w:rPr>
        <w:t>Key Employees</w:t>
      </w:r>
      <w:r>
        <w:rPr>
          <w:rFonts w:ascii="Arial" w:cs="Arial" w:eastAsia="Arial" w:hAnsi="Arial"/>
          <w:sz w:val="17"/>
          <w:szCs w:val="17"/>
          <w:color w:val="auto"/>
        </w:rPr>
        <w:t>”) and retained two NSENA consultants (“</w:t>
      </w:r>
      <w:r>
        <w:rPr>
          <w:rFonts w:ascii="Arial" w:cs="Arial" w:eastAsia="Arial" w:hAnsi="Arial"/>
          <w:sz w:val="17"/>
          <w:szCs w:val="17"/>
          <w:i w:val="1"/>
          <w:iCs w:val="1"/>
          <w:color w:val="auto"/>
        </w:rPr>
        <w:t>Consultants</w:t>
      </w:r>
      <w:r>
        <w:rPr>
          <w:rFonts w:ascii="Arial" w:cs="Arial" w:eastAsia="Arial" w:hAnsi="Arial"/>
          <w:sz w:val="17"/>
          <w:szCs w:val="17"/>
          <w:color w:val="auto"/>
        </w:rPr>
        <w:t>”).</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Wrap Reality paid NSENA cash consideration of $210,000 and agreed to pay $100,000 on March 15, 2021, $100,000 on June 15, 2021 and $75,000 on September 15, 2021. In addition, Wrap Reality assumed $15,000 of liabilities related to funds received by NSENA but unearned on existing revenue related contract arrangements. As additional earn-out consideration, Wrap Reality has agreed to pay NSENA 10% of net revenues (or a lesser amount equal to 50% of direct profit) from specific identified prospects that become revenue customers (“</w:t>
      </w:r>
      <w:r>
        <w:rPr>
          <w:rFonts w:ascii="Arial" w:cs="Arial" w:eastAsia="Arial" w:hAnsi="Arial"/>
          <w:sz w:val="17"/>
          <w:szCs w:val="17"/>
          <w:i w:val="1"/>
          <w:iCs w:val="1"/>
          <w:color w:val="auto"/>
        </w:rPr>
        <w:t>NSENA Earn-out Consideration</w:t>
      </w:r>
      <w:r>
        <w:rPr>
          <w:rFonts w:ascii="Arial" w:cs="Arial" w:eastAsia="Arial" w:hAnsi="Arial"/>
          <w:sz w:val="17"/>
          <w:szCs w:val="17"/>
          <w:color w:val="auto"/>
        </w:rPr>
        <w:t>”) before September 30, 2021, but only on amounts collected between consummation of the acquisition and June 30, 2022.</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of the Key Employees executed an At-Will Employment, Confidential Information, Non-Compete/Non-Solicitation, Invention Assignment, and Arbitration Agreement and the Key Employees were issued service-based stock options exercisable for an aggregate of 150,000 shares of the Company’s Common Stock exercisable for ten years at $5.46 per share, vesting over two years unless accelerated by certain events. Mr. Moeller was granted an additional ten-year performance-based stock option exercisable at $5.46 per share on 100,000 shares of Common Stock based on achieving certain virtual reality revenue targets by December 1, 2024. Each of the two Consultants were granted service-based stock options exercisable for 20,000 shares of the Company’s Common Stock for five years at $5.46 per share, vesting over two years unless accelerated under the terms of the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Outlook and Challenges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products and solutions continue to gain worldwide awareness and recognition through social media, media exposure, trade shows, product demonstrations and word of mouth as a result of positive responses from agencies and early adoption and deployment success. We believe the Wrap is gaining traction as a recognized global brand, with innovative technology and an initial product foundation achieved through aggressive marketing and public relations. We believe that we have strong market opportunities for our remote restraint solution throughout the world in the law enforcement and security sectors as a result of increasing demands for less lethal policing and increasing threats posed by non-compliant subjects.</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grew our business in 2020 with revenues increasing 460% and continue to expand our business in 2021, both domestically and internationally, through direct and distributor sales. We have a robust and growing pipeline of opportunities and are pursuing large business prospects internationally and also pursuing business with large police agencies in the U.S. It is difficult to anticipate how long it will take to close these opportunities, or if they will ultimately come to fruition.</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To support our increased sales and distribution activities we have developed and offer robust training and class materials that certify law enforcement officers and trainers as BolaWrap Instructors in the use and limitations of the BolaWrap in conjunction with modern policing tactics for de-escalation of encounters. Over 520 agencies have received BolaWrap training with over 1,550 training officers at those agencies certified as BolaWrap instructors qualified to train the rest of their departments.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3" w:name="page34"/>
    <w:bookmarkEnd w:id="33"/>
    <w:p>
      <w:pPr>
        <w:jc w:val="both"/>
        <w:ind w:right="20"/>
        <w:spacing w:after="0" w:line="296" w:lineRule="auto"/>
        <w:rPr>
          <w:sz w:val="20"/>
          <w:szCs w:val="20"/>
          <w:color w:val="auto"/>
        </w:rPr>
      </w:pPr>
      <w:r>
        <w:rPr>
          <w:rFonts w:ascii="Arial" w:cs="Arial" w:eastAsia="Arial" w:hAnsi="Arial"/>
          <w:sz w:val="17"/>
          <w:szCs w:val="17"/>
          <w:color w:val="auto"/>
        </w:rPr>
        <w:t>At December 31, 2020, we had backlog of approximately $120,000 expected to be delivered in the next twelve months. Distributor and customer orders for future deliveries are generally subject to modification, rescheduling or in some instance’s cancellation in the normal course of business.</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expect that we will need to continue to innovate new applications for our public safety technology, develop new products and technologies to meet diverse customer requirements and identify and develop new markets for our products.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COVID-19 Impact</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significant challenges in operating and growing our business related to the outbreak of the novel coronavirus (“</w:t>
      </w:r>
      <w:r>
        <w:rPr>
          <w:rFonts w:ascii="Arial" w:cs="Arial" w:eastAsia="Arial" w:hAnsi="Arial"/>
          <w:sz w:val="17"/>
          <w:szCs w:val="17"/>
          <w:i w:val="1"/>
          <w:iCs w:val="1"/>
          <w:color w:val="auto"/>
        </w:rPr>
        <w:t>COVID-19</w:t>
      </w:r>
      <w:r>
        <w:rPr>
          <w:rFonts w:ascii="Arial" w:cs="Arial" w:eastAsia="Arial" w:hAnsi="Arial"/>
          <w:sz w:val="17"/>
          <w:szCs w:val="17"/>
          <w:color w:val="auto"/>
        </w:rPr>
        <w:t>”) which continues to spread throughout the United States and the World. The outbreak of COVID-19 has resulted in travel restrictions, quarantines, “stay-at-home” and “shelter-in-place” orders and extended shutdown of certain businesses around the world. We are monitoring the outbreak of COVID-19 and the related business and travel restrictions and changes to behavior intended to reduce its spread, in addition to the impact on our employees. We continued to operate with some modifications, and we took actions intended to protect our employees and our customers that adversely affected our results by increasing costs during a period of stalled sales and production activity.</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Starting during the second quarter of 2020 our customers experienced staffing issues limiting our ability to demonstrate and train. We believe we made an important transition during the second quarter including remote sales and training through webinars and expect this to be an ongoing aspect of our business. We curtailed most sales and training travel and reduced our production personnel until late in the second quarter when some customer locations domestically and internationally eased restrictions and we began to again close business prospects. In the third quarter we continued to face some domestic and substantial international restrictions that affected our ability to travel and train customers. We believe this had an adverse effect on our sales in the third and fourth quarters. Severe international travel restrictions persist and impact the timing of future international orders. It is uncertain when these restrictions will ease allowing our sales and training personnel to travel to many international destinations.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magnitude and the duration of the pandemic and the extent and duration of the pandemic’s adverse effect on economic and social activity, consumer confidence, customer spending and preferences, labor and healthcare costs, and unemployment rates is uncertain as of the date of this Report. Our ability to sell, train and service our products and conduct our business may be adversely impacted as a result of continuing or future pandemic related travel restrictions, mandatory business closures, and stay-at home or similar orders; temporary reductions in our workforce, closures of our offices and facilities and the ability of our customers and suppliers to continue their operations as a result of the pandemic. While there could ultimately be a material impact on operations and liquidity of the Company, at the time of issuance of this Report, the impact cannot be determined.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costs. We base our estimates on historical experience and on various other assumptions we believe to be reasonable under the circumstances. Actual results may differ from these estimates under different assumptions or conditions.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at a later time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4" w:name="page35"/>
    <w:bookmarkEnd w:id="34"/>
    <w:p>
      <w:pPr>
        <w:jc w:val="both"/>
        <w:spacing w:after="0" w:line="280" w:lineRule="auto"/>
        <w:rPr>
          <w:sz w:val="20"/>
          <w:szCs w:val="20"/>
          <w:color w:val="auto"/>
        </w:rPr>
      </w:pPr>
      <w:r>
        <w:rPr>
          <w:rFonts w:ascii="Arial" w:cs="Arial" w:eastAsia="Arial" w:hAnsi="Arial"/>
          <w:sz w:val="17"/>
          <w:szCs w:val="17"/>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operating lease liabilities, warranty liabilities and impairments.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We sell our products to customers including law enforcement agencies, domestic distributors and international distributors and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from such transactions is recognized in the periods that products are shipped (free on board (“</w:t>
      </w:r>
      <w:r>
        <w:rPr>
          <w:rFonts w:ascii="Arial" w:cs="Arial" w:eastAsia="Arial" w:hAnsi="Arial"/>
          <w:sz w:val="17"/>
          <w:szCs w:val="17"/>
          <w:i w:val="1"/>
          <w:iCs w:val="1"/>
          <w:color w:val="auto"/>
        </w:rPr>
        <w:t>FOB</w:t>
      </w:r>
      <w:r>
        <w:rPr>
          <w:rFonts w:ascii="Arial" w:cs="Arial" w:eastAsia="Arial" w:hAnsi="Arial"/>
          <w:sz w:val="17"/>
          <w:szCs w:val="17"/>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virtual reality software licensing or sale. Our customers do not have the right to return product unless the product is found to be defective.</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We follow the fair value recognition provisions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2018-07 for share-based transactions with non-employees. Share-based compensation expense recognized during 2020 and 2019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Our products are sold to customers in many different markets and geographic locations. We estimate our bad debt reserve on</w:t>
      </w:r>
      <w:r>
        <w:rPr>
          <w:rFonts w:ascii="Arial" w:cs="Arial" w:eastAsia="Arial" w:hAnsi="Arial"/>
          <w:sz w:val="16"/>
          <w:szCs w:val="16"/>
          <w:i w:val="1"/>
          <w:iCs w:val="1"/>
          <w:color w:val="auto"/>
        </w:rPr>
        <w:t xml:space="preserve"> </w:t>
      </w:r>
      <w:r>
        <w:rPr>
          <w:rFonts w:ascii="Arial" w:cs="Arial" w:eastAsia="Arial" w:hAnsi="Arial"/>
          <w:sz w:val="16"/>
          <w:szCs w:val="16"/>
          <w:color w:val="auto"/>
        </w:rPr>
        <w:t>a case-by-case basis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i w:val="1"/>
          <w:iCs w:val="1"/>
          <w:color w:val="auto"/>
        </w:rPr>
        <w:t>Valuation of Inventory</w:t>
      </w:r>
      <w:r>
        <w:rPr>
          <w:rFonts w:ascii="Arial" w:cs="Arial" w:eastAsia="Arial" w:hAnsi="Arial"/>
          <w:sz w:val="17"/>
          <w:szCs w:val="17"/>
          <w:color w:val="auto"/>
        </w:rPr>
        <w:t>. Our inventory is comprised of raw materials, assemblies and finished products. We must periodically make judgments and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Valuation of Intangible Assets. </w:t>
      </w:r>
      <w:r>
        <w:rPr>
          <w:rFonts w:ascii="Arial" w:cs="Arial" w:eastAsia="Arial" w:hAnsi="Arial"/>
          <w:sz w:val="17"/>
          <w:szCs w:val="17"/>
          <w:color w:val="auto"/>
        </w:rPr>
        <w:t>Intangible assets consisted of (a) capitalized legal fees and filing costs related to obtaining patents and trademarks, (b)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Accrued Expenses. </w:t>
      </w:r>
      <w:r>
        <w:rPr>
          <w:rFonts w:ascii="Arial" w:cs="Arial" w:eastAsia="Arial" w:hAnsi="Arial"/>
          <w:sz w:val="17"/>
          <w:szCs w:val="17"/>
          <w:color w:val="auto"/>
        </w:rPr>
        <w:t>We establish a warranty reserve based on anticipated warranty claims at the time product revenue is recognized. This reserve requires us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5" w:name="page36"/>
    <w:bookmarkEnd w:id="35"/>
    <w:p>
      <w:pPr>
        <w:jc w:val="both"/>
        <w:ind w:right="20"/>
        <w:spacing w:after="0" w:line="280" w:lineRule="auto"/>
        <w:rPr>
          <w:sz w:val="20"/>
          <w:szCs w:val="20"/>
          <w:color w:val="auto"/>
        </w:rPr>
      </w:pPr>
      <w:r>
        <w:rPr>
          <w:rFonts w:ascii="Arial" w:cs="Arial" w:eastAsia="Arial" w:hAnsi="Arial"/>
          <w:sz w:val="17"/>
          <w:szCs w:val="17"/>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7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Historically, our assumptions, judgments and estimates relative to our critical accounting policies have not differed materially from actual results. There were no significant changes or modification of our critical accounting policies and estimates involving management valuation adjustments affecting our results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New pronouncements issued for future implementation are discussed in Note 1 to our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and Related Information</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operates as a single segment. The Company’s chief operating decision maker is its Chief Executive Officer, who manages operations for purposes of allocating resources. Refer to Note 16, Major Customers and Related Information, in our financial statements for further discussion.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w:t>
      </w:r>
    </w:p>
    <w:p>
      <w:pPr>
        <w:spacing w:after="0" w:line="24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operating expense includes (i) selling, general and administrative expense, and (ii) research and development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expenses.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costs, and other factors, some of which are outside of our control.</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expect our operating costs will increase as we expand product distribution activities and expand our research and development, production, distribution, training, service and administrative functions in the near term. We may also incur substantial non-cash stock-based compensation costs depending on future option and restricted stock unit grants that are impacted by stock prices and other valuation factors. Historical expenditures are not indicative of future expenditures.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2020 Compared to Year Ended December 31, 2019</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table sets forth for the periods indicated certain items of our condensed statement of operations. The financial information and the discussion below should be read in conjunction with the financial statements and notes contained in this Report.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5"/>
                <w:szCs w:val="15"/>
                <w:b w:val="1"/>
                <w:bCs w:val="1"/>
                <w:color w:val="auto"/>
                <w:w w:val="99"/>
              </w:rPr>
              <w:t>Year Ended December 31,</w:t>
            </w:r>
          </w:p>
        </w:tc>
        <w:tc>
          <w:tcPr>
            <w:tcW w:w="220" w:type="dxa"/>
            <w:vAlign w:val="bottom"/>
          </w:tcPr>
          <w:p>
            <w:pPr>
              <w:spacing w:after="0"/>
              <w:rPr>
                <w:sz w:val="15"/>
                <w:szCs w:val="15"/>
                <w:color w:val="auto"/>
              </w:rPr>
            </w:pPr>
          </w:p>
        </w:tc>
        <w:tc>
          <w:tcPr>
            <w:tcW w:w="1420" w:type="dxa"/>
            <w:vAlign w:val="bottom"/>
            <w:gridSpan w:val="3"/>
          </w:tcPr>
          <w:p>
            <w:pPr>
              <w:ind w:left="760"/>
              <w:spacing w:after="0"/>
              <w:rPr>
                <w:sz w:val="20"/>
                <w:szCs w:val="20"/>
                <w:color w:val="auto"/>
              </w:rPr>
            </w:pPr>
            <w:r>
              <w:rPr>
                <w:rFonts w:ascii="Arial" w:cs="Arial" w:eastAsia="Arial" w:hAnsi="Arial"/>
                <w:sz w:val="15"/>
                <w:szCs w:val="15"/>
                <w:b w:val="1"/>
                <w:bCs w:val="1"/>
                <w:color w:val="auto"/>
              </w:rPr>
              <w:t>Change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w:t>
            </w: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8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Product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3,868,384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656,071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3,212,313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7"/>
                <w:szCs w:val="17"/>
                <w:color w:val="auto"/>
              </w:rPr>
              <w:t>Other revenue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75,673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40,719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34,954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3,944,057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696,790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3,247,267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Cost of revenues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2,601,323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420,016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2,181,307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1,342,734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276,774</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1,065,960</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11,630,644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6,653,465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4,977,179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2,788,887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2,236,985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551,902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14,419,531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8,890,450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5,529,081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(13,076,797)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(8,613,676)</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(4,463,121)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w:t>
      </w:r>
    </w:p>
    <w:p>
      <w:pPr>
        <w:spacing w:after="0" w:line="234"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We reported revenue of $3,944,057 for the year ended December 31, 2020 (“Fiscal 2020”) as compared to revenue of $696,790 for the year ended December 31, 2019 (Fiscal 2019”), a 466% increase over the prior year. We believe our sales during the second, third and fourth quarters of Fiscal 2020 were negatively impacted by the COVID-19 pandemic as we were limited in our ability to make product demonstrations and conduct training especially in our international markets. As some areas of the United States eased restrictions, we were able to commence limited in-person demonstrations and training to supplement our webinar capabilities. We incurred product promotional costs of $747,443 for Fiscal 2020 related to the cost of demonstration products and accessories delivered to law enforcement agencies that were expensed as marketing costs.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had $16,015 of deferred revenue at December 31, 2020, of which $14,125 related to virtual reality training and $1,890 related to extended warranties.</w:t>
      </w:r>
    </w:p>
    <w:p>
      <w:pPr>
        <w:spacing w:after="0" w:line="246"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We believe we can grow sales in the future but the impact of the COVID-19 pandemic has created much uncertainty in the global marketplace. We are unable to predict the impact on demand for our products in future periods. We expect sales levels may be uneven as we grow both our domestic and international customer base and as well as from the continued impact of COVID-19 restrictions. While we plan for increased revenues in 2021, there can be no assurance, especially given the uncertainties of the COVID-19 pandemic, that we can achieve revenue growth.</w:t>
      </w:r>
    </w:p>
    <w:p>
      <w:pPr>
        <w:spacing w:after="0" w:line="182"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At December 31, 2020, we had backlog of $120,260 expected to be delivered in the next twelve months. Distributor and customer orders for future deliveries are generally subject to modification, rescheduling or in some instance’s cancellation in the normal course of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Gross Profit</w:t>
      </w:r>
    </w:p>
    <w:p>
      <w:pPr>
        <w:spacing w:after="0" w:line="234"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Our cost of revenue for Fiscal 2020 was $2,601,323 resulting in a gross margin of 34%. We curtailed production for ten weeks during the second quarter of Fiscal 2020 due to the COVID-19 restrictions in Arizona and this down time negatively impacted our gross margin. The gross margin for Fiscal 2019 of 40% was assessed on a small revenue base.</w:t>
      </w:r>
    </w:p>
    <w:p>
      <w:pPr>
        <w:spacing w:after="0" w:line="176"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Due to our limited history of revenue and startup costs incurred to establish volume manufacturing, historical margins may not be indicative of future margins. In addition, our margins vary based on the sales channels through which our products are sold and product mix. Due to timing of international orders our mix of cartridges was higher during Fiscal 2020 than Fiscal 2019. Currently, our cartridges have lower margins than BolaWrap devices, however, late in 2020 we implemented initiatives to improve gross margins attributable to our cartridges. We continue to implement product updates and revisions, including raw material and component changes that may impact product costs. With such product updates and revisions, we have limited warranty cost experience and estimated future warranty costs can impact our gross margins.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60"/>
          </w:cols>
          <w:pgMar w:left="320" w:top="610" w:right="319" w:bottom="1440" w:gutter="0" w:footer="0" w:header="0"/>
        </w:sectPr>
      </w:pPr>
    </w:p>
    <w:bookmarkStart w:id="37" w:name="page38"/>
    <w:bookmarkEnd w:id="37"/>
    <w:p>
      <w:pPr>
        <w:jc w:val="both"/>
        <w:ind w:right="20"/>
        <w:spacing w:after="0" w:line="296" w:lineRule="auto"/>
        <w:rPr>
          <w:sz w:val="20"/>
          <w:szCs w:val="20"/>
          <w:color w:val="auto"/>
        </w:rPr>
      </w:pPr>
      <w:r>
        <w:rPr>
          <w:rFonts w:ascii="Arial" w:cs="Arial" w:eastAsia="Arial" w:hAnsi="Arial"/>
          <w:sz w:val="17"/>
          <w:szCs w:val="17"/>
          <w:color w:val="auto"/>
        </w:rPr>
        <w:t>In September 2019 we relocated manufacturing operations and commenced production at our new facility in Tempe, Arizona. While this significantly increases our capacity, we continue to implement production and process changes targeted to improve efficiency.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Selling, General and Administrative Expense</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Selling, general and administrative expense increased by $4,977,179 during Fiscal 2020, when compared to Fiscal 2019. We incurred a $546,723 increase in non-cash stock-based compensation expense allocated to selling, general and administrative expense that totaled $1,956,818 in the Fiscal 2020 as compared to $1,410,095 in the Fiscal 2019. Other increases included a $2,043,748 increase in cash compensation and recruiting costs from an increase in headcount over the prior year and a $276,645 increase in public company related costs. Marketing and promotion costs increased $979,833 due primarily to promotional products and online advertising. Travel efforts resumed during the third quarter of the year ended December 31, 2020, however, due to the COVID-19 pandemic, travel was still limited. Our travel costs related to sales, demonstrations and training decreased by $107,768 from the prior year even though the number of sales and training personnel increased from the prior year.</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Due in part to our receipt of $414,362 in PPP Loan proceeds, we maintained staffing in April 2020, and were able to respond to limited re-openings commencing late in the second quarter of Fiscal 2020. We developed and deployed new tools such as webinars to communicate with prospective and existing customers. We believe these decisions positioned us to respond to increased opportunities resulting from recent highly publicized policing issues and an increased focus on less lethal engagement. The Company’s PPP Loan in the amount of $414,362 and accrued interest was forgiven in full in December 2020 by the Small Business Administration. The Company recognized $416,683 in debt forgiveness income as a result of the forgiveness.</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2021, we expect to spend increased resources on the marketing and selling of our products, training distributors and customers and administratively supporting our operations to respond to increased opportunities, but amounts could vary depending on sales levels, the impact of the COVID-19 pandemic and other factors outside of our control.</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Expense</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Research and development expense increased by $551,902 for Fiscal 2020, when compared to Fiscal 2019. We incurred a $153,925 period over period increase in non-cash share-based compensation expense allocated to research and development expense as a result of new award grants and vesting timing. The increase in costs during Fiscal 2020 when compared to the prior year included a $485,910 increase in cash compensation costs resulting from an increase in headcount primarily associated with product development. Prototype related costs increased by $18,984 for Fiscal 2020, which increase was primarily related to development efforts to improve our BolaWrap 100 product and develop new products. Outside consulting costs decreased by $48,766 for Fiscal 2020, primarily due to the addition of permanent staff. Travel costs related to research and development decreased $100,822 for Fiscal 2020 when compared to Fiscal 2019 primarily due to COVID-19 restrictions and completion of the Arizona facility setup. We expect our research and development costs to increase in the future as we add staff and expand our research initiatives in response to market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Loss from operations during Fiscal 2020 increased by $4,463,121 when compared to Fiscal 2019, resulting primarily from increased operating costs due to increased personnel, marketing and selling and supporting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experienced net losses and negative cash flows from operations since our inception. As of December 31, 2020, we had cash and cash equivalents of $16,646,811, short-term investments of $24,994,360, positive working capital of $44,586,395 and had sustained cumulative losses attributable to stockholders of $25,310,033. We believe that our cash on hand and short-term investments will sustain our operations for at least the next twelve months from the date of this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8" w:name="page39"/>
    <w:bookmarkEnd w:id="38"/>
    <w:p>
      <w:pPr>
        <w:jc w:val="both"/>
        <w:spacing w:after="0" w:line="329" w:lineRule="auto"/>
        <w:rPr>
          <w:sz w:val="20"/>
          <w:szCs w:val="20"/>
          <w:color w:val="auto"/>
        </w:rPr>
      </w:pPr>
      <w:r>
        <w:rPr>
          <w:rFonts w:ascii="Arial" w:cs="Arial" w:eastAsia="Arial" w:hAnsi="Arial"/>
          <w:sz w:val="16"/>
          <w:szCs w:val="16"/>
          <w:color w:val="auto"/>
        </w:rPr>
        <w:t>During Fiscal 2020 we received $11,667,206 of net proceeds resulting from the consummation of a registered offering of our Common Stock in June 2020, $25,879,188 of net proceeds from the exercise of previously issued warrants and stock options and obtained $414,362 in proceeds from the PPP Loan.</w:t>
      </w:r>
    </w:p>
    <w:p>
      <w:pPr>
        <w:spacing w:after="0" w:line="14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Requirements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in part to the volatility caused by COVID-19, we do not have a high degree of confidence in our estimates for our future liquidity requirements or future capital needs, which will depend on, among other things, capital required to introduce our products and the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future capital requirements, cash flows and results of operations could be affected by, and will depend on, many factors, some of which are currently unknown to us, including, among other things:</w:t>
      </w:r>
    </w:p>
    <w:p>
      <w:pPr>
        <w:spacing w:after="0" w:line="163" w:lineRule="exact"/>
        <w:rPr>
          <w:sz w:val="20"/>
          <w:szCs w:val="20"/>
          <w:color w:val="auto"/>
        </w:rPr>
      </w:pPr>
    </w:p>
    <w:p>
      <w:pPr>
        <w:ind w:left="660" w:hanging="330"/>
        <w:spacing w:after="0" w:line="26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and effects of the global outbreak of the COVID-19 pandemic, and other potential pandemics or contagious diseases or fear of such outbreaks;</w:t>
      </w: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Decisions regarding staffing, development, production, marketing and other functions;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extent of market acceptance of our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Costs, timing and outcome of planned production and required customer and regulatory compliance of our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Costs of preparing, filing and prosecuting our patent applications and defending any future intellectual property-related claims;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Costs and timing of additional product development;</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Costs, timing and outcome of any future warranty claims or litigation against us associated with any of our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Ability to collect accounts receivable;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Timing and costs associated with any new financing.</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Principal factors that could affect our ability to obtain cash from external sources including from exercise of outstanding warrants and options include:</w:t>
      </w:r>
    </w:p>
    <w:p>
      <w:pPr>
        <w:spacing w:after="0" w:line="234" w:lineRule="exact"/>
        <w:rPr>
          <w:sz w:val="20"/>
          <w:szCs w:val="20"/>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Volatility in the capital markets; and</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Market price and trading volume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We have no off-balance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Fiscal 2020, net cash used in operating activities was $12,186,924. The net loss of $12,580,209 was decreased by non-cash expense of $2,079,882 consisting primarily of share-based compensation expense of $2,236,743 less debt forgiveness income of $416,683 related to the PPP loan. Other major component changes using operating cash included an increase of $1,685,727 in accounts receivable, an increase in inventories of $342,741, a $341,629 decrease in customer deposits and a $508,498 increase in prepaid expenses and other current assets. An increase of $825,382 in accounts payable and an increase of $492,564 in accrued liabilities reduced the cash used in operating activities.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7"/>
          <w:szCs w:val="17"/>
          <w:color w:val="auto"/>
        </w:rPr>
        <w:t>During Fiscal 2019, net cash used in operating activities was $8,485,637. The net loss of $8,325,488 was decreased by non-cash expense of $1,585,699 consisting primarily of share-based compensation expense of $1,536,096. Other major component changes using operating cash included a $1,892,768 increase in inventories, an increase of $190,951 in accounts receivable, a $136,084 increase in prepaid expenses and other current assets and a $96,000 reduction in deferred compensation. An increase of $286,398 in accounts payable and accrued liabilities and new customer deposits of $343,724 reduced the cash used in operating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During Fiscal 2020, we used $34,979,511 of cash to purchase short-term investments and we had proceeds from maturities of short-term investments of $10,000,000. We had no short-term investment activity in 2019.</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used $248,897 and $256,742 of cash for the purchase of property and equipment during Fiscal 2020 and 2019, respectively. We invested $128,914 and $114,274 in patents during the Fiscal 2020 and 2019, respectively. During Fiscal 2020, we purchased $543,563 of indefinite life intangible assets and software and paid $210,000 for the first installment of the NSENA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3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During the year ended December 31, 2020, we received $11,667,206 of net proceeds resulting from a registered offering of our Common Stock in June 2020, $25,879,188 of net proceeds from the exercise of previously issued warrants and stock options and $414,362 in proceeds from a PPP Loan.</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During the year ended December 31, 2019, we received $11,351,214 of net proceeds from the June 2019 Follow-On Offering and obtained $2,141,576 of net proceeds from the exercise of previously issued warrants and stock options.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Pursuant to that certain exclusive Amended and Restated Intellectual Property License Agreement dated September 30, 2016, by and between the Company and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we are obligated to pay to Syzygy a 4% royalty fee on future product sales up to an aggregate amount of $1.0 million in royalty payments or until September 30, 2026, whichever occurs earlier.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We are committed to aggregate lease payments on facility leases of $94,011 in 2021 and $56,006 in 2022.</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At December 31, 2020 the Company was committed for approximately $2.2 million for future component deliveries and contract services that are generally subject to modification or rescheduling in the normal course of business.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NSENA Asset Purchase Agreement dated December 14, 2020 we are obligated to pay to NSENA cash consideration of $100,000 on March 15, 2021, $100,000 on June 15, 2021 and $75,000 on September 15, 2021. In addition, Wrap Reality assumed $15,000 of liabilities related to funds received by NSENA but unearned on existing revenue related contract arrangements. As additional earn-out consideration Wrap Reality has agreed to pay NSENA 10% of net revenues (or a lesser amount equal to 50% of direct profit) from specific identified prospects that become revenue customers before September 30, 2021 but only on amounts collected between Closing and June 30, 2022.</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We do not believe that inflation has had a material impact on our business, revenue or operating results during the periods presented.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There have been no recent accounting pronouncements or changes in accounting pronouncements during the year ended December 31, 2020, or subsequently thereto, that we believe are of potential significance to our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Financial Statements of the Company required to be included in this Item 8 are set forth in a separate section of this report following Item 15 commencing on Page F-1.</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disagreements or any reportable events requiring disclosure under Item 304(b) of Regulation S-K.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required to maintain disclosure controls and procedures designed to ensure that material information related to us, is recorded, processed, summarized and reported within the time periods specified in the SEC rules and forms.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interim Chief Executive Officer and Chief Financial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management, with the participation of our interim Chief Executive Officer and Chief Financial Officer, evaluated the effectiveness of our disclosure controls and procedures as of December 31, 2020 and, based on this evaluation, our interim Chief Executive Officer and Chief Financial Officer concluded that, as of the end of the period covered by this report, our disclosure controls and procedures were effective at the reasonable assurance level.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the Company’s registered public accounting firm because the Company is an “emerging growth company” under the JOBS Act. An attestation report of the Company’s independent registered public accounting firm regarding internal control over financial reporting is also not required for smaller reporting companies.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have been no changes in our internal control over financial reporting during the fiscal quarter ended December 31, 2020,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PART III</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Certain information required by this Part III is omitted from this report and is incorporated by reference to our Definitive Proxy Statement to be filed with the SEC in connection with the Annual Meeting of Stockholders to be held in 2021 (the “</w:t>
      </w:r>
      <w:r>
        <w:rPr>
          <w:rFonts w:ascii="Arial" w:cs="Arial" w:eastAsia="Arial" w:hAnsi="Arial"/>
          <w:sz w:val="17"/>
          <w:szCs w:val="17"/>
          <w:i w:val="1"/>
          <w:iCs w:val="1"/>
          <w:color w:val="auto"/>
        </w:rPr>
        <w:t>Proxy Statement</w:t>
      </w:r>
      <w:r>
        <w:rPr>
          <w:rFonts w:ascii="Arial" w:cs="Arial" w:eastAsia="Arial" w:hAnsi="Arial"/>
          <w:sz w:val="17"/>
          <w:szCs w:val="17"/>
          <w:color w:val="auto"/>
        </w:rPr>
        <w:t>”), which must be filed no later than 120 days after the close of the fiscal year ended December 31, 2020, pursuant to Regulation 14A.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30, 2021.</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30, 2021.</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3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Securities and Exchange Commission on or before April 30, 2021.</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30, 2021.</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30, 2021.</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8"/>
        </w:trPr>
        <w:tc>
          <w:tcPr>
            <w:tcW w:w="8620" w:type="dxa"/>
            <w:vAlign w:val="bottom"/>
          </w:tcPr>
          <w:p>
            <w:pPr>
              <w:ind w:left="5280"/>
              <w:spacing w:after="0"/>
              <w:rPr>
                <w:sz w:val="20"/>
                <w:szCs w:val="20"/>
                <w:color w:val="auto"/>
              </w:rPr>
            </w:pPr>
            <w:r>
              <w:rPr>
                <w:rFonts w:ascii="Arial" w:cs="Arial" w:eastAsia="Arial" w:hAnsi="Arial"/>
                <w:sz w:val="17"/>
                <w:szCs w:val="17"/>
                <w:b w:val="1"/>
                <w:bCs w:val="1"/>
                <w:color w:val="auto"/>
              </w:rPr>
              <w:t>PART IV</w:t>
            </w:r>
          </w:p>
        </w:tc>
        <w:tc>
          <w:tcPr>
            <w:tcW w:w="2620" w:type="dxa"/>
            <w:vAlign w:val="bottom"/>
          </w:tcPr>
          <w:p>
            <w:pPr>
              <w:spacing w:after="0"/>
              <w:rPr>
                <w:sz w:val="19"/>
                <w:szCs w:val="19"/>
                <w:color w:val="auto"/>
              </w:rPr>
            </w:pPr>
          </w:p>
        </w:tc>
      </w:tr>
      <w:tr>
        <w:trPr>
          <w:trHeight w:val="430"/>
        </w:trPr>
        <w:tc>
          <w:tcPr>
            <w:tcW w:w="8620" w:type="dxa"/>
            <w:vAlign w:val="bottom"/>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2620" w:type="dxa"/>
            <w:vAlign w:val="bottom"/>
          </w:tcPr>
          <w:p>
            <w:pPr>
              <w:spacing w:after="0"/>
              <w:rPr>
                <w:sz w:val="24"/>
                <w:szCs w:val="24"/>
                <w:color w:val="auto"/>
              </w:rPr>
            </w:pPr>
          </w:p>
        </w:tc>
      </w:tr>
      <w:tr>
        <w:trPr>
          <w:trHeight w:val="423"/>
        </w:trPr>
        <w:tc>
          <w:tcPr>
            <w:tcW w:w="8620" w:type="dxa"/>
            <w:vAlign w:val="bottom"/>
          </w:tcPr>
          <w:p>
            <w:pPr>
              <w:spacing w:after="0"/>
              <w:rPr>
                <w:sz w:val="20"/>
                <w:szCs w:val="20"/>
                <w:color w:val="auto"/>
              </w:rPr>
            </w:pPr>
            <w:r>
              <w:rPr>
                <w:rFonts w:ascii="Arial" w:cs="Arial" w:eastAsia="Arial" w:hAnsi="Arial"/>
                <w:sz w:val="17"/>
                <w:szCs w:val="17"/>
                <w:color w:val="auto"/>
              </w:rPr>
              <w:t>(a)   List of documents filed as a part of this report:</w:t>
            </w:r>
          </w:p>
        </w:tc>
        <w:tc>
          <w:tcPr>
            <w:tcW w:w="2620" w:type="dxa"/>
            <w:vAlign w:val="bottom"/>
          </w:tcPr>
          <w:p>
            <w:pPr>
              <w:spacing w:after="0"/>
              <w:rPr>
                <w:sz w:val="24"/>
                <w:szCs w:val="24"/>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7"/>
                <w:szCs w:val="17"/>
                <w:color w:val="auto"/>
              </w:rPr>
              <w:t>(1)  Index to Financial Statements</w:t>
            </w:r>
          </w:p>
        </w:tc>
        <w:tc>
          <w:tcPr>
            <w:tcW w:w="2620" w:type="dxa"/>
            <w:vAlign w:val="bottom"/>
          </w:tcPr>
          <w:p>
            <w:pPr>
              <w:spacing w:after="0"/>
              <w:rPr>
                <w:sz w:val="19"/>
                <w:szCs w:val="19"/>
                <w:color w:val="auto"/>
              </w:rPr>
            </w:pPr>
          </w:p>
        </w:tc>
      </w:tr>
      <w:tr>
        <w:trPr>
          <w:trHeight w:val="216"/>
        </w:trPr>
        <w:tc>
          <w:tcPr>
            <w:tcW w:w="8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Report of Independent Registered Public Accounting Firm</w:t>
            </w:r>
          </w:p>
        </w:tc>
        <w:tc>
          <w:tcPr>
            <w:tcW w:w="2620" w:type="dxa"/>
            <w:vAlign w:val="bottom"/>
            <w:shd w:val="clear" w:color="auto" w:fill="CCEEFF"/>
          </w:tcPr>
          <w:p>
            <w:pPr>
              <w:ind w:left="2100"/>
              <w:spacing w:after="0"/>
              <w:rPr>
                <w:sz w:val="20"/>
                <w:szCs w:val="20"/>
                <w:color w:val="auto"/>
              </w:rPr>
            </w:pPr>
            <w:r>
              <w:rPr>
                <w:rFonts w:ascii="Arial" w:cs="Arial" w:eastAsia="Arial" w:hAnsi="Arial"/>
                <w:sz w:val="17"/>
                <w:szCs w:val="17"/>
                <w:color w:val="auto"/>
              </w:rPr>
              <w:t>F-2</w:t>
            </w:r>
          </w:p>
        </w:tc>
      </w:tr>
      <w:tr>
        <w:trPr>
          <w:trHeight w:val="215"/>
        </w:trPr>
        <w:tc>
          <w:tcPr>
            <w:tcW w:w="8620" w:type="dxa"/>
            <w:vAlign w:val="bottom"/>
          </w:tcPr>
          <w:p>
            <w:pPr>
              <w:ind w:left="500"/>
              <w:spacing w:after="0"/>
              <w:rPr>
                <w:sz w:val="20"/>
                <w:szCs w:val="20"/>
                <w:color w:val="auto"/>
              </w:rPr>
            </w:pPr>
            <w:r>
              <w:rPr>
                <w:rFonts w:ascii="Arial" w:cs="Arial" w:eastAsia="Arial" w:hAnsi="Arial"/>
                <w:sz w:val="17"/>
                <w:szCs w:val="17"/>
                <w:color w:val="auto"/>
              </w:rPr>
              <w:t>Balance Sheets as of December 31, 2020 and 2019</w:t>
            </w:r>
          </w:p>
        </w:tc>
        <w:tc>
          <w:tcPr>
            <w:tcW w:w="2620" w:type="dxa"/>
            <w:vAlign w:val="bottom"/>
          </w:tcPr>
          <w:p>
            <w:pPr>
              <w:ind w:left="2100"/>
              <w:spacing w:after="0"/>
              <w:rPr>
                <w:sz w:val="20"/>
                <w:szCs w:val="20"/>
                <w:color w:val="auto"/>
              </w:rPr>
            </w:pPr>
            <w:r>
              <w:rPr>
                <w:rFonts w:ascii="Arial" w:cs="Arial" w:eastAsia="Arial" w:hAnsi="Arial"/>
                <w:sz w:val="17"/>
                <w:szCs w:val="17"/>
                <w:color w:val="auto"/>
              </w:rPr>
              <w:t>F-3</w:t>
            </w:r>
          </w:p>
        </w:tc>
      </w:tr>
      <w:tr>
        <w:trPr>
          <w:trHeight w:val="215"/>
        </w:trPr>
        <w:tc>
          <w:tcPr>
            <w:tcW w:w="8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Statements of Operations for the Years Ended December 31, 2020 and 2019</w:t>
            </w:r>
          </w:p>
        </w:tc>
        <w:tc>
          <w:tcPr>
            <w:tcW w:w="2620" w:type="dxa"/>
            <w:vAlign w:val="bottom"/>
            <w:shd w:val="clear" w:color="auto" w:fill="CCEEFF"/>
          </w:tcPr>
          <w:p>
            <w:pPr>
              <w:ind w:left="2100"/>
              <w:spacing w:after="0"/>
              <w:rPr>
                <w:sz w:val="20"/>
                <w:szCs w:val="20"/>
                <w:color w:val="auto"/>
              </w:rPr>
            </w:pPr>
            <w:r>
              <w:rPr>
                <w:rFonts w:ascii="Arial" w:cs="Arial" w:eastAsia="Arial" w:hAnsi="Arial"/>
                <w:sz w:val="17"/>
                <w:szCs w:val="17"/>
                <w:color w:val="auto"/>
              </w:rPr>
              <w:t>F-4</w:t>
            </w:r>
          </w:p>
        </w:tc>
      </w:tr>
      <w:tr>
        <w:trPr>
          <w:trHeight w:val="215"/>
        </w:trPr>
        <w:tc>
          <w:tcPr>
            <w:tcW w:w="8620" w:type="dxa"/>
            <w:vAlign w:val="bottom"/>
          </w:tcPr>
          <w:p>
            <w:pPr>
              <w:ind w:left="500"/>
              <w:spacing w:after="0"/>
              <w:rPr>
                <w:sz w:val="20"/>
                <w:szCs w:val="20"/>
                <w:color w:val="auto"/>
              </w:rPr>
            </w:pPr>
            <w:r>
              <w:rPr>
                <w:rFonts w:ascii="Arial" w:cs="Arial" w:eastAsia="Arial" w:hAnsi="Arial"/>
                <w:sz w:val="17"/>
                <w:szCs w:val="17"/>
                <w:color w:val="auto"/>
              </w:rPr>
              <w:t>Statements of Stockholders’ Equity for the Years Ended December 31, 2020 and 2019</w:t>
            </w:r>
          </w:p>
        </w:tc>
        <w:tc>
          <w:tcPr>
            <w:tcW w:w="2620" w:type="dxa"/>
            <w:vAlign w:val="bottom"/>
          </w:tcPr>
          <w:p>
            <w:pPr>
              <w:ind w:left="2100"/>
              <w:spacing w:after="0"/>
              <w:rPr>
                <w:sz w:val="20"/>
                <w:szCs w:val="20"/>
                <w:color w:val="auto"/>
              </w:rPr>
            </w:pPr>
            <w:r>
              <w:rPr>
                <w:rFonts w:ascii="Arial" w:cs="Arial" w:eastAsia="Arial" w:hAnsi="Arial"/>
                <w:sz w:val="17"/>
                <w:szCs w:val="17"/>
                <w:color w:val="auto"/>
              </w:rPr>
              <w:t>F-5</w:t>
            </w:r>
          </w:p>
        </w:tc>
      </w:tr>
      <w:tr>
        <w:trPr>
          <w:trHeight w:val="215"/>
        </w:trPr>
        <w:tc>
          <w:tcPr>
            <w:tcW w:w="8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Statements of Cash Flows for the Years Ended December 31, 2020 and 2019</w:t>
            </w:r>
          </w:p>
        </w:tc>
        <w:tc>
          <w:tcPr>
            <w:tcW w:w="2620" w:type="dxa"/>
            <w:vAlign w:val="bottom"/>
            <w:shd w:val="clear" w:color="auto" w:fill="CCEEFF"/>
          </w:tcPr>
          <w:p>
            <w:pPr>
              <w:ind w:left="2100"/>
              <w:spacing w:after="0"/>
              <w:rPr>
                <w:sz w:val="20"/>
                <w:szCs w:val="20"/>
                <w:color w:val="auto"/>
              </w:rPr>
            </w:pPr>
            <w:r>
              <w:rPr>
                <w:rFonts w:ascii="Arial" w:cs="Arial" w:eastAsia="Arial" w:hAnsi="Arial"/>
                <w:sz w:val="17"/>
                <w:szCs w:val="17"/>
                <w:color w:val="auto"/>
              </w:rPr>
              <w:t>F-6</w:t>
            </w:r>
          </w:p>
        </w:tc>
      </w:tr>
      <w:tr>
        <w:trPr>
          <w:trHeight w:val="215"/>
        </w:trPr>
        <w:tc>
          <w:tcPr>
            <w:tcW w:w="8620" w:type="dxa"/>
            <w:vAlign w:val="bottom"/>
          </w:tcPr>
          <w:p>
            <w:pPr>
              <w:ind w:left="500"/>
              <w:spacing w:after="0"/>
              <w:rPr>
                <w:sz w:val="20"/>
                <w:szCs w:val="20"/>
                <w:color w:val="auto"/>
              </w:rPr>
            </w:pPr>
            <w:r>
              <w:rPr>
                <w:rFonts w:ascii="Arial" w:cs="Arial" w:eastAsia="Arial" w:hAnsi="Arial"/>
                <w:sz w:val="17"/>
                <w:szCs w:val="17"/>
                <w:color w:val="auto"/>
              </w:rPr>
              <w:t>Notes to Financial Statements</w:t>
            </w:r>
          </w:p>
        </w:tc>
        <w:tc>
          <w:tcPr>
            <w:tcW w:w="2620" w:type="dxa"/>
            <w:vAlign w:val="bottom"/>
          </w:tcPr>
          <w:p>
            <w:pPr>
              <w:ind w:left="2100"/>
              <w:spacing w:after="0"/>
              <w:rPr>
                <w:sz w:val="20"/>
                <w:szCs w:val="20"/>
                <w:color w:val="auto"/>
              </w:rPr>
            </w:pPr>
            <w:r>
              <w:rPr>
                <w:rFonts w:ascii="Arial" w:cs="Arial" w:eastAsia="Arial" w:hAnsi="Arial"/>
                <w:sz w:val="17"/>
                <w:szCs w:val="17"/>
                <w:color w:val="auto"/>
              </w:rPr>
              <w:t>F-7</w:t>
            </w:r>
          </w:p>
        </w:tc>
      </w:tr>
      <w:tr>
        <w:trPr>
          <w:trHeight w:val="215"/>
        </w:trPr>
        <w:tc>
          <w:tcPr>
            <w:tcW w:w="86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bl>
    <w:p>
      <w:pPr>
        <w:spacing w:after="0"/>
        <w:tabs>
          <w:tab w:leader="none" w:pos="3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Financial Statement Schedules</w:t>
      </w:r>
    </w:p>
    <w:p>
      <w:pPr>
        <w:spacing w:after="0" w:line="18" w:lineRule="exact"/>
        <w:rPr>
          <w:sz w:val="20"/>
          <w:szCs w:val="20"/>
          <w:color w:val="auto"/>
        </w:rPr>
      </w:pPr>
    </w:p>
    <w:p>
      <w:pPr>
        <w:ind w:left="820"/>
        <w:spacing w:after="0" w:line="263" w:lineRule="auto"/>
        <w:rPr>
          <w:sz w:val="20"/>
          <w:szCs w:val="20"/>
          <w:color w:val="auto"/>
        </w:rPr>
      </w:pPr>
      <w:r>
        <w:rPr>
          <w:rFonts w:ascii="Arial" w:cs="Arial" w:eastAsia="Arial" w:hAnsi="Arial"/>
          <w:sz w:val="17"/>
          <w:szCs w:val="17"/>
          <w:color w:val="auto"/>
        </w:rPr>
        <w:t>All schedules have been omitted because the information is not applicable, is not material or because the information required is included in the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32955" cy="273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tabs>
          <w:tab w:leader="none" w:pos="36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6"/>
          <w:szCs w:val="16"/>
          <w:color w:val="auto"/>
        </w:rPr>
        <w:t>Index to Exhibits</w:t>
      </w:r>
    </w:p>
    <w:p>
      <w:pPr>
        <w:spacing w:after="0" w:line="20" w:lineRule="exact"/>
        <w:rPr>
          <w:sz w:val="20"/>
          <w:szCs w:val="20"/>
          <w:color w:val="auto"/>
        </w:rPr>
      </w:pPr>
    </w:p>
    <w:p>
      <w:pPr>
        <w:ind w:left="820" w:right="20"/>
        <w:spacing w:after="0" w:line="287" w:lineRule="auto"/>
        <w:rPr>
          <w:sz w:val="20"/>
          <w:szCs w:val="20"/>
          <w:color w:val="auto"/>
        </w:rPr>
      </w:pPr>
      <w:r>
        <w:rPr>
          <w:rFonts w:ascii="Arial" w:cs="Arial" w:eastAsia="Arial" w:hAnsi="Arial"/>
          <w:sz w:val="17"/>
          <w:szCs w:val="17"/>
          <w:color w:val="auto"/>
        </w:rPr>
        <w:t>The exhibits listed on the accompanying index to exhibits immediately following the financial statements are filed as part of, or hereby incorporated by reference into,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32955" cy="273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145"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7"/>
          <w:szCs w:val="17"/>
          <w:b w:val="1"/>
          <w:bCs w:val="1"/>
          <w:color w:val="auto"/>
        </w:rPr>
        <w:t>Exhibit</w:t>
      </w:r>
      <w:r>
        <w:rPr>
          <w:sz w:val="20"/>
          <w:szCs w:val="20"/>
          <w:color w:val="auto"/>
        </w:rPr>
        <w:tab/>
      </w:r>
      <w:r>
        <w:rPr>
          <w:rFonts w:ascii="Arial" w:cs="Arial" w:eastAsia="Arial" w:hAnsi="Arial"/>
          <w:sz w:val="17"/>
          <w:szCs w:val="17"/>
          <w:b w:val="1"/>
          <w:bCs w:val="1"/>
          <w:color w:val="auto"/>
        </w:rPr>
        <w:t>Description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55" w:right="339" w:bottom="0" w:gutter="0" w:footer="0" w:header="0"/>
        </w:sectPr>
      </w:pPr>
    </w:p>
    <w:p>
      <w:pPr>
        <w:spacing w:after="0" w:line="40" w:lineRule="exact"/>
        <w:rPr>
          <w:sz w:val="20"/>
          <w:szCs w:val="20"/>
          <w:color w:val="auto"/>
        </w:rPr>
      </w:pPr>
    </w:p>
    <w:p>
      <w:pPr>
        <w:jc w:val="center"/>
        <w:ind w:left="260"/>
        <w:spacing w:after="0"/>
        <w:rPr>
          <w:rFonts w:ascii="Arial" w:cs="Arial" w:eastAsia="Arial" w:hAnsi="Arial"/>
          <w:sz w:val="17"/>
          <w:szCs w:val="17"/>
          <w:u w:val="single" w:color="auto"/>
          <w:color w:val="0000EE"/>
        </w:rPr>
      </w:pPr>
      <w:hyperlink r:id="rId57">
        <w:r>
          <w:rPr>
            <w:rFonts w:ascii="Arial" w:cs="Arial" w:eastAsia="Arial" w:hAnsi="Arial"/>
            <w:sz w:val="17"/>
            <w:szCs w:val="17"/>
            <w:u w:val="single" w:color="auto"/>
            <w:color w:val="0000EE"/>
          </w:rPr>
          <w:t>2.1</w:t>
        </w:r>
      </w:hyperlink>
    </w:p>
    <w:p>
      <w:pPr>
        <w:spacing w:after="0" w:line="342" w:lineRule="exact"/>
        <w:rPr>
          <w:sz w:val="20"/>
          <w:szCs w:val="20"/>
          <w:color w:val="auto"/>
        </w:rPr>
      </w:pPr>
    </w:p>
    <w:p>
      <w:pPr>
        <w:jc w:val="center"/>
        <w:ind w:left="260"/>
        <w:spacing w:after="0"/>
        <w:rPr>
          <w:rFonts w:ascii="Arial" w:cs="Arial" w:eastAsia="Arial" w:hAnsi="Arial"/>
          <w:sz w:val="17"/>
          <w:szCs w:val="17"/>
          <w:u w:val="single" w:color="auto"/>
          <w:color w:val="0000EE"/>
        </w:rPr>
      </w:pPr>
      <w:hyperlink r:id="rId58">
        <w:r>
          <w:rPr>
            <w:rFonts w:ascii="Arial" w:cs="Arial" w:eastAsia="Arial" w:hAnsi="Arial"/>
            <w:sz w:val="17"/>
            <w:szCs w:val="17"/>
            <w:u w:val="single" w:color="auto"/>
            <w:color w:val="0000EE"/>
          </w:rPr>
          <w:t>2.2</w:t>
        </w:r>
      </w:hyperlink>
    </w:p>
    <w:p>
      <w:pPr>
        <w:spacing w:after="0" w:line="234" w:lineRule="exact"/>
        <w:rPr>
          <w:sz w:val="20"/>
          <w:szCs w:val="20"/>
          <w:color w:val="auto"/>
        </w:rPr>
      </w:pPr>
    </w:p>
    <w:p>
      <w:pPr>
        <w:ind w:left="340"/>
        <w:spacing w:after="0"/>
        <w:rPr>
          <w:rFonts w:ascii="Arial" w:cs="Arial" w:eastAsia="Arial" w:hAnsi="Arial"/>
          <w:sz w:val="17"/>
          <w:szCs w:val="17"/>
          <w:u w:val="single" w:color="auto"/>
          <w:color w:val="0000EE"/>
        </w:rPr>
      </w:pPr>
      <w:hyperlink r:id="rId59">
        <w:r>
          <w:rPr>
            <w:rFonts w:ascii="Arial" w:cs="Arial" w:eastAsia="Arial" w:hAnsi="Arial"/>
            <w:sz w:val="17"/>
            <w:szCs w:val="17"/>
            <w:u w:val="single" w:color="auto"/>
            <w:color w:val="0000EE"/>
          </w:rPr>
          <w:t>3.1</w:t>
        </w:r>
      </w:hyperlink>
    </w:p>
    <w:p>
      <w:pPr>
        <w:spacing w:after="0" w:line="127" w:lineRule="exact"/>
        <w:rPr>
          <w:sz w:val="20"/>
          <w:szCs w:val="20"/>
          <w:color w:val="auto"/>
        </w:rPr>
      </w:pPr>
    </w:p>
    <w:p>
      <w:pPr>
        <w:ind w:left="340"/>
        <w:spacing w:after="0"/>
        <w:rPr>
          <w:rFonts w:ascii="Arial" w:cs="Arial" w:eastAsia="Arial" w:hAnsi="Arial"/>
          <w:sz w:val="17"/>
          <w:szCs w:val="17"/>
          <w:u w:val="single" w:color="auto"/>
          <w:color w:val="0000EE"/>
        </w:rPr>
      </w:pPr>
      <w:hyperlink r:id="rId60">
        <w:r>
          <w:rPr>
            <w:rFonts w:ascii="Arial" w:cs="Arial" w:eastAsia="Arial" w:hAnsi="Arial"/>
            <w:sz w:val="17"/>
            <w:szCs w:val="17"/>
            <w:u w:val="single" w:color="auto"/>
            <w:color w:val="0000EE"/>
          </w:rPr>
          <w:t>3.2</w:t>
        </w:r>
      </w:hyperlink>
    </w:p>
    <w:p>
      <w:pPr>
        <w:spacing w:after="0" w:line="127" w:lineRule="exact"/>
        <w:rPr>
          <w:sz w:val="20"/>
          <w:szCs w:val="20"/>
          <w:color w:val="auto"/>
        </w:rPr>
      </w:pPr>
    </w:p>
    <w:p>
      <w:pPr>
        <w:ind w:left="340"/>
        <w:spacing w:after="0"/>
        <w:rPr>
          <w:rFonts w:ascii="Arial" w:cs="Arial" w:eastAsia="Arial" w:hAnsi="Arial"/>
          <w:sz w:val="17"/>
          <w:szCs w:val="17"/>
          <w:u w:val="single" w:color="auto"/>
          <w:color w:val="0000EE"/>
        </w:rPr>
      </w:pPr>
      <w:hyperlink r:id="rId61">
        <w:r>
          <w:rPr>
            <w:rFonts w:ascii="Arial" w:cs="Arial" w:eastAsia="Arial" w:hAnsi="Arial"/>
            <w:sz w:val="17"/>
            <w:szCs w:val="17"/>
            <w:u w:val="single" w:color="auto"/>
            <w:color w:val="0000EE"/>
          </w:rPr>
          <w:t>4.1</w:t>
        </w:r>
      </w:hyperlink>
    </w:p>
    <w:p>
      <w:pPr>
        <w:spacing w:after="0" w:line="127" w:lineRule="exact"/>
        <w:rPr>
          <w:sz w:val="20"/>
          <w:szCs w:val="20"/>
          <w:color w:val="auto"/>
        </w:rPr>
      </w:pPr>
    </w:p>
    <w:p>
      <w:pPr>
        <w:ind w:left="340"/>
        <w:spacing w:after="0"/>
        <w:rPr>
          <w:rFonts w:ascii="Arial" w:cs="Arial" w:eastAsia="Arial" w:hAnsi="Arial"/>
          <w:sz w:val="17"/>
          <w:szCs w:val="17"/>
          <w:u w:val="single" w:color="auto"/>
          <w:color w:val="0000EE"/>
        </w:rPr>
      </w:pPr>
      <w:hyperlink r:id="rId62">
        <w:r>
          <w:rPr>
            <w:rFonts w:ascii="Arial" w:cs="Arial" w:eastAsia="Arial" w:hAnsi="Arial"/>
            <w:sz w:val="17"/>
            <w:szCs w:val="17"/>
            <w:u w:val="single" w:color="auto"/>
            <w:color w:val="0000EE"/>
          </w:rPr>
          <w:t>4.2</w:t>
        </w:r>
      </w:hyperlink>
    </w:p>
    <w:p>
      <w:pPr>
        <w:spacing w:after="0" w:line="234" w:lineRule="exact"/>
        <w:rPr>
          <w:sz w:val="20"/>
          <w:szCs w:val="20"/>
          <w:color w:val="auto"/>
        </w:rPr>
      </w:pPr>
    </w:p>
    <w:p>
      <w:pPr>
        <w:jc w:val="center"/>
        <w:ind w:left="260"/>
        <w:spacing w:after="0"/>
        <w:rPr>
          <w:rFonts w:ascii="Arial" w:cs="Arial" w:eastAsia="Arial" w:hAnsi="Arial"/>
          <w:sz w:val="17"/>
          <w:szCs w:val="17"/>
          <w:u w:val="single" w:color="auto"/>
          <w:color w:val="0000EE"/>
        </w:rPr>
      </w:pPr>
      <w:hyperlink r:id="rId63">
        <w:r>
          <w:rPr>
            <w:rFonts w:ascii="Arial" w:cs="Arial" w:eastAsia="Arial" w:hAnsi="Arial"/>
            <w:sz w:val="17"/>
            <w:szCs w:val="17"/>
            <w:u w:val="single" w:color="auto"/>
            <w:color w:val="0000EE"/>
          </w:rPr>
          <w:t>4.3</w:t>
        </w:r>
      </w:hyperlink>
    </w:p>
    <w:p>
      <w:pPr>
        <w:spacing w:after="0" w:line="234" w:lineRule="exact"/>
        <w:rPr>
          <w:sz w:val="20"/>
          <w:szCs w:val="20"/>
          <w:color w:val="auto"/>
        </w:rPr>
      </w:pPr>
    </w:p>
    <w:p>
      <w:pPr>
        <w:jc w:val="center"/>
        <w:ind w:left="260"/>
        <w:spacing w:after="0"/>
        <w:rPr>
          <w:rFonts w:ascii="Arial" w:cs="Arial" w:eastAsia="Arial" w:hAnsi="Arial"/>
          <w:sz w:val="17"/>
          <w:szCs w:val="17"/>
          <w:u w:val="single" w:color="auto"/>
          <w:color w:val="0000EE"/>
        </w:rPr>
      </w:pPr>
      <w:hyperlink r:id="rId63">
        <w:r>
          <w:rPr>
            <w:rFonts w:ascii="Arial" w:cs="Arial" w:eastAsia="Arial" w:hAnsi="Arial"/>
            <w:sz w:val="17"/>
            <w:szCs w:val="17"/>
            <w:u w:val="single" w:color="auto"/>
            <w:color w:val="0000EE"/>
          </w:rPr>
          <w:t>4.4</w:t>
        </w:r>
      </w:hyperlink>
    </w:p>
    <w:p>
      <w:pPr>
        <w:spacing w:after="0" w:line="234" w:lineRule="exact"/>
        <w:rPr>
          <w:sz w:val="20"/>
          <w:szCs w:val="20"/>
          <w:color w:val="auto"/>
        </w:rPr>
      </w:pPr>
    </w:p>
    <w:p>
      <w:pPr>
        <w:jc w:val="center"/>
        <w:ind w:left="260"/>
        <w:spacing w:after="0"/>
        <w:rPr>
          <w:rFonts w:ascii="Arial" w:cs="Arial" w:eastAsia="Arial" w:hAnsi="Arial"/>
          <w:sz w:val="17"/>
          <w:szCs w:val="17"/>
          <w:u w:val="single" w:color="auto"/>
          <w:color w:val="0000EE"/>
        </w:rPr>
      </w:pPr>
      <w:hyperlink r:id="rId64">
        <w:r>
          <w:rPr>
            <w:rFonts w:ascii="Arial" w:cs="Arial" w:eastAsia="Arial" w:hAnsi="Arial"/>
            <w:sz w:val="17"/>
            <w:szCs w:val="17"/>
            <w:u w:val="single" w:color="auto"/>
            <w:color w:val="0000EE"/>
          </w:rPr>
          <w:t>4.5</w:t>
        </w:r>
      </w:hyperlink>
    </w:p>
    <w:p>
      <w:pPr>
        <w:spacing w:after="0" w:line="234" w:lineRule="exact"/>
        <w:rPr>
          <w:sz w:val="20"/>
          <w:szCs w:val="20"/>
          <w:color w:val="auto"/>
        </w:rPr>
      </w:pPr>
    </w:p>
    <w:p>
      <w:pPr>
        <w:ind w:left="340"/>
        <w:spacing w:after="0"/>
        <w:rPr>
          <w:rFonts w:ascii="Arial" w:cs="Arial" w:eastAsia="Arial" w:hAnsi="Arial"/>
          <w:sz w:val="17"/>
          <w:szCs w:val="17"/>
          <w:u w:val="single" w:color="auto"/>
          <w:color w:val="0000EE"/>
        </w:rPr>
      </w:pPr>
      <w:hyperlink r:id="rId65">
        <w:r>
          <w:rPr>
            <w:rFonts w:ascii="Arial" w:cs="Arial" w:eastAsia="Arial" w:hAnsi="Arial"/>
            <w:sz w:val="17"/>
            <w:szCs w:val="17"/>
            <w:u w:val="single" w:color="auto"/>
            <w:color w:val="0000EE"/>
          </w:rPr>
          <w:t>4.6</w:t>
        </w:r>
      </w:hyperlink>
    </w:p>
    <w:p>
      <w:pPr>
        <w:spacing w:after="0" w:line="26" w:lineRule="exact"/>
        <w:rPr>
          <w:sz w:val="20"/>
          <w:szCs w:val="20"/>
          <w:color w:val="auto"/>
        </w:rPr>
      </w:pPr>
    </w:p>
    <w:p>
      <w:pPr>
        <w:ind w:left="300"/>
        <w:spacing w:after="0"/>
        <w:rPr>
          <w:rFonts w:ascii="Arial" w:cs="Arial" w:eastAsia="Arial" w:hAnsi="Arial"/>
          <w:sz w:val="17"/>
          <w:szCs w:val="17"/>
          <w:u w:val="single" w:color="auto"/>
          <w:color w:val="0000EE"/>
        </w:rPr>
      </w:pPr>
      <w:hyperlink r:id="rId66">
        <w:r>
          <w:rPr>
            <w:rFonts w:ascii="Arial" w:cs="Arial" w:eastAsia="Arial" w:hAnsi="Arial"/>
            <w:sz w:val="17"/>
            <w:szCs w:val="17"/>
            <w:u w:val="single" w:color="auto"/>
            <w:color w:val="0000EE"/>
          </w:rPr>
          <w:t>10.1</w:t>
        </w:r>
      </w:hyperlink>
    </w:p>
    <w:p>
      <w:pPr>
        <w:spacing w:after="0" w:line="228" w:lineRule="exact"/>
        <w:rPr>
          <w:sz w:val="20"/>
          <w:szCs w:val="20"/>
          <w:color w:val="auto"/>
        </w:rPr>
      </w:pPr>
    </w:p>
    <w:p>
      <w:pPr>
        <w:ind w:left="260"/>
        <w:spacing w:after="0"/>
        <w:rPr>
          <w:rFonts w:ascii="Arial" w:cs="Arial" w:eastAsia="Arial" w:hAnsi="Arial"/>
          <w:sz w:val="15"/>
          <w:szCs w:val="15"/>
          <w:u w:val="single" w:color="auto"/>
          <w:color w:val="0000EE"/>
        </w:rPr>
      </w:pPr>
      <w:hyperlink r:id="rId67">
        <w:r>
          <w:rPr>
            <w:rFonts w:ascii="Arial" w:cs="Arial" w:eastAsia="Arial" w:hAnsi="Arial"/>
            <w:sz w:val="15"/>
            <w:szCs w:val="15"/>
            <w:u w:val="single" w:color="auto"/>
            <w:color w:val="0000EE"/>
          </w:rPr>
          <w:t>10.2+</w:t>
        </w:r>
      </w:hyperlink>
    </w:p>
    <w:p>
      <w:pPr>
        <w:spacing w:after="0" w:line="150" w:lineRule="exact"/>
        <w:rPr>
          <w:sz w:val="20"/>
          <w:szCs w:val="20"/>
          <w:color w:val="auto"/>
        </w:rPr>
      </w:pPr>
    </w:p>
    <w:p>
      <w:pPr>
        <w:ind w:left="300"/>
        <w:spacing w:after="0"/>
        <w:rPr>
          <w:rFonts w:ascii="Arial" w:cs="Arial" w:eastAsia="Arial" w:hAnsi="Arial"/>
          <w:sz w:val="17"/>
          <w:szCs w:val="17"/>
          <w:u w:val="single" w:color="auto"/>
          <w:color w:val="0000EE"/>
        </w:rPr>
      </w:pPr>
      <w:hyperlink r:id="rId68">
        <w:r>
          <w:rPr>
            <w:rFonts w:ascii="Arial" w:cs="Arial" w:eastAsia="Arial" w:hAnsi="Arial"/>
            <w:sz w:val="17"/>
            <w:szCs w:val="17"/>
            <w:u w:val="single" w:color="auto"/>
            <w:color w:val="0000EE"/>
          </w:rPr>
          <w:t>10.3</w:t>
        </w:r>
      </w:hyperlink>
    </w:p>
    <w:p>
      <w:pPr>
        <w:spacing w:after="0" w:line="234" w:lineRule="exact"/>
        <w:rPr>
          <w:sz w:val="20"/>
          <w:szCs w:val="20"/>
          <w:color w:val="auto"/>
        </w:rPr>
      </w:pPr>
    </w:p>
    <w:p>
      <w:pPr>
        <w:ind w:left="300"/>
        <w:spacing w:after="0"/>
        <w:rPr>
          <w:rFonts w:ascii="Arial" w:cs="Arial" w:eastAsia="Arial" w:hAnsi="Arial"/>
          <w:sz w:val="17"/>
          <w:szCs w:val="17"/>
          <w:u w:val="single" w:color="auto"/>
          <w:color w:val="0000EE"/>
        </w:rPr>
      </w:pPr>
      <w:hyperlink r:id="rId69">
        <w:r>
          <w:rPr>
            <w:rFonts w:ascii="Arial" w:cs="Arial" w:eastAsia="Arial" w:hAnsi="Arial"/>
            <w:sz w:val="17"/>
            <w:szCs w:val="17"/>
            <w:u w:val="single" w:color="auto"/>
            <w:color w:val="0000EE"/>
          </w:rPr>
          <w:t>10.4</w:t>
        </w:r>
      </w:hyperlink>
    </w:p>
    <w:p>
      <w:pPr>
        <w:spacing w:after="0" w:line="127" w:lineRule="exact"/>
        <w:rPr>
          <w:sz w:val="20"/>
          <w:szCs w:val="20"/>
          <w:color w:val="auto"/>
        </w:rPr>
      </w:pPr>
    </w:p>
    <w:p>
      <w:pPr>
        <w:ind w:left="300"/>
        <w:spacing w:after="0"/>
        <w:rPr>
          <w:rFonts w:ascii="Arial" w:cs="Arial" w:eastAsia="Arial" w:hAnsi="Arial"/>
          <w:sz w:val="17"/>
          <w:szCs w:val="17"/>
          <w:u w:val="single" w:color="auto"/>
          <w:color w:val="0000EE"/>
        </w:rPr>
      </w:pPr>
      <w:hyperlink r:id="rId70">
        <w:r>
          <w:rPr>
            <w:rFonts w:ascii="Arial" w:cs="Arial" w:eastAsia="Arial" w:hAnsi="Arial"/>
            <w:sz w:val="17"/>
            <w:szCs w:val="17"/>
            <w:u w:val="single" w:color="auto"/>
            <w:color w:val="0000EE"/>
          </w:rPr>
          <w:t>10.5</w:t>
        </w:r>
      </w:hyperlink>
    </w:p>
    <w:p>
      <w:pPr>
        <w:spacing w:after="0" w:line="234" w:lineRule="exact"/>
        <w:rPr>
          <w:sz w:val="20"/>
          <w:szCs w:val="20"/>
          <w:color w:val="auto"/>
        </w:rPr>
      </w:pPr>
    </w:p>
    <w:p>
      <w:pPr>
        <w:jc w:val="center"/>
        <w:ind w:left="260"/>
        <w:spacing w:after="0"/>
        <w:rPr>
          <w:rFonts w:ascii="Arial" w:cs="Arial" w:eastAsia="Arial" w:hAnsi="Arial"/>
          <w:sz w:val="17"/>
          <w:szCs w:val="17"/>
          <w:u w:val="single" w:color="auto"/>
          <w:color w:val="0000EE"/>
        </w:rPr>
      </w:pPr>
      <w:hyperlink r:id="rId71">
        <w:r>
          <w:rPr>
            <w:rFonts w:ascii="Arial" w:cs="Arial" w:eastAsia="Arial" w:hAnsi="Arial"/>
            <w:sz w:val="17"/>
            <w:szCs w:val="17"/>
            <w:u w:val="single" w:color="auto"/>
            <w:color w:val="0000EE"/>
          </w:rPr>
          <w:t>10.6</w:t>
        </w:r>
      </w:hyperlink>
    </w:p>
    <w:p>
      <w:pPr>
        <w:spacing w:after="0" w:line="234" w:lineRule="exact"/>
        <w:rPr>
          <w:sz w:val="20"/>
          <w:szCs w:val="20"/>
          <w:color w:val="auto"/>
        </w:rPr>
      </w:pPr>
    </w:p>
    <w:p>
      <w:pPr>
        <w:jc w:val="center"/>
        <w:ind w:left="260"/>
        <w:spacing w:after="0"/>
        <w:rPr>
          <w:rFonts w:ascii="Arial" w:cs="Arial" w:eastAsia="Arial" w:hAnsi="Arial"/>
          <w:sz w:val="17"/>
          <w:szCs w:val="17"/>
          <w:u w:val="single" w:color="auto"/>
          <w:color w:val="0000EE"/>
        </w:rPr>
      </w:pPr>
      <w:hyperlink r:id="rId72">
        <w:r>
          <w:rPr>
            <w:rFonts w:ascii="Arial" w:cs="Arial" w:eastAsia="Arial" w:hAnsi="Arial"/>
            <w:sz w:val="17"/>
            <w:szCs w:val="17"/>
            <w:u w:val="single" w:color="auto"/>
            <w:color w:val="0000EE"/>
          </w:rPr>
          <w:t>10.7</w:t>
        </w:r>
      </w:hyperlink>
    </w:p>
    <w:p>
      <w:pPr>
        <w:spacing w:after="0" w:line="234" w:lineRule="exact"/>
        <w:rPr>
          <w:sz w:val="20"/>
          <w:szCs w:val="20"/>
          <w:color w:val="auto"/>
        </w:rPr>
      </w:pPr>
    </w:p>
    <w:p>
      <w:pPr>
        <w:jc w:val="center"/>
        <w:ind w:left="260"/>
        <w:spacing w:after="0"/>
        <w:rPr>
          <w:rFonts w:ascii="Arial" w:cs="Arial" w:eastAsia="Arial" w:hAnsi="Arial"/>
          <w:sz w:val="17"/>
          <w:szCs w:val="17"/>
          <w:u w:val="single" w:color="auto"/>
          <w:color w:val="0000EE"/>
        </w:rPr>
      </w:pPr>
      <w:hyperlink r:id="rId73">
        <w:r>
          <w:rPr>
            <w:rFonts w:ascii="Arial" w:cs="Arial" w:eastAsia="Arial" w:hAnsi="Arial"/>
            <w:sz w:val="17"/>
            <w:szCs w:val="17"/>
            <w:u w:val="single" w:color="auto"/>
            <w:color w:val="0000EE"/>
          </w:rPr>
          <w:t>10.8</w:t>
        </w:r>
      </w:hyperlink>
    </w:p>
    <w:p>
      <w:pPr>
        <w:spacing w:after="0" w:line="234" w:lineRule="exact"/>
        <w:rPr>
          <w:sz w:val="20"/>
          <w:szCs w:val="20"/>
          <w:color w:val="auto"/>
        </w:rPr>
      </w:pPr>
    </w:p>
    <w:p>
      <w:pPr>
        <w:jc w:val="center"/>
        <w:ind w:left="260"/>
        <w:spacing w:after="0"/>
        <w:rPr>
          <w:rFonts w:ascii="Arial" w:cs="Arial" w:eastAsia="Arial" w:hAnsi="Arial"/>
          <w:sz w:val="17"/>
          <w:szCs w:val="17"/>
          <w:u w:val="single" w:color="auto"/>
          <w:color w:val="0000EE"/>
        </w:rPr>
      </w:pPr>
      <w:hyperlink r:id="rId74">
        <w:r>
          <w:rPr>
            <w:rFonts w:ascii="Arial" w:cs="Arial" w:eastAsia="Arial" w:hAnsi="Arial"/>
            <w:sz w:val="17"/>
            <w:szCs w:val="17"/>
            <w:u w:val="single" w:color="auto"/>
            <w:color w:val="0000EE"/>
          </w:rPr>
          <w:t>10.9</w:t>
        </w:r>
      </w:hyperlink>
    </w:p>
    <w:p>
      <w:pPr>
        <w:spacing w:after="0" w:line="234" w:lineRule="exact"/>
        <w:rPr>
          <w:sz w:val="20"/>
          <w:szCs w:val="20"/>
          <w:color w:val="auto"/>
        </w:rPr>
      </w:pPr>
    </w:p>
    <w:p>
      <w:pPr>
        <w:jc w:val="center"/>
        <w:ind w:left="260"/>
        <w:spacing w:after="0"/>
        <w:rPr>
          <w:rFonts w:ascii="Arial" w:cs="Arial" w:eastAsia="Arial" w:hAnsi="Arial"/>
          <w:sz w:val="15"/>
          <w:szCs w:val="15"/>
          <w:u w:val="single" w:color="auto"/>
          <w:color w:val="0000EE"/>
        </w:rPr>
      </w:pPr>
      <w:hyperlink r:id="rId75">
        <w:r>
          <w:rPr>
            <w:rFonts w:ascii="Arial" w:cs="Arial" w:eastAsia="Arial" w:hAnsi="Arial"/>
            <w:sz w:val="15"/>
            <w:szCs w:val="15"/>
            <w:u w:val="single" w:color="auto"/>
            <w:color w:val="0000EE"/>
          </w:rPr>
          <w:t>10.10</w:t>
        </w:r>
      </w:hyperlink>
    </w:p>
    <w:p>
      <w:pPr>
        <w:spacing w:after="0" w:line="257" w:lineRule="exact"/>
        <w:rPr>
          <w:sz w:val="20"/>
          <w:szCs w:val="20"/>
          <w:color w:val="auto"/>
        </w:rPr>
      </w:pPr>
    </w:p>
    <w:p>
      <w:pPr>
        <w:jc w:val="center"/>
        <w:ind w:left="260"/>
        <w:spacing w:after="0"/>
        <w:rPr>
          <w:rFonts w:ascii="Arial" w:cs="Arial" w:eastAsia="Arial" w:hAnsi="Arial"/>
          <w:sz w:val="15"/>
          <w:szCs w:val="15"/>
          <w:u w:val="single" w:color="auto"/>
          <w:color w:val="0000EE"/>
        </w:rPr>
      </w:pPr>
      <w:hyperlink r:id="rId76">
        <w:r>
          <w:rPr>
            <w:rFonts w:ascii="Arial" w:cs="Arial" w:eastAsia="Arial" w:hAnsi="Arial"/>
            <w:sz w:val="15"/>
            <w:szCs w:val="15"/>
            <w:u w:val="single" w:color="auto"/>
            <w:color w:val="0000EE"/>
          </w:rPr>
          <w:t>10.11</w:t>
        </w:r>
      </w:hyperlink>
    </w:p>
    <w:p>
      <w:pPr>
        <w:spacing w:after="0" w:line="257" w:lineRule="exact"/>
        <w:rPr>
          <w:sz w:val="20"/>
          <w:szCs w:val="20"/>
          <w:color w:val="auto"/>
        </w:rPr>
      </w:pPr>
    </w:p>
    <w:p>
      <w:pPr>
        <w:ind w:left="260"/>
        <w:spacing w:after="0"/>
        <w:rPr>
          <w:rFonts w:ascii="Arial" w:cs="Arial" w:eastAsia="Arial" w:hAnsi="Arial"/>
          <w:sz w:val="15"/>
          <w:szCs w:val="15"/>
          <w:u w:val="single" w:color="auto"/>
          <w:color w:val="0000EE"/>
        </w:rPr>
      </w:pPr>
      <w:hyperlink r:id="rId77">
        <w:r>
          <w:rPr>
            <w:rFonts w:ascii="Arial" w:cs="Arial" w:eastAsia="Arial" w:hAnsi="Arial"/>
            <w:sz w:val="15"/>
            <w:szCs w:val="15"/>
            <w:u w:val="single" w:color="auto"/>
            <w:color w:val="0000EE"/>
          </w:rPr>
          <w:t>10.12</w:t>
        </w:r>
      </w:hyperlink>
    </w:p>
    <w:p>
      <w:pPr>
        <w:spacing w:after="0" w:line="49" w:lineRule="exact"/>
        <w:rPr>
          <w:sz w:val="20"/>
          <w:szCs w:val="20"/>
          <w:color w:val="auto"/>
        </w:rPr>
      </w:pPr>
    </w:p>
    <w:p>
      <w:pPr>
        <w:ind w:left="260"/>
        <w:spacing w:after="0"/>
        <w:rPr>
          <w:rFonts w:ascii="Arial" w:cs="Arial" w:eastAsia="Arial" w:hAnsi="Arial"/>
          <w:sz w:val="15"/>
          <w:szCs w:val="15"/>
          <w:u w:val="single" w:color="auto"/>
          <w:color w:val="0000EE"/>
        </w:rPr>
      </w:pPr>
      <w:hyperlink r:id="rId78">
        <w:r>
          <w:rPr>
            <w:rFonts w:ascii="Arial" w:cs="Arial" w:eastAsia="Arial" w:hAnsi="Arial"/>
            <w:sz w:val="15"/>
            <w:szCs w:val="15"/>
            <w:u w:val="single" w:color="auto"/>
            <w:color w:val="0000EE"/>
          </w:rPr>
          <w:t>10.13</w:t>
        </w:r>
      </w:hyperlink>
    </w:p>
    <w:p>
      <w:pPr>
        <w:spacing w:after="0" w:line="251" w:lineRule="exact"/>
        <w:rPr>
          <w:sz w:val="20"/>
          <w:szCs w:val="20"/>
          <w:color w:val="auto"/>
        </w:rPr>
      </w:pPr>
    </w:p>
    <w:p>
      <w:pPr>
        <w:jc w:val="center"/>
        <w:ind w:left="260"/>
        <w:spacing w:after="0"/>
        <w:rPr>
          <w:rFonts w:ascii="Arial" w:cs="Arial" w:eastAsia="Arial" w:hAnsi="Arial"/>
          <w:sz w:val="15"/>
          <w:szCs w:val="15"/>
          <w:u w:val="single" w:color="auto"/>
          <w:color w:val="0000EE"/>
        </w:rPr>
      </w:pPr>
      <w:hyperlink r:id="rId79">
        <w:r>
          <w:rPr>
            <w:rFonts w:ascii="Arial" w:cs="Arial" w:eastAsia="Arial" w:hAnsi="Arial"/>
            <w:sz w:val="15"/>
            <w:szCs w:val="15"/>
            <w:u w:val="single" w:color="auto"/>
            <w:color w:val="0000EE"/>
          </w:rPr>
          <w:t>10.14</w:t>
        </w:r>
      </w:hyperlink>
    </w:p>
    <w:p>
      <w:pPr>
        <w:spacing w:after="0" w:line="200" w:lineRule="exact"/>
        <w:rPr>
          <w:sz w:val="20"/>
          <w:szCs w:val="20"/>
          <w:color w:val="auto"/>
        </w:rPr>
      </w:pPr>
    </w:p>
    <w:p>
      <w:pPr>
        <w:spacing w:after="0" w:line="272" w:lineRule="exact"/>
        <w:rPr>
          <w:sz w:val="20"/>
          <w:szCs w:val="20"/>
          <w:color w:val="auto"/>
        </w:rPr>
      </w:pPr>
    </w:p>
    <w:p>
      <w:pPr>
        <w:jc w:val="center"/>
        <w:ind w:left="260"/>
        <w:spacing w:after="0"/>
        <w:rPr>
          <w:rFonts w:ascii="Arial" w:cs="Arial" w:eastAsia="Arial" w:hAnsi="Arial"/>
          <w:sz w:val="15"/>
          <w:szCs w:val="15"/>
          <w:u w:val="single" w:color="auto"/>
          <w:color w:val="0000EE"/>
        </w:rPr>
      </w:pPr>
      <w:hyperlink r:id="rId80">
        <w:r>
          <w:rPr>
            <w:rFonts w:ascii="Arial" w:cs="Arial" w:eastAsia="Arial" w:hAnsi="Arial"/>
            <w:sz w:val="15"/>
            <w:szCs w:val="15"/>
            <w:u w:val="single" w:color="auto"/>
            <w:color w:val="0000EE"/>
          </w:rPr>
          <w:t>10.15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260"/>
        <w:spacing w:after="0"/>
        <w:rPr>
          <w:rFonts w:ascii="Arial" w:cs="Arial" w:eastAsia="Arial" w:hAnsi="Arial"/>
          <w:sz w:val="15"/>
          <w:szCs w:val="15"/>
          <w:u w:val="single" w:color="auto"/>
          <w:color w:val="0000EE"/>
        </w:rPr>
      </w:pPr>
      <w:hyperlink r:id="rId81">
        <w:r>
          <w:rPr>
            <w:rFonts w:ascii="Arial" w:cs="Arial" w:eastAsia="Arial" w:hAnsi="Arial"/>
            <w:sz w:val="15"/>
            <w:szCs w:val="15"/>
            <w:u w:val="single" w:color="auto"/>
            <w:color w:val="0000EE"/>
          </w:rPr>
          <w:t>10.16</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Stock Purchase Agreement, dated March 22, 2017, by and between Wrap Technologies, LLC, Petro River Oil Corp., and Megawest Energy Montana Corp. Incorporated by reference to Exhibit 2.1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-271145</wp:posOffset>
            </wp:positionV>
            <wp:extent cx="7132955" cy="273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7"/>
          <w:szCs w:val="17"/>
          <w:color w:val="auto"/>
        </w:rPr>
        <w:t>Merger Agreement between Wrap Technologies, LLC and Megawest Energy Montana Corp., dated March 30, 2017. Incorporated by reference to Exhibit 2.2 to the Registration Statement on Form S-1, filed on April 17, 2017.</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Amended and Restated Certificate of Incorporation of the Registrant. Incorporated by reference to Exhibit 3.1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-270510</wp:posOffset>
            </wp:positionV>
            <wp:extent cx="7132955" cy="273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Bylaws of the Registrant. Incorporated by reference to Exhibit 3.2 to the Registration Statement on Form S-1, filed on April 17, 2017.</w:t>
      </w:r>
    </w:p>
    <w:p>
      <w:pPr>
        <w:spacing w:after="0" w:line="2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Form of Common Stock Certificate. Incorporated by reference to Exhibit 4.1 to Amendment No. 1 to the Registration Statement on Form S-1, filed on May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-270510</wp:posOffset>
            </wp:positionV>
            <wp:extent cx="7132955" cy="273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7"/>
          <w:szCs w:val="17"/>
          <w:color w:val="auto"/>
        </w:rPr>
        <w:t>Form of Investor Warrant, dated October 30, 2018. Incorporated by reference to Exhibit 4.1 to the Current Report on Form 8-K, filed on November 5, 2018.</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Form of Placement Agent Warrant, dated October 30, 2018. Incorporated by reference to Exhibit 4.2 to the Current Report on Form 8-K, filed on 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-270510</wp:posOffset>
            </wp:positionV>
            <wp:extent cx="7132955" cy="273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7"/>
          <w:szCs w:val="17"/>
          <w:color w:val="auto"/>
        </w:rPr>
        <w:t>Form of Investor Warrant, dated June 18, 2019. Incorporated by reference to Exhibit 4.1 to the Current Report on Form 8-K, filed on June 18, 2019.</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Form of Offering Agent Warrant, dated June 18, 2019. Incorporated by reference to Exhibit 4.1 to the Current Report on Form 8-K, filed on June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-270510</wp:posOffset>
            </wp:positionV>
            <wp:extent cx="7132955" cy="273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Warrant Agreement. Incorporated by reference to Exhibit 4.2 to the Current Report on Form 8-K, filed on June 2, 2020.</w:t>
      </w:r>
    </w:p>
    <w:p>
      <w:pPr>
        <w:spacing w:after="0" w:line="2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Amended and Restated Intellectual Property License Agreement, dated September 30, 2016, by and between Wrap Technologies, LLC and Syzygy Licensing LLC. Incorporated by reference to Exhibit 10.1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-270510</wp:posOffset>
            </wp:positionV>
            <wp:extent cx="7132955" cy="273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7"/>
          <w:szCs w:val="17"/>
          <w:color w:val="auto"/>
        </w:rPr>
        <w:t>2017 Equity Compensation Plan. Incorporated by reference to Exhibit 10.2 to the Registration Statement on Form S-1, filed on April 17, 2017. Form of Placement Agent Agreement, dated October 30, 2018. Incorporated by reference to Exhibit 10.1 to the Current Report on Form 8-K, filed on 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-269875</wp:posOffset>
            </wp:positionV>
            <wp:extent cx="7132955" cy="273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7"/>
          <w:szCs w:val="17"/>
          <w:color w:val="auto"/>
        </w:rPr>
        <w:t>Form of Registration Rights Agreement, dated October 30, 2018. Incorporated by reference to Exhibit 10.2 to the Current Report on Form 8-K, filed on November 5, 2018.</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Supplemental Engagement Letter by and between Wrap Technologies, Inc. and Katalyst Securities LLC, dated June 7, 2019. Incorporated by reference to Exhibit 10.1 to the Current Report on Form 8-K, filed on June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-270510</wp:posOffset>
            </wp:positionV>
            <wp:extent cx="7132955" cy="273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Engagement Letter by and between Wrap Technologies, Inc., Dinosaur Financial Group, LLC and Katalyst Securities LLC, dated June 12 , 2019.</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to Exhibit 10.2 to the Current Report on Form 8-K, filed on June 18, 2019.</w:t>
      </w:r>
    </w:p>
    <w:p>
      <w:pPr>
        <w:spacing w:after="0" w:line="2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Amended 2017 Equity Compensation Plan. Incorporated by reference to Exhibit 10.1 to the Registration Statement on Form S-8, filed on June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-270510</wp:posOffset>
            </wp:positionV>
            <wp:extent cx="7132955" cy="273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7"/>
          <w:szCs w:val="17"/>
          <w:color w:val="auto"/>
        </w:rPr>
        <w:t>Industrial Real Estate Lease, dated May 10, 2019, by and between Wrap Technologies, Inc. and JM Sky Harbor Properties LLC. Incorporated by reference from Exhibit 10.1 to the Current Report on Form 8-K, filed on June 6, 2019.</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Promissory Note by and between Wrap Technologies, Inc. and Bank of America, N.A. dated May 1, 2020. Incorporated by reference to Exhibit 10.1 to the Current Report on Form 8-K, filed on 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-270510</wp:posOffset>
            </wp:positionV>
            <wp:extent cx="7132955" cy="273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7"/>
          <w:szCs w:val="17"/>
          <w:color w:val="auto"/>
        </w:rPr>
        <w:t>Consulting Agreement by and between the Company and V3, effective April 1, 2020. Incorporated by reference to Exhibit 10.1 to the Registration Statement on Form S-8, filed on May 29, 2020.</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Amendment No. 2 to the Wrap Technologies, Inc. 2017 Equity Compensation Plan. Incorporated by reference to Exhibit 10.1 to the Registration Statement on Form S-8, filed on June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-270510</wp:posOffset>
            </wp:positionV>
            <wp:extent cx="7132955" cy="273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7"/>
          <w:szCs w:val="17"/>
          <w:color w:val="auto"/>
        </w:rPr>
        <w:t>Form of Subscription Agreement. Incorporated by reference to Exhibit 10.1 to the Current Report on Form 8-K, filed on June 2, 2020. Employment Agreement by and between Wrap Technologies, Inc., and Marc T. Thomas, dated July 30, 2020. Incorporated by reference to Exhibit 10.1 to the Current Report on Form 8-K, filed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-269875</wp:posOffset>
            </wp:positionV>
            <wp:extent cx="7132955" cy="273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7"/>
          <w:szCs w:val="17"/>
          <w:color w:val="auto"/>
        </w:rPr>
        <w:t>At-Will Employment, Confidential Information, Non-Compete/Non-Solicitation, Invention Assignment, and Arbitration Agreement, dated September 9, 2020 between the Company and Thomas Smith. Incorporated by reference to Exhibit 10.1 to the Current Report on Form 8-K, filed on September 14, 2020.</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Asset Purchase Agreement between NSENA Inc. and Wrap Reality, Inc. dated as of December 14, 2020. In accordance with the instructions to Item 601(b)(2) of Regulation S-K, the schedules and exhibits to the Asset Purchase Agreement are not filed herewith. The Asset Purchase Agreement identifies such schedules and exhibits, including the general nature of their content. The Company undertakes to provide such schedules and exhibits to the SEC upon request. Incorporated by reference to Exhibit 2.1 to the Current Report on Form 8-K, filed on September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-678180</wp:posOffset>
            </wp:positionV>
            <wp:extent cx="7132955" cy="682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32955" cy="682625"/>
                    </a:xfrm>
                    <a:prstGeom prst="rect">
                      <a:avLst/>
                    </a:prstGeom>
                    <a:noFill/>
                  </pic:spPr>
                </pic:pic>
              </a:graphicData>
            </a:graphic>
          </wp:anchor>
        </w:drawing>
      </w:r>
    </w:p>
    <w:p>
      <w:pPr>
        <w:jc w:val="both"/>
        <w:spacing w:after="0" w:line="320" w:lineRule="auto"/>
        <w:rPr>
          <w:sz w:val="20"/>
          <w:szCs w:val="20"/>
          <w:color w:val="auto"/>
        </w:rPr>
      </w:pPr>
      <w:r>
        <w:rPr>
          <w:rFonts w:ascii="Arial" w:cs="Arial" w:eastAsia="Arial" w:hAnsi="Arial"/>
          <w:sz w:val="16"/>
          <w:szCs w:val="16"/>
          <w:color w:val="auto"/>
        </w:rPr>
        <w:t>Form of At-Will Employment, Confidential Information, Non-Compete/ Non-Solicitation, Invention Assignment, and Arbitration Agreement between the Key Employees and the Company dated December 14, 2020. Incorporated by reference to Exhibit 2.2 to the Current Report on Form</w:t>
      </w:r>
    </w:p>
    <w:p>
      <w:pPr>
        <w:sectPr>
          <w:pgSz w:w="11900" w:h="16838" w:orient="portrait"/>
          <w:cols w:equalWidth="0" w:num="2">
            <w:col w:w="660" w:space="240"/>
            <w:col w:w="10340"/>
          </w:cols>
          <w:pgMar w:left="320" w:top="555" w:right="339" w:bottom="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19"/>
                <w:szCs w:val="19"/>
                <w:color w:val="auto"/>
              </w:rPr>
            </w:pPr>
          </w:p>
        </w:tc>
        <w:tc>
          <w:tcPr>
            <w:tcW w:w="10400" w:type="dxa"/>
            <w:vAlign w:val="bottom"/>
          </w:tcPr>
          <w:p>
            <w:pPr>
              <w:ind w:left="60"/>
              <w:spacing w:after="0"/>
              <w:rPr>
                <w:sz w:val="20"/>
                <w:szCs w:val="20"/>
                <w:color w:val="auto"/>
              </w:rPr>
            </w:pPr>
            <w:r>
              <w:rPr>
                <w:rFonts w:ascii="Arial" w:cs="Arial" w:eastAsia="Arial" w:hAnsi="Arial"/>
                <w:sz w:val="17"/>
                <w:szCs w:val="17"/>
                <w:color w:val="auto"/>
              </w:rPr>
              <w:t>8-K, filed on September 14, 2020.</w:t>
            </w:r>
          </w:p>
        </w:tc>
      </w:tr>
      <w:tr>
        <w:trPr>
          <w:trHeight w:val="216"/>
        </w:trPr>
        <w:tc>
          <w:tcPr>
            <w:tcW w:w="840" w:type="dxa"/>
            <w:vAlign w:val="bottom"/>
            <w:shd w:val="clear" w:color="auto" w:fill="CCEEFF"/>
          </w:tcPr>
          <w:p>
            <w:pPr>
              <w:jc w:val="center"/>
              <w:spacing w:after="0"/>
              <w:rPr>
                <w:rFonts w:ascii="Arial" w:cs="Arial" w:eastAsia="Arial" w:hAnsi="Arial"/>
                <w:sz w:val="17"/>
                <w:szCs w:val="17"/>
                <w:u w:val="single" w:color="auto"/>
                <w:color w:val="0000EE"/>
                <w:w w:val="96"/>
              </w:rPr>
            </w:pPr>
            <w:hyperlink w:anchor="page72">
              <w:r>
                <w:rPr>
                  <w:rFonts w:ascii="Arial" w:cs="Arial" w:eastAsia="Arial" w:hAnsi="Arial"/>
                  <w:sz w:val="17"/>
                  <w:szCs w:val="17"/>
                  <w:u w:val="single" w:color="auto"/>
                  <w:color w:val="0000EE"/>
                  <w:w w:val="96"/>
                </w:rPr>
                <w:t>14.1</w:t>
              </w:r>
            </w:hyperlink>
          </w:p>
        </w:tc>
        <w:tc>
          <w:tcPr>
            <w:tcW w:w="10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Code of Ethics of the Registrant Applicable to Directors, Officers and Employees.*</w:t>
            </w:r>
          </w:p>
        </w:tc>
      </w:tr>
      <w:tr>
        <w:trPr>
          <w:trHeight w:val="215"/>
        </w:trPr>
        <w:tc>
          <w:tcPr>
            <w:tcW w:w="840" w:type="dxa"/>
            <w:vAlign w:val="bottom"/>
          </w:tcPr>
          <w:p>
            <w:pPr>
              <w:jc w:val="center"/>
              <w:spacing w:after="0"/>
              <w:rPr>
                <w:rFonts w:ascii="Arial" w:cs="Arial" w:eastAsia="Arial" w:hAnsi="Arial"/>
                <w:sz w:val="17"/>
                <w:szCs w:val="17"/>
                <w:u w:val="single" w:color="auto"/>
                <w:color w:val="0000EE"/>
                <w:w w:val="96"/>
              </w:rPr>
            </w:pPr>
            <w:hyperlink w:anchor="page79">
              <w:r>
                <w:rPr>
                  <w:rFonts w:ascii="Arial" w:cs="Arial" w:eastAsia="Arial" w:hAnsi="Arial"/>
                  <w:sz w:val="17"/>
                  <w:szCs w:val="17"/>
                  <w:u w:val="single" w:color="auto"/>
                  <w:color w:val="0000EE"/>
                  <w:w w:val="96"/>
                </w:rPr>
                <w:t>21.1</w:t>
              </w:r>
            </w:hyperlink>
          </w:p>
        </w:tc>
        <w:tc>
          <w:tcPr>
            <w:tcW w:w="10400" w:type="dxa"/>
            <w:vAlign w:val="bottom"/>
          </w:tcPr>
          <w:p>
            <w:pPr>
              <w:ind w:left="60"/>
              <w:spacing w:after="0"/>
              <w:rPr>
                <w:sz w:val="20"/>
                <w:szCs w:val="20"/>
                <w:color w:val="auto"/>
              </w:rPr>
            </w:pPr>
            <w:r>
              <w:rPr>
                <w:rFonts w:ascii="Arial" w:cs="Arial" w:eastAsia="Arial" w:hAnsi="Arial"/>
                <w:sz w:val="17"/>
                <w:szCs w:val="17"/>
                <w:color w:val="auto"/>
              </w:rPr>
              <w:t>Subsidiaries of Wrap Technologies, Inc.*</w:t>
            </w:r>
          </w:p>
        </w:tc>
      </w:tr>
      <w:tr>
        <w:trPr>
          <w:trHeight w:val="215"/>
        </w:trPr>
        <w:tc>
          <w:tcPr>
            <w:tcW w:w="840" w:type="dxa"/>
            <w:vAlign w:val="bottom"/>
            <w:shd w:val="clear" w:color="auto" w:fill="CCEEFF"/>
          </w:tcPr>
          <w:p>
            <w:pPr>
              <w:jc w:val="center"/>
              <w:spacing w:after="0"/>
              <w:rPr>
                <w:rFonts w:ascii="Arial" w:cs="Arial" w:eastAsia="Arial" w:hAnsi="Arial"/>
                <w:sz w:val="17"/>
                <w:szCs w:val="17"/>
                <w:u w:val="single" w:color="auto"/>
                <w:color w:val="0000EE"/>
                <w:w w:val="96"/>
              </w:rPr>
            </w:pPr>
            <w:hyperlink w:anchor="page80">
              <w:r>
                <w:rPr>
                  <w:rFonts w:ascii="Arial" w:cs="Arial" w:eastAsia="Arial" w:hAnsi="Arial"/>
                  <w:sz w:val="17"/>
                  <w:szCs w:val="17"/>
                  <w:u w:val="single" w:color="auto"/>
                  <w:color w:val="0000EE"/>
                  <w:w w:val="96"/>
                </w:rPr>
                <w:t>23.1</w:t>
              </w:r>
            </w:hyperlink>
          </w:p>
        </w:tc>
        <w:tc>
          <w:tcPr>
            <w:tcW w:w="10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Consent of Independent Registered Public Accounting Firm - Rosenberg Rich Baker Berman, P.A. *</w:t>
            </w:r>
          </w:p>
        </w:tc>
      </w:tr>
      <w:tr>
        <w:trPr>
          <w:trHeight w:val="215"/>
        </w:trPr>
        <w:tc>
          <w:tcPr>
            <w:tcW w:w="840" w:type="dxa"/>
            <w:vAlign w:val="bottom"/>
          </w:tcPr>
          <w:p>
            <w:pPr>
              <w:jc w:val="center"/>
              <w:spacing w:after="0"/>
              <w:rPr>
                <w:rFonts w:ascii="Arial" w:cs="Arial" w:eastAsia="Arial" w:hAnsi="Arial"/>
                <w:sz w:val="17"/>
                <w:szCs w:val="17"/>
                <w:u w:val="single" w:color="auto"/>
                <w:color w:val="0000EE"/>
                <w:w w:val="96"/>
              </w:rPr>
            </w:pPr>
            <w:hyperlink w:anchor="page81">
              <w:r>
                <w:rPr>
                  <w:rFonts w:ascii="Arial" w:cs="Arial" w:eastAsia="Arial" w:hAnsi="Arial"/>
                  <w:sz w:val="17"/>
                  <w:szCs w:val="17"/>
                  <w:u w:val="single" w:color="auto"/>
                  <w:color w:val="0000EE"/>
                  <w:w w:val="96"/>
                </w:rPr>
                <w:t>31.1</w:t>
              </w:r>
            </w:hyperlink>
          </w:p>
        </w:tc>
        <w:tc>
          <w:tcPr>
            <w:tcW w:w="10400" w:type="dxa"/>
            <w:vAlign w:val="bottom"/>
          </w:tcPr>
          <w:p>
            <w:pPr>
              <w:ind w:left="60"/>
              <w:spacing w:after="0"/>
              <w:rPr>
                <w:sz w:val="20"/>
                <w:szCs w:val="20"/>
                <w:color w:val="auto"/>
              </w:rPr>
            </w:pPr>
            <w:r>
              <w:rPr>
                <w:rFonts w:ascii="Arial" w:cs="Arial" w:eastAsia="Arial" w:hAnsi="Arial"/>
                <w:sz w:val="17"/>
                <w:szCs w:val="17"/>
                <w:color w:val="auto"/>
              </w:rPr>
              <w:t>Certification pursuant to Rule 13a-14(a) under the Securities Exchange Act of 1934 *</w:t>
            </w:r>
          </w:p>
        </w:tc>
      </w:tr>
      <w:tr>
        <w:trPr>
          <w:trHeight w:val="215"/>
        </w:trPr>
        <w:tc>
          <w:tcPr>
            <w:tcW w:w="840" w:type="dxa"/>
            <w:vAlign w:val="bottom"/>
            <w:shd w:val="clear" w:color="auto" w:fill="CCEEFF"/>
          </w:tcPr>
          <w:p>
            <w:pPr>
              <w:jc w:val="center"/>
              <w:spacing w:after="0"/>
              <w:rPr>
                <w:rFonts w:ascii="Arial" w:cs="Arial" w:eastAsia="Arial" w:hAnsi="Arial"/>
                <w:sz w:val="17"/>
                <w:szCs w:val="17"/>
                <w:u w:val="single" w:color="auto"/>
                <w:color w:val="0000EE"/>
                <w:w w:val="96"/>
              </w:rPr>
            </w:pPr>
            <w:hyperlink w:anchor="page82">
              <w:r>
                <w:rPr>
                  <w:rFonts w:ascii="Arial" w:cs="Arial" w:eastAsia="Arial" w:hAnsi="Arial"/>
                  <w:sz w:val="17"/>
                  <w:szCs w:val="17"/>
                  <w:u w:val="single" w:color="auto"/>
                  <w:color w:val="0000EE"/>
                  <w:w w:val="96"/>
                </w:rPr>
                <w:t>31.2</w:t>
              </w:r>
            </w:hyperlink>
          </w:p>
        </w:tc>
        <w:tc>
          <w:tcPr>
            <w:tcW w:w="10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Certification pursuant to Rule 13a-14(a) under the Securities Exchange Act of 1934 *</w:t>
            </w:r>
          </w:p>
        </w:tc>
      </w:tr>
      <w:tr>
        <w:trPr>
          <w:trHeight w:val="207"/>
        </w:trPr>
        <w:tc>
          <w:tcPr>
            <w:tcW w:w="840" w:type="dxa"/>
            <w:vAlign w:val="bottom"/>
          </w:tcPr>
          <w:p>
            <w:pPr>
              <w:jc w:val="center"/>
              <w:spacing w:after="0"/>
              <w:rPr>
                <w:rFonts w:ascii="Arial" w:cs="Arial" w:eastAsia="Arial" w:hAnsi="Arial"/>
                <w:sz w:val="17"/>
                <w:szCs w:val="17"/>
                <w:u w:val="single" w:color="auto"/>
                <w:color w:val="0000EE"/>
                <w:w w:val="96"/>
              </w:rPr>
            </w:pPr>
            <w:hyperlink w:anchor="page83">
              <w:r>
                <w:rPr>
                  <w:rFonts w:ascii="Arial" w:cs="Arial" w:eastAsia="Arial" w:hAnsi="Arial"/>
                  <w:sz w:val="17"/>
                  <w:szCs w:val="17"/>
                  <w:u w:val="single" w:color="auto"/>
                  <w:color w:val="0000EE"/>
                  <w:w w:val="96"/>
                </w:rPr>
                <w:t>32.1</w:t>
              </w:r>
            </w:hyperlink>
          </w:p>
        </w:tc>
        <w:tc>
          <w:tcPr>
            <w:tcW w:w="10400" w:type="dxa"/>
            <w:vAlign w:val="bottom"/>
          </w:tcPr>
          <w:p>
            <w:pPr>
              <w:ind w:left="60"/>
              <w:spacing w:after="0"/>
              <w:rPr>
                <w:sz w:val="20"/>
                <w:szCs w:val="20"/>
                <w:color w:val="auto"/>
              </w:rPr>
            </w:pPr>
            <w:r>
              <w:rPr>
                <w:rFonts w:ascii="Arial" w:cs="Arial" w:eastAsia="Arial" w:hAnsi="Arial"/>
                <w:sz w:val="17"/>
                <w:szCs w:val="17"/>
                <w:color w:val="auto"/>
                <w:w w:val="95"/>
              </w:rPr>
              <w:t>Certifications pursuant to 18 U.S.C. Section 1350. This certification is being furnished solely to accompany this Annual Report on Form 10-K and</w:t>
            </w:r>
          </w:p>
        </w:tc>
      </w:tr>
      <w:tr>
        <w:trPr>
          <w:trHeight w:val="215"/>
        </w:trPr>
        <w:tc>
          <w:tcPr>
            <w:tcW w:w="840" w:type="dxa"/>
            <w:vAlign w:val="bottom"/>
          </w:tcPr>
          <w:p>
            <w:pPr>
              <w:spacing w:after="0"/>
              <w:rPr>
                <w:sz w:val="18"/>
                <w:szCs w:val="18"/>
                <w:color w:val="auto"/>
              </w:rPr>
            </w:pPr>
          </w:p>
        </w:tc>
        <w:tc>
          <w:tcPr>
            <w:tcW w:w="10400" w:type="dxa"/>
            <w:vAlign w:val="bottom"/>
          </w:tcPr>
          <w:p>
            <w:pPr>
              <w:ind w:left="60"/>
              <w:spacing w:after="0"/>
              <w:rPr>
                <w:sz w:val="20"/>
                <w:szCs w:val="20"/>
                <w:color w:val="auto"/>
              </w:rPr>
            </w:pPr>
            <w:r>
              <w:rPr>
                <w:rFonts w:ascii="Arial" w:cs="Arial" w:eastAsia="Arial" w:hAnsi="Arial"/>
                <w:sz w:val="17"/>
                <w:szCs w:val="17"/>
                <w:color w:val="auto"/>
                <w:w w:val="95"/>
              </w:rPr>
              <w:t>is not being filed for purposes of Section 18 of the Securities Exchange Act of 1934, as amended, and is not to be incorporated by reference into</w:t>
            </w:r>
          </w:p>
        </w:tc>
      </w:tr>
      <w:tr>
        <w:trPr>
          <w:trHeight w:val="222"/>
        </w:trPr>
        <w:tc>
          <w:tcPr>
            <w:tcW w:w="840" w:type="dxa"/>
            <w:vAlign w:val="bottom"/>
          </w:tcPr>
          <w:p>
            <w:pPr>
              <w:spacing w:after="0"/>
              <w:rPr>
                <w:sz w:val="19"/>
                <w:szCs w:val="19"/>
                <w:color w:val="auto"/>
              </w:rPr>
            </w:pPr>
          </w:p>
        </w:tc>
        <w:tc>
          <w:tcPr>
            <w:tcW w:w="10400" w:type="dxa"/>
            <w:vAlign w:val="bottom"/>
          </w:tcPr>
          <w:p>
            <w:pPr>
              <w:ind w:left="60"/>
              <w:spacing w:after="0"/>
              <w:rPr>
                <w:sz w:val="20"/>
                <w:szCs w:val="20"/>
                <w:color w:val="auto"/>
              </w:rPr>
            </w:pPr>
            <w:r>
              <w:rPr>
                <w:rFonts w:ascii="Arial" w:cs="Arial" w:eastAsia="Arial" w:hAnsi="Arial"/>
                <w:sz w:val="17"/>
                <w:szCs w:val="17"/>
                <w:color w:val="auto"/>
              </w:rPr>
              <w:t>any filing of the Company.*</w:t>
            </w:r>
          </w:p>
        </w:tc>
      </w:tr>
      <w:tr>
        <w:trPr>
          <w:trHeight w:val="423"/>
        </w:trPr>
        <w:tc>
          <w:tcPr>
            <w:tcW w:w="840" w:type="dxa"/>
            <w:vAlign w:val="bottom"/>
          </w:tcPr>
          <w:p>
            <w:pPr>
              <w:spacing w:after="0"/>
              <w:rPr>
                <w:sz w:val="24"/>
                <w:szCs w:val="24"/>
                <w:color w:val="auto"/>
              </w:rPr>
            </w:pPr>
          </w:p>
        </w:tc>
        <w:tc>
          <w:tcPr>
            <w:tcW w:w="10400" w:type="dxa"/>
            <w:vAlign w:val="bottom"/>
          </w:tcPr>
          <w:p>
            <w:pPr>
              <w:ind w:left="60"/>
              <w:spacing w:after="0"/>
              <w:rPr>
                <w:sz w:val="20"/>
                <w:szCs w:val="20"/>
                <w:color w:val="auto"/>
              </w:rPr>
            </w:pPr>
            <w:r>
              <w:rPr>
                <w:rFonts w:ascii="Arial" w:cs="Arial" w:eastAsia="Arial" w:hAnsi="Arial"/>
                <w:sz w:val="17"/>
                <w:szCs w:val="17"/>
                <w:b w:val="1"/>
                <w:bCs w:val="1"/>
                <w:color w:val="auto"/>
              </w:rPr>
              <w:t>Extensible Business Reporting Language (XBRL) Exhibits*</w:t>
            </w:r>
          </w:p>
        </w:tc>
      </w:tr>
      <w:tr>
        <w:trPr>
          <w:trHeight w:val="215"/>
        </w:trPr>
        <w:tc>
          <w:tcPr>
            <w:tcW w:w="840" w:type="dxa"/>
            <w:vAlign w:val="bottom"/>
          </w:tcPr>
          <w:p>
            <w:pPr>
              <w:jc w:val="center"/>
              <w:spacing w:after="0"/>
              <w:rPr>
                <w:sz w:val="20"/>
                <w:szCs w:val="20"/>
                <w:color w:val="auto"/>
              </w:rPr>
            </w:pPr>
            <w:r>
              <w:rPr>
                <w:rFonts w:ascii="Arial" w:cs="Arial" w:eastAsia="Arial" w:hAnsi="Arial"/>
                <w:sz w:val="17"/>
                <w:szCs w:val="17"/>
                <w:color w:val="auto"/>
                <w:w w:val="97"/>
              </w:rPr>
              <w:t>101.INS</w:t>
            </w:r>
          </w:p>
        </w:tc>
        <w:tc>
          <w:tcPr>
            <w:tcW w:w="10400" w:type="dxa"/>
            <w:vAlign w:val="bottom"/>
          </w:tcPr>
          <w:p>
            <w:pPr>
              <w:ind w:left="60"/>
              <w:spacing w:after="0"/>
              <w:rPr>
                <w:sz w:val="20"/>
                <w:szCs w:val="20"/>
                <w:color w:val="auto"/>
              </w:rPr>
            </w:pPr>
            <w:r>
              <w:rPr>
                <w:rFonts w:ascii="Arial" w:cs="Arial" w:eastAsia="Arial" w:hAnsi="Arial"/>
                <w:sz w:val="17"/>
                <w:szCs w:val="17"/>
                <w:color w:val="auto"/>
              </w:rPr>
              <w:t>XBRL Instance Document.</w:t>
            </w:r>
          </w:p>
        </w:tc>
      </w:tr>
      <w:tr>
        <w:trPr>
          <w:trHeight w:val="215"/>
        </w:trPr>
        <w:tc>
          <w:tcPr>
            <w:tcW w:w="840" w:type="dxa"/>
            <w:vAlign w:val="bottom"/>
          </w:tcPr>
          <w:p>
            <w:pPr>
              <w:jc w:val="center"/>
              <w:spacing w:after="0"/>
              <w:rPr>
                <w:sz w:val="20"/>
                <w:szCs w:val="20"/>
                <w:color w:val="auto"/>
              </w:rPr>
            </w:pPr>
            <w:r>
              <w:rPr>
                <w:rFonts w:ascii="Arial" w:cs="Arial" w:eastAsia="Arial" w:hAnsi="Arial"/>
                <w:sz w:val="17"/>
                <w:szCs w:val="17"/>
                <w:color w:val="auto"/>
                <w:w w:val="92"/>
              </w:rPr>
              <w:t>101.SCH</w:t>
            </w:r>
          </w:p>
        </w:tc>
        <w:tc>
          <w:tcPr>
            <w:tcW w:w="10400" w:type="dxa"/>
            <w:vAlign w:val="bottom"/>
          </w:tcPr>
          <w:p>
            <w:pPr>
              <w:ind w:left="60"/>
              <w:spacing w:after="0"/>
              <w:rPr>
                <w:sz w:val="20"/>
                <w:szCs w:val="20"/>
                <w:color w:val="auto"/>
              </w:rPr>
            </w:pPr>
            <w:r>
              <w:rPr>
                <w:rFonts w:ascii="Arial" w:cs="Arial" w:eastAsia="Arial" w:hAnsi="Arial"/>
                <w:sz w:val="17"/>
                <w:szCs w:val="17"/>
                <w:color w:val="auto"/>
              </w:rPr>
              <w:t>XBRL Taxonomy Extension Schema.</w:t>
            </w:r>
          </w:p>
        </w:tc>
      </w:tr>
      <w:tr>
        <w:trPr>
          <w:trHeight w:val="215"/>
        </w:trPr>
        <w:tc>
          <w:tcPr>
            <w:tcW w:w="840" w:type="dxa"/>
            <w:vAlign w:val="bottom"/>
          </w:tcPr>
          <w:p>
            <w:pPr>
              <w:jc w:val="center"/>
              <w:spacing w:after="0"/>
              <w:rPr>
                <w:sz w:val="20"/>
                <w:szCs w:val="20"/>
                <w:color w:val="auto"/>
              </w:rPr>
            </w:pPr>
            <w:r>
              <w:rPr>
                <w:rFonts w:ascii="Arial" w:cs="Arial" w:eastAsia="Arial" w:hAnsi="Arial"/>
                <w:sz w:val="17"/>
                <w:szCs w:val="17"/>
                <w:color w:val="auto"/>
                <w:w w:val="96"/>
              </w:rPr>
              <w:t>101.CAL</w:t>
            </w:r>
          </w:p>
        </w:tc>
        <w:tc>
          <w:tcPr>
            <w:tcW w:w="10400" w:type="dxa"/>
            <w:vAlign w:val="bottom"/>
          </w:tcPr>
          <w:p>
            <w:pPr>
              <w:ind w:left="60"/>
              <w:spacing w:after="0"/>
              <w:rPr>
                <w:sz w:val="20"/>
                <w:szCs w:val="20"/>
                <w:color w:val="auto"/>
              </w:rPr>
            </w:pPr>
            <w:r>
              <w:rPr>
                <w:rFonts w:ascii="Arial" w:cs="Arial" w:eastAsia="Arial" w:hAnsi="Arial"/>
                <w:sz w:val="17"/>
                <w:szCs w:val="17"/>
                <w:color w:val="auto"/>
              </w:rPr>
              <w:t>XBRL Taxonomy Extension Calculation Linkbase.</w:t>
            </w:r>
          </w:p>
        </w:tc>
      </w:tr>
      <w:tr>
        <w:trPr>
          <w:trHeight w:val="215"/>
        </w:trPr>
        <w:tc>
          <w:tcPr>
            <w:tcW w:w="840" w:type="dxa"/>
            <w:vAlign w:val="bottom"/>
          </w:tcPr>
          <w:p>
            <w:pPr>
              <w:jc w:val="center"/>
              <w:spacing w:after="0"/>
              <w:rPr>
                <w:sz w:val="20"/>
                <w:szCs w:val="20"/>
                <w:color w:val="auto"/>
              </w:rPr>
            </w:pPr>
            <w:r>
              <w:rPr>
                <w:rFonts w:ascii="Arial" w:cs="Arial" w:eastAsia="Arial" w:hAnsi="Arial"/>
                <w:sz w:val="17"/>
                <w:szCs w:val="17"/>
                <w:color w:val="auto"/>
                <w:w w:val="95"/>
              </w:rPr>
              <w:t>101.DEF</w:t>
            </w:r>
          </w:p>
        </w:tc>
        <w:tc>
          <w:tcPr>
            <w:tcW w:w="10400" w:type="dxa"/>
            <w:vAlign w:val="bottom"/>
          </w:tcPr>
          <w:p>
            <w:pPr>
              <w:ind w:left="60"/>
              <w:spacing w:after="0"/>
              <w:rPr>
                <w:sz w:val="20"/>
                <w:szCs w:val="20"/>
                <w:color w:val="auto"/>
              </w:rPr>
            </w:pPr>
            <w:r>
              <w:rPr>
                <w:rFonts w:ascii="Arial" w:cs="Arial" w:eastAsia="Arial" w:hAnsi="Arial"/>
                <w:sz w:val="17"/>
                <w:szCs w:val="17"/>
                <w:color w:val="auto"/>
              </w:rPr>
              <w:t>XBRL Taxonomy Extension Definition Linkbase.</w:t>
            </w:r>
          </w:p>
        </w:tc>
      </w:tr>
      <w:tr>
        <w:trPr>
          <w:trHeight w:val="215"/>
        </w:trPr>
        <w:tc>
          <w:tcPr>
            <w:tcW w:w="840" w:type="dxa"/>
            <w:vAlign w:val="bottom"/>
          </w:tcPr>
          <w:p>
            <w:pPr>
              <w:jc w:val="center"/>
              <w:spacing w:after="0"/>
              <w:rPr>
                <w:sz w:val="20"/>
                <w:szCs w:val="20"/>
                <w:color w:val="auto"/>
              </w:rPr>
            </w:pPr>
            <w:r>
              <w:rPr>
                <w:rFonts w:ascii="Arial" w:cs="Arial" w:eastAsia="Arial" w:hAnsi="Arial"/>
                <w:sz w:val="17"/>
                <w:szCs w:val="17"/>
                <w:color w:val="auto"/>
                <w:w w:val="98"/>
              </w:rPr>
              <w:t>101.LAB</w:t>
            </w:r>
          </w:p>
        </w:tc>
        <w:tc>
          <w:tcPr>
            <w:tcW w:w="10400" w:type="dxa"/>
            <w:vAlign w:val="bottom"/>
          </w:tcPr>
          <w:p>
            <w:pPr>
              <w:ind w:left="60"/>
              <w:spacing w:after="0"/>
              <w:rPr>
                <w:sz w:val="20"/>
                <w:szCs w:val="20"/>
                <w:color w:val="auto"/>
              </w:rPr>
            </w:pPr>
            <w:r>
              <w:rPr>
                <w:rFonts w:ascii="Arial" w:cs="Arial" w:eastAsia="Arial" w:hAnsi="Arial"/>
                <w:sz w:val="17"/>
                <w:szCs w:val="17"/>
                <w:color w:val="auto"/>
              </w:rPr>
              <w:t>XBRL Taxonomy Extension Labels Linkbase.</w:t>
            </w:r>
          </w:p>
        </w:tc>
      </w:tr>
      <w:tr>
        <w:trPr>
          <w:trHeight w:val="222"/>
        </w:trPr>
        <w:tc>
          <w:tcPr>
            <w:tcW w:w="840" w:type="dxa"/>
            <w:vAlign w:val="bottom"/>
          </w:tcPr>
          <w:p>
            <w:pPr>
              <w:jc w:val="center"/>
              <w:spacing w:after="0"/>
              <w:rPr>
                <w:sz w:val="20"/>
                <w:szCs w:val="20"/>
                <w:color w:val="auto"/>
              </w:rPr>
            </w:pPr>
            <w:r>
              <w:rPr>
                <w:rFonts w:ascii="Arial" w:cs="Arial" w:eastAsia="Arial" w:hAnsi="Arial"/>
                <w:sz w:val="17"/>
                <w:szCs w:val="17"/>
                <w:color w:val="auto"/>
                <w:w w:val="93"/>
              </w:rPr>
              <w:t>101.PRE</w:t>
            </w:r>
          </w:p>
        </w:tc>
        <w:tc>
          <w:tcPr>
            <w:tcW w:w="10400" w:type="dxa"/>
            <w:vAlign w:val="bottom"/>
          </w:tcPr>
          <w:p>
            <w:pPr>
              <w:ind w:left="60"/>
              <w:spacing w:after="0"/>
              <w:rPr>
                <w:sz w:val="20"/>
                <w:szCs w:val="20"/>
                <w:color w:val="auto"/>
              </w:rPr>
            </w:pPr>
            <w:r>
              <w:rPr>
                <w:rFonts w:ascii="Arial" w:cs="Arial" w:eastAsia="Arial" w:hAnsi="Arial"/>
                <w:sz w:val="17"/>
                <w:szCs w:val="17"/>
                <w:color w:val="auto"/>
              </w:rPr>
              <w:t>XBRL Taxonomy Extension Presentation Linkbase.</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Management contract or compensatory plan or arrangement.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380" w:type="dxa"/>
            <w:vAlign w:val="bottom"/>
          </w:tcPr>
          <w:p>
            <w:pPr>
              <w:jc w:val="center"/>
              <w:ind w:left="1753"/>
              <w:spacing w:after="0"/>
              <w:rPr>
                <w:sz w:val="20"/>
                <w:szCs w:val="20"/>
                <w:color w:val="auto"/>
              </w:rPr>
            </w:pPr>
            <w:r>
              <w:rPr>
                <w:rFonts w:ascii="Arial" w:cs="Arial" w:eastAsia="Arial" w:hAnsi="Arial"/>
                <w:sz w:val="17"/>
                <w:szCs w:val="17"/>
                <w:b w:val="1"/>
                <w:bCs w:val="1"/>
                <w:color w:val="auto"/>
              </w:rPr>
              <w:t>WRAP TECHNOLOGIES, INC.</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380" w:type="dxa"/>
            <w:vAlign w:val="bottom"/>
          </w:tcPr>
          <w:p>
            <w:pPr>
              <w:jc w:val="center"/>
              <w:ind w:left="1733"/>
              <w:spacing w:after="0"/>
              <w:rPr>
                <w:sz w:val="20"/>
                <w:szCs w:val="20"/>
                <w:color w:val="auto"/>
              </w:rPr>
            </w:pPr>
            <w:r>
              <w:rPr>
                <w:rFonts w:ascii="Arial" w:cs="Arial" w:eastAsia="Arial" w:hAnsi="Arial"/>
                <w:sz w:val="17"/>
                <w:szCs w:val="17"/>
                <w:b w:val="1"/>
                <w:bCs w:val="1"/>
                <w:color w:val="auto"/>
              </w:rPr>
              <w:t>INDEX TO CONSOLIDATED FINANCIAL STATEMENTS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Audited Consolidated Financial Statements:</w:t>
            </w:r>
          </w:p>
        </w:tc>
        <w:tc>
          <w:tcPr>
            <w:tcW w:w="1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Consolidated Balance Sheets as of December 31, 2020 and 2019</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Operations for the Years Ended December 31, 2020 and 2019</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Stockholders’ Equity for Years Ended December 31, 2020 and 2019</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Cash Flows for the Years Ended December 31, 2020 and 2019</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Notes to Consolidated Financial Statements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4"/>
        </w:trPr>
        <w:tc>
          <w:tcPr>
            <w:tcW w:w="20" w:type="dxa"/>
            <w:vAlign w:val="bottom"/>
          </w:tcPr>
          <w:p>
            <w:pPr>
              <w:spacing w:after="0"/>
              <w:rPr>
                <w:sz w:val="24"/>
                <w:szCs w:val="24"/>
                <w:color w:val="auto"/>
              </w:rPr>
            </w:pPr>
          </w:p>
        </w:tc>
        <w:tc>
          <w:tcPr>
            <w:tcW w:w="9380" w:type="dxa"/>
            <w:vAlign w:val="bottom"/>
            <w:tcBorders>
              <w:bottom w:val="single" w:sz="8" w:color="auto"/>
            </w:tcBorders>
          </w:tcPr>
          <w:p>
            <w:pPr>
              <w:ind w:left="5360"/>
              <w:spacing w:after="0"/>
              <w:rPr>
                <w:sz w:val="20"/>
                <w:szCs w:val="20"/>
                <w:color w:val="auto"/>
              </w:rPr>
            </w:pPr>
            <w:r>
              <w:rPr>
                <w:rFonts w:ascii="Arial" w:cs="Arial" w:eastAsia="Arial" w:hAnsi="Arial"/>
                <w:sz w:val="17"/>
                <w:szCs w:val="17"/>
                <w:color w:val="auto"/>
              </w:rPr>
              <w:t>F-1</w:t>
            </w:r>
          </w:p>
        </w:tc>
        <w:tc>
          <w:tcPr>
            <w:tcW w:w="1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2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Wrap Technologies, Inc.</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balance sheets of Wrap Technologies, Inc. (the Company) as of December 31, 2020 and 2019, and the related statements of operations and comprehensive loss, stockholders’ equity, and cash flows for each of the years in the two year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years in the two year period ended December 31, 2020, in conformity with accounting principles generally accepted in the United States of America.</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/s/ Rosenberg Rich Baker Berman P.A.</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Somerset, New Jersey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March 4, 2021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1"/>
          <w:szCs w:val="21"/>
          <w:b w:val="1"/>
          <w:bCs w:val="1"/>
          <w:color w:val="auto"/>
        </w:rPr>
        <w:t>Wrap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Balance Sheets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7"/>
          </w:tcPr>
          <w:p>
            <w:pPr>
              <w:jc w:val="right"/>
              <w:ind w:right="9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16,646,811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16,983,864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24,994,360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1,870,934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195,347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7"/>
                <w:szCs w:val="17"/>
                <w:color w:val="auto"/>
              </w:rPr>
              <w:t>Inventories, net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2,655,390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2,244,541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250,947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current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46,926,940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19,674,699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Property and equipment, net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242,876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Operating lease right-of-use asset, net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139,088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260,931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Intangible assets, net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1,396,484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230,283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Other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12,681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12,681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vMerge w:val="continue"/>
          </w:tcPr>
          <w:p>
            <w:pPr>
              <w:spacing w:after="0"/>
              <w:rPr>
                <w:sz w:val="22"/>
                <w:szCs w:val="22"/>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48,832,480</w:t>
            </w:r>
          </w:p>
        </w:tc>
        <w:tc>
          <w:tcPr>
            <w:tcW w:w="1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20,421,470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1,232,349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406,967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7"/>
                <w:szCs w:val="17"/>
                <w:color w:val="auto"/>
              </w:rPr>
              <w:t>Accrued liabilities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721,075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194,294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Customer deposits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343,724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2,684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liability - short term</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94,011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128,131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7"/>
                <w:szCs w:val="17"/>
                <w:color w:val="auto"/>
              </w:rPr>
              <w:t>Business acquisition liability - short term</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1,075,800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Long-term 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7"/>
                <w:szCs w:val="17"/>
                <w:color w:val="auto"/>
              </w:rPr>
              <w:t>Operating Lease Liability - long term</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56,006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150,018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Business acquisition liability - long term</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long-term liabilities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78,506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150,018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2,419,051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1,225,818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7"/>
                <w:szCs w:val="17"/>
                <w:color w:val="auto"/>
              </w:rPr>
              <w:t>Preferred stock - 5,000,000 authorized; par value $0.0001 per share; none issued and outstanding</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Common stock - 150,000,000 authorized; par value $0.0001 per share; 37,554,162 and 29,829,916 shares issued and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outstanding each period, respectively</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2,983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71,704,857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31,922,493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(25,310,033)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(12,729,824)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14,849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46,413,429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19,195,652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48,832,480</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20,421,470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3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Product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3,868,384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656,071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7"/>
                <w:szCs w:val="17"/>
                <w:color w:val="auto"/>
              </w:rPr>
              <w:t>Other revenue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75,673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40,719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3,944,057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696,790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Cost of revenues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2,601,323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420,016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1,342,734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276,774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11,630,644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6,653,465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2,788,887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2,236,985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14,419,531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8,890,450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(13,076,797)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(8,613,676)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83,272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291,494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Debt forgiveness income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416,683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288,188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(12,580,209)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(8,325,488)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loss per basic and diluted common share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(0.37)</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used to compute net loss per basic and diluted common share</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33,846,338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28,652,625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loss: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(12,580,209)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(8,325,488)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unrealized gain on short-term investments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Comprehensive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(12,565,360)</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(8,325,488)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3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Accumulated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Common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Additional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4"/>
              </w:rPr>
              <w:t>Other</w:t>
            </w:r>
          </w:p>
        </w:tc>
        <w:tc>
          <w:tcPr>
            <w:tcW w:w="10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83"/>
              </w:rPr>
              <w:t>Stock</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Paid-In</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91"/>
              </w:rPr>
              <w:t>Accumulated</w:t>
            </w:r>
          </w:p>
        </w:tc>
        <w:tc>
          <w:tcPr>
            <w:tcW w:w="1120" w:type="dxa"/>
            <w:vAlign w:val="bottom"/>
            <w:gridSpan w:val="3"/>
          </w:tcPr>
          <w:p>
            <w:pPr>
              <w:spacing w:after="0"/>
              <w:rPr>
                <w:sz w:val="20"/>
                <w:szCs w:val="20"/>
                <w:color w:val="auto"/>
              </w:rPr>
            </w:pPr>
            <w:r>
              <w:rPr>
                <w:rFonts w:ascii="Arial" w:cs="Arial" w:eastAsia="Arial" w:hAnsi="Arial"/>
                <w:sz w:val="15"/>
                <w:szCs w:val="15"/>
                <w:b w:val="1"/>
                <w:bCs w:val="1"/>
                <w:color w:val="auto"/>
                <w:w w:val="97"/>
              </w:rPr>
              <w:t>Comprehensive</w:t>
            </w:r>
          </w:p>
        </w:tc>
        <w:tc>
          <w:tcPr>
            <w:tcW w:w="10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7"/>
              </w:rPr>
              <w:t>Stockholders'</w:t>
            </w:r>
          </w:p>
        </w:tc>
        <w:tc>
          <w:tcPr>
            <w:tcW w:w="0" w:type="dxa"/>
            <w:vAlign w:val="bottom"/>
          </w:tcPr>
          <w:p>
            <w:pPr>
              <w:spacing w:after="0"/>
              <w:rPr>
                <w:sz w:val="1"/>
                <w:szCs w:val="1"/>
                <w:color w:val="auto"/>
              </w:rPr>
            </w:pPr>
          </w:p>
        </w:tc>
      </w:tr>
      <w:tr>
        <w:trPr>
          <w:trHeight w:val="205"/>
        </w:trPr>
        <w:tc>
          <w:tcPr>
            <w:tcW w:w="46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Shares</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5"/>
                <w:szCs w:val="15"/>
                <w:b w:val="1"/>
                <w:bCs w:val="1"/>
                <w:color w:val="auto"/>
                <w:w w:val="95"/>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41"/>
              <w:spacing w:after="0"/>
              <w:rPr>
                <w:sz w:val="20"/>
                <w:szCs w:val="20"/>
                <w:color w:val="auto"/>
              </w:rPr>
            </w:pPr>
            <w:r>
              <w:rPr>
                <w:rFonts w:ascii="Arial" w:cs="Arial" w:eastAsia="Arial" w:hAnsi="Arial"/>
                <w:sz w:val="15"/>
                <w:szCs w:val="15"/>
                <w:b w:val="1"/>
                <w:bCs w:val="1"/>
                <w:color w:val="auto"/>
              </w:rPr>
              <w:t>Capital</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rPr>
              <w:t>Deficit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5"/>
                <w:szCs w:val="15"/>
                <w:b w:val="1"/>
                <w:bCs w:val="1"/>
                <w:color w:val="auto"/>
                <w:w w:val="87"/>
              </w:rPr>
              <w:t>Income</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27,364,607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$ 16,791,254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 (4,404,336)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$ 12,389,654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Pr>
          <w:p>
            <w:pPr>
              <w:ind w:left="220"/>
              <w:spacing w:after="0"/>
              <w:rPr>
                <w:sz w:val="20"/>
                <w:szCs w:val="20"/>
                <w:color w:val="auto"/>
              </w:rPr>
            </w:pPr>
            <w:r>
              <w:rPr>
                <w:rFonts w:ascii="Arial" w:cs="Arial" w:eastAsia="Arial" w:hAnsi="Arial"/>
                <w:sz w:val="17"/>
                <w:szCs w:val="17"/>
                <w:color w:val="auto"/>
                <w:w w:val="96"/>
              </w:rPr>
              <w:t>Sale of Common Stock and warrants at $6.50 per share and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160"/>
              <w:spacing w:after="0"/>
              <w:rPr>
                <w:sz w:val="20"/>
                <w:szCs w:val="20"/>
                <w:color w:val="auto"/>
              </w:rPr>
            </w:pPr>
            <w:r>
              <w:rPr>
                <w:rFonts w:ascii="Arial" w:cs="Arial" w:eastAsia="Arial" w:hAnsi="Arial"/>
                <w:sz w:val="17"/>
                <w:szCs w:val="17"/>
                <w:color w:val="auto"/>
                <w:w w:val="99"/>
              </w:rPr>
              <w:t>placement agent warrants in public offering, net of issuance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60"/>
              <w:spacing w:after="0"/>
              <w:rPr>
                <w:sz w:val="20"/>
                <w:szCs w:val="20"/>
                <w:color w:val="auto"/>
              </w:rPr>
            </w:pPr>
            <w:r>
              <w:rPr>
                <w:rFonts w:ascii="Arial" w:cs="Arial" w:eastAsia="Arial" w:hAnsi="Arial"/>
                <w:sz w:val="17"/>
                <w:szCs w:val="17"/>
                <w:color w:val="auto"/>
              </w:rPr>
              <w:t>costs</w:t>
            </w:r>
          </w:p>
        </w:tc>
        <w:tc>
          <w:tcPr>
            <w:tcW w:w="900" w:type="dxa"/>
            <w:vAlign w:val="bottom"/>
          </w:tcPr>
          <w:p>
            <w:pPr>
              <w:jc w:val="right"/>
              <w:spacing w:after="0"/>
              <w:rPr>
                <w:sz w:val="20"/>
                <w:szCs w:val="20"/>
                <w:color w:val="auto"/>
              </w:rPr>
            </w:pPr>
            <w:r>
              <w:rPr>
                <w:rFonts w:ascii="Arial" w:cs="Arial" w:eastAsia="Arial" w:hAnsi="Arial"/>
                <w:sz w:val="17"/>
                <w:szCs w:val="17"/>
                <w:color w:val="auto"/>
              </w:rPr>
              <w:t>1,923,076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11,351,022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11,351,214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8"/>
              </w:rPr>
              <w:t>Common shares issued upon exercise of warrants at $3.00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127,649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382,934</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382,947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20" w:type="dxa"/>
            <w:vAlign w:val="bottom"/>
          </w:tcPr>
          <w:p>
            <w:pPr>
              <w:ind w:left="240"/>
              <w:spacing w:after="0"/>
              <w:rPr>
                <w:sz w:val="20"/>
                <w:szCs w:val="20"/>
                <w:color w:val="auto"/>
              </w:rPr>
            </w:pPr>
            <w:r>
              <w:rPr>
                <w:rFonts w:ascii="Arial" w:cs="Arial" w:eastAsia="Arial" w:hAnsi="Arial"/>
                <w:sz w:val="17"/>
                <w:szCs w:val="17"/>
                <w:color w:val="auto"/>
                <w:w w:val="98"/>
              </w:rPr>
              <w:t>Common shares issued upon exercise of warrants at $5.00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60"/>
              <w:spacing w:after="0"/>
              <w:rPr>
                <w:sz w:val="20"/>
                <w:szCs w:val="20"/>
                <w:color w:val="auto"/>
              </w:rPr>
            </w:pPr>
            <w:r>
              <w:rPr>
                <w:rFonts w:ascii="Arial" w:cs="Arial" w:eastAsia="Arial" w:hAnsi="Arial"/>
                <w:sz w:val="17"/>
                <w:szCs w:val="17"/>
                <w:color w:val="auto"/>
              </w:rPr>
              <w:t>per share</w:t>
            </w:r>
          </w:p>
        </w:tc>
        <w:tc>
          <w:tcPr>
            <w:tcW w:w="900" w:type="dxa"/>
            <w:vAlign w:val="bottom"/>
          </w:tcPr>
          <w:p>
            <w:pPr>
              <w:jc w:val="right"/>
              <w:spacing w:after="0"/>
              <w:rPr>
                <w:sz w:val="20"/>
                <w:szCs w:val="20"/>
                <w:color w:val="auto"/>
              </w:rPr>
            </w:pPr>
            <w:r>
              <w:rPr>
                <w:rFonts w:ascii="Arial" w:cs="Arial" w:eastAsia="Arial" w:hAnsi="Arial"/>
                <w:sz w:val="17"/>
                <w:szCs w:val="17"/>
                <w:color w:val="auto"/>
              </w:rPr>
              <w:t>345,834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1,700,469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1,700,504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shares issued upon 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58,121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7"/>
                <w:szCs w:val="17"/>
                <w:color w:val="auto"/>
              </w:rPr>
              <w:t>Share-based compensation expense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1,536,096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1,536,096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shares issued for services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102,597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7"/>
                <w:szCs w:val="17"/>
                <w:color w:val="auto"/>
              </w:rPr>
              <w:t>Net loss for the period</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(8,325,488)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(8,325,488)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29,829,916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$ 31,922,493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$(12,729,824)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$ 19,195,652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Pr>
          <w:p>
            <w:pPr>
              <w:ind w:left="240"/>
              <w:spacing w:after="0"/>
              <w:rPr>
                <w:sz w:val="20"/>
                <w:szCs w:val="20"/>
                <w:color w:val="auto"/>
              </w:rPr>
            </w:pPr>
            <w:r>
              <w:rPr>
                <w:rFonts w:ascii="Arial" w:cs="Arial" w:eastAsia="Arial" w:hAnsi="Arial"/>
                <w:sz w:val="17"/>
                <w:szCs w:val="17"/>
                <w:color w:val="auto"/>
                <w:w w:val="99"/>
              </w:rPr>
              <w:t>Sale of Common Stock and warrants at $6.00 per share in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60"/>
              <w:spacing w:after="0"/>
              <w:rPr>
                <w:sz w:val="20"/>
                <w:szCs w:val="20"/>
                <w:color w:val="auto"/>
              </w:rPr>
            </w:pPr>
            <w:r>
              <w:rPr>
                <w:rFonts w:ascii="Arial" w:cs="Arial" w:eastAsia="Arial" w:hAnsi="Arial"/>
                <w:sz w:val="17"/>
                <w:szCs w:val="17"/>
                <w:color w:val="auto"/>
              </w:rPr>
              <w:t>public offering, net of issuance costs</w:t>
            </w:r>
          </w:p>
        </w:tc>
        <w:tc>
          <w:tcPr>
            <w:tcW w:w="900" w:type="dxa"/>
            <w:vAlign w:val="bottom"/>
          </w:tcPr>
          <w:p>
            <w:pPr>
              <w:jc w:val="right"/>
              <w:spacing w:after="0"/>
              <w:rPr>
                <w:sz w:val="20"/>
                <w:szCs w:val="20"/>
                <w:color w:val="auto"/>
              </w:rPr>
            </w:pPr>
            <w:r>
              <w:rPr>
                <w:rFonts w:ascii="Arial" w:cs="Arial" w:eastAsia="Arial" w:hAnsi="Arial"/>
                <w:sz w:val="17"/>
                <w:szCs w:val="17"/>
                <w:color w:val="auto"/>
              </w:rPr>
              <w:t>2,066,667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207</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11,666,999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11,667,206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8"/>
              </w:rPr>
              <w:t>Common shares issued upon exercise of warrants at $3.00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 share, net of issuance costs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328,458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960,993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961,026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20" w:type="dxa"/>
            <w:vAlign w:val="bottom"/>
          </w:tcPr>
          <w:p>
            <w:pPr>
              <w:ind w:left="240"/>
              <w:spacing w:after="0"/>
              <w:rPr>
                <w:sz w:val="20"/>
                <w:szCs w:val="20"/>
                <w:color w:val="auto"/>
              </w:rPr>
            </w:pPr>
            <w:r>
              <w:rPr>
                <w:rFonts w:ascii="Arial" w:cs="Arial" w:eastAsia="Arial" w:hAnsi="Arial"/>
                <w:sz w:val="17"/>
                <w:szCs w:val="17"/>
                <w:color w:val="auto"/>
                <w:w w:val="98"/>
              </w:rPr>
              <w:t>Common shares issued upon exercise of warrants at $5.00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60"/>
              <w:spacing w:after="0"/>
              <w:rPr>
                <w:sz w:val="20"/>
                <w:szCs w:val="20"/>
                <w:color w:val="auto"/>
              </w:rPr>
            </w:pPr>
            <w:r>
              <w:rPr>
                <w:rFonts w:ascii="Arial" w:cs="Arial" w:eastAsia="Arial" w:hAnsi="Arial"/>
                <w:sz w:val="17"/>
                <w:szCs w:val="17"/>
                <w:color w:val="auto"/>
              </w:rPr>
              <w:t>per share, net of issuance costs</w:t>
            </w:r>
          </w:p>
        </w:tc>
        <w:tc>
          <w:tcPr>
            <w:tcW w:w="900" w:type="dxa"/>
            <w:vAlign w:val="bottom"/>
          </w:tcPr>
          <w:p>
            <w:pPr>
              <w:jc w:val="right"/>
              <w:spacing w:after="0"/>
              <w:rPr>
                <w:sz w:val="20"/>
                <w:szCs w:val="20"/>
                <w:color w:val="auto"/>
              </w:rPr>
            </w:pPr>
            <w:r>
              <w:rPr>
                <w:rFonts w:ascii="Arial" w:cs="Arial" w:eastAsia="Arial" w:hAnsi="Arial"/>
                <w:sz w:val="17"/>
                <w:szCs w:val="17"/>
                <w:color w:val="auto"/>
              </w:rPr>
              <w:t>3,890,839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18,718,605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18,718,994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8"/>
              </w:rPr>
              <w:t>Common shares issued upon exercise of warrants at $6.00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 share, net of issuance costs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675,000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3,847,432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3,847,500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20" w:type="dxa"/>
            <w:vAlign w:val="bottom"/>
          </w:tcPr>
          <w:p>
            <w:pPr>
              <w:ind w:left="240"/>
              <w:spacing w:after="0"/>
              <w:rPr>
                <w:sz w:val="20"/>
                <w:szCs w:val="20"/>
                <w:color w:val="auto"/>
              </w:rPr>
            </w:pPr>
            <w:r>
              <w:rPr>
                <w:rFonts w:ascii="Arial" w:cs="Arial" w:eastAsia="Arial" w:hAnsi="Arial"/>
                <w:sz w:val="17"/>
                <w:szCs w:val="17"/>
                <w:color w:val="auto"/>
                <w:w w:val="98"/>
              </w:rPr>
              <w:t>Common shares issued upon exercise of warrants at $6.50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60"/>
              <w:spacing w:after="0"/>
              <w:rPr>
                <w:sz w:val="20"/>
                <w:szCs w:val="20"/>
                <w:color w:val="auto"/>
              </w:rPr>
            </w:pPr>
            <w:r>
              <w:rPr>
                <w:rFonts w:ascii="Arial" w:cs="Arial" w:eastAsia="Arial" w:hAnsi="Arial"/>
                <w:sz w:val="17"/>
                <w:szCs w:val="17"/>
                <w:color w:val="auto"/>
              </w:rPr>
              <w:t>per share, net of issuance costs</w:t>
            </w:r>
          </w:p>
        </w:tc>
        <w:tc>
          <w:tcPr>
            <w:tcW w:w="900" w:type="dxa"/>
            <w:vAlign w:val="bottom"/>
          </w:tcPr>
          <w:p>
            <w:pPr>
              <w:jc w:val="right"/>
              <w:spacing w:after="0"/>
              <w:rPr>
                <w:sz w:val="20"/>
                <w:szCs w:val="20"/>
                <w:color w:val="auto"/>
              </w:rPr>
            </w:pPr>
            <w:r>
              <w:rPr>
                <w:rFonts w:ascii="Arial" w:cs="Arial" w:eastAsia="Arial" w:hAnsi="Arial"/>
                <w:sz w:val="17"/>
                <w:szCs w:val="17"/>
                <w:color w:val="auto"/>
              </w:rPr>
              <w:t>261,679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1,646,292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1,646,318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shares issued upon 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705,313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7"/>
                <w:szCs w:val="17"/>
                <w:color w:val="auto"/>
                <w:w w:val="95"/>
              </w:rPr>
              <w:t>Common shares issued upon vesting of restricted stock units</w:t>
            </w:r>
          </w:p>
        </w:tc>
        <w:tc>
          <w:tcPr>
            <w:tcW w:w="900" w:type="dxa"/>
            <w:vAlign w:val="bottom"/>
          </w:tcPr>
          <w:p>
            <w:pPr>
              <w:jc w:val="right"/>
              <w:spacing w:after="0"/>
              <w:rPr>
                <w:sz w:val="20"/>
                <w:szCs w:val="20"/>
                <w:color w:val="auto"/>
              </w:rPr>
            </w:pPr>
            <w:r>
              <w:rPr>
                <w:rFonts w:ascii="Arial" w:cs="Arial" w:eastAsia="Arial" w:hAnsi="Arial"/>
                <w:sz w:val="17"/>
                <w:szCs w:val="17"/>
                <w:color w:val="auto"/>
              </w:rPr>
              <w:t>130,603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(13)</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2,236,743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7"/>
                <w:szCs w:val="17"/>
                <w:color w:val="auto"/>
              </w:rPr>
              <w:t>Net unrealized gain on short-term investments</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14,849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 for the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(12,580,209)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5"/>
              </w:rPr>
              <w:t>(12,580,209)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tcPr>
          <w:p>
            <w:pPr>
              <w:ind w:left="100"/>
              <w:spacing w:after="0"/>
              <w:rPr>
                <w:sz w:val="20"/>
                <w:szCs w:val="20"/>
                <w:color w:val="auto"/>
              </w:rPr>
            </w:pPr>
            <w:r>
              <w:rPr>
                <w:rFonts w:ascii="Arial" w:cs="Arial" w:eastAsia="Arial" w:hAnsi="Arial"/>
                <w:sz w:val="17"/>
                <w:szCs w:val="17"/>
                <w:b w:val="1"/>
                <w:bCs w:val="1"/>
                <w:color w:val="auto"/>
              </w:rPr>
              <w:t>Balance at December 31, 2020</w:t>
            </w:r>
          </w:p>
        </w:tc>
        <w:tc>
          <w:tcPr>
            <w:tcW w:w="900" w:type="dxa"/>
            <w:vAlign w:val="bottom"/>
          </w:tcPr>
          <w:p>
            <w:pPr>
              <w:jc w:val="right"/>
              <w:spacing w:after="0"/>
              <w:rPr>
                <w:sz w:val="20"/>
                <w:szCs w:val="20"/>
                <w:color w:val="auto"/>
              </w:rPr>
            </w:pPr>
            <w:r>
              <w:rPr>
                <w:rFonts w:ascii="Arial" w:cs="Arial" w:eastAsia="Arial" w:hAnsi="Arial"/>
                <w:sz w:val="17"/>
                <w:szCs w:val="17"/>
                <w:color w:val="auto"/>
              </w:rPr>
              <w:t>37,554,162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3,756</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$ 71,704,857</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(25,310,033)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14,849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 xml:space="preserve"> 46,413,429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3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5"/>
                <w:szCs w:val="15"/>
                <w:b w:val="1"/>
                <w:bCs w:val="1"/>
                <w:color w:val="auto"/>
              </w:rPr>
              <w:t>2020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(12,580,209)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(8,325,488)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Adjustments to reconcile net loss to net cash</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used in operating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163,262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46,945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Warranty provision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7"/>
                <w:szCs w:val="17"/>
                <w:color w:val="auto"/>
              </w:rPr>
              <w:t>Inventory obsolescence</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(68,108)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(193,506)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lease expense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2,236,743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1,536,096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Debt forgiveness income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(416,683)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7"/>
                <w:szCs w:val="17"/>
                <w:color w:val="auto"/>
              </w:rPr>
              <w:t>Non-cash interest expense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Common shares issued for services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102,600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7"/>
                <w:szCs w:val="17"/>
                <w:color w:val="auto"/>
              </w:rPr>
              <w:t>Provision for doubtful accounts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Changes in assets and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(1,685,727)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(190,951)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(342,741)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(1,892,768)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(508,498)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(136,084)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825,382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174,052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Operating lease liability</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(128,132)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(62,851)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Customer deposits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(341,629)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343,724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Accrued liabilities and other</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492,564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112,346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compensation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Warranty settlement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(12,186,924)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(8,485,637)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of short-term investments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(34,979,511)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Proceeds from maturities of short-term investments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 for property and equipment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(248,897)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(256,742)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Investment in patents and trademarks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(128,914)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(114,274)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of intangible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(543,563)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Business acquisition</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Long-term deposits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(26,110,885)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(382,185)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Sale of common stock and warrants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12,400,002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12,499,994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Offering costs paid on sale of common stock and warrants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(732,796)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(1,148,780)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exercise of warrants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26,190,483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2,112,117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Offering costs paid on exercise of warrants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(1,016,645)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(28,666)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exercise of stock options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705,350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58,125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Proceeds from bank note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414,362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37,960,756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13,492,790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(337,053)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4,624,968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and cash equivalents, beginning of period</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16,983,864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12,358,896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vMerge w:val="continue"/>
          </w:tcPr>
          <w:p>
            <w:pPr>
              <w:spacing w:after="0"/>
              <w:rPr>
                <w:sz w:val="22"/>
                <w:szCs w:val="22"/>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16,646,811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16,983,864</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Investing</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and Financing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Business acquisition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297,500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Business acquisition cost in deferred 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15,000</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Change in unrealized gain on 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14,849</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Right-of-use assets and liabilities recorded during period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341,000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Issuance costs relating to warrants issued to public offering selling agent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205,894</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3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0" w:name="page51"/>
    <w:bookmarkEnd w:id="50"/>
    <w:p>
      <w:pPr>
        <w:ind w:left="460" w:hanging="453"/>
        <w:spacing w:after="0"/>
        <w:tabs>
          <w:tab w:leader="none" w:pos="4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Organization and Business Description</w:t>
      </w:r>
    </w:p>
    <w:p>
      <w:pPr>
        <w:spacing w:after="0" w:line="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Wrap Technologies,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is a publicly traded company with our Common Stock, par value $0.0001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listed on the Nasdaq Capital Market (“</w:t>
      </w:r>
      <w:r>
        <w:rPr>
          <w:rFonts w:ascii="Arial" w:cs="Arial" w:eastAsia="Arial" w:hAnsi="Arial"/>
          <w:sz w:val="16"/>
          <w:szCs w:val="16"/>
          <w:i w:val="1"/>
          <w:iCs w:val="1"/>
          <w:color w:val="auto"/>
        </w:rPr>
        <w:t>Nasdaq</w:t>
      </w:r>
      <w:r>
        <w:rPr>
          <w:rFonts w:ascii="Arial" w:cs="Arial" w:eastAsia="Arial" w:hAnsi="Arial"/>
          <w:sz w:val="16"/>
          <w:szCs w:val="16"/>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one wholly-owned subsidiary, Wrap Reality, Inc. formed in December 2020 (see Note 3) and has commenced selling its virtual reality training system primarily targeting law enforcement agencies. The consolidated financial statements include the accounts of this subsidiary after elimination of intercompany transactions and accounts.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 and Use of Estimates</w:t>
      </w:r>
    </w:p>
    <w:p>
      <w:pPr>
        <w:spacing w:after="0" w:line="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GAAP</w:t>
      </w:r>
      <w:r>
        <w:rPr>
          <w:rFonts w:ascii="Arial" w:cs="Arial" w:eastAsia="Arial" w:hAnsi="Arial"/>
          <w:sz w:val="16"/>
          <w:szCs w:val="16"/>
          <w:color w:val="auto"/>
        </w:rPr>
        <w:t>”). The preparation of financial statements in conformity with accounting principles generally accepted in the United States of America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to make estimates and assumptions (e.g., share-based compensation valuation, allowance for doubtful accounts, valuation of inventory and intangible assets, warranty reserve, accrued costs, valuation allowance related to deferred tax assets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Concentrations of Risk</w:t>
      </w:r>
    </w:p>
    <w:p>
      <w:pPr>
        <w:spacing w:after="0" w:line="23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 Financial instruments that potentially subject the Company to concentration of credit risk consisted primarily of cash, cash equivalents, U.S.</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bills and accounts receivable from customers. The Company maintains its cash and cash equivalent deposits at two domestic financial institutions. The Company is exposed to credit risk in the event of default by a financial institution to the extent that cash and cash equivalents are in excess of the amount insured by the Federal Deposit Insurance Corporation. The Company places its cash and cash equivalents with high-credit quality financial institutions and are managed within established guidelines to mitigate risks. To date, the Company has not experienced any losses on its cash and cash equivalents.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 xml:space="preserve">Concentrations of Accounts Receivable and Revenue </w:t>
      </w:r>
      <w:r>
        <w:rPr>
          <w:rFonts w:ascii="Arial" w:cs="Arial" w:eastAsia="Arial" w:hAnsi="Arial"/>
          <w:sz w:val="17"/>
          <w:szCs w:val="17"/>
          <w:color w:val="auto"/>
        </w:rPr>
        <w:t>– The Company has a limited number of domestic and international customers. The Company may</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concentrations in both accounts receivable and revenue due to the timing of sales and collections of related payments (see Note 16).</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Concentration of Suppliers </w:t>
      </w:r>
      <w:r>
        <w:rPr>
          <w:rFonts w:ascii="Arial" w:cs="Arial" w:eastAsia="Arial" w:hAnsi="Arial"/>
          <w:sz w:val="17"/>
          <w:szCs w:val="17"/>
          <w:color w:val="auto"/>
        </w:rPr>
        <w:t>– The Company relies on a limited number of component suppliers and contract suppliers. In particular, a single supplier is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the sole manufacturer of the Company’s laser assembly with some parts sole sourced from other suppliers. If supplier shortages occur, or quality problems arise, production schedules could be significantly delayed or costs significantly increased, which could in turn have a material adverse effect on the Company’s financial condition, results of operation and cash flows.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Impact of COVID-19 </w:t>
      </w:r>
      <w:r>
        <w:rPr>
          <w:rFonts w:ascii="Arial" w:cs="Arial" w:eastAsia="Arial" w:hAnsi="Arial"/>
          <w:sz w:val="15"/>
          <w:szCs w:val="15"/>
          <w:color w:val="auto"/>
        </w:rPr>
        <w:t>– In December 2019, a novel strain of coronavirus</w:t>
      </w:r>
      <w:r>
        <w:rPr>
          <w:rFonts w:ascii="Arial" w:cs="Arial" w:eastAsia="Arial" w:hAnsi="Arial"/>
          <w:sz w:val="15"/>
          <w:szCs w:val="15"/>
          <w:i w:val="1"/>
          <w:iCs w:val="1"/>
          <w:color w:val="auto"/>
        </w:rPr>
        <w:t xml:space="preserve"> (“COVID-19</w:t>
      </w:r>
      <w:r>
        <w:rPr>
          <w:rFonts w:ascii="Arial" w:cs="Arial" w:eastAsia="Arial" w:hAnsi="Arial"/>
          <w:sz w:val="15"/>
          <w:szCs w:val="15"/>
          <w:color w:val="auto"/>
        </w:rPr>
        <w:t>”) emerged in China. In March 2020, the World Health 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declared the outbreak of a novel coronavirus (“</w:t>
      </w:r>
      <w:r>
        <w:rPr>
          <w:rFonts w:ascii="Arial" w:cs="Arial" w:eastAsia="Arial" w:hAnsi="Arial"/>
          <w:sz w:val="15"/>
          <w:szCs w:val="15"/>
          <w:i w:val="1"/>
          <w:iCs w:val="1"/>
          <w:color w:val="auto"/>
        </w:rPr>
        <w:t>COVID-19</w:t>
      </w:r>
      <w:r>
        <w:rPr>
          <w:rFonts w:ascii="Arial" w:cs="Arial" w:eastAsia="Arial" w:hAnsi="Arial"/>
          <w:sz w:val="15"/>
          <w:szCs w:val="15"/>
          <w:color w:val="auto"/>
        </w:rPr>
        <w:t>”) as a pandemic. While initially the outbreak was largely concentrated in China and caused significant disruptions to its economy, it spread to other countries and infections have been reported globally. The extent to which the coronavirus impacts our operations will continue to depend on future developments, which are highly uncertain and cannot be predicted with confidence, including the duration of the outbreak, new information which may emerge concerning the severity of the coronavirus and the actions to contain the coronavirus or treat its impact, among others. In particular, the continued spread of the coronavirus globally or emergence of new strains could adversely impact our operations, including our manufacturing and supply chain. Our operations could be negatively affected if employees are quarantined as the result of exposure to a contagious illness. Similarly, travel restrictions resulting from the rapid spread of contagious illnesses may have a material adverse effect on our business and results of operations.</w:t>
      </w:r>
    </w:p>
    <w:p>
      <w:pPr>
        <w:spacing w:after="0" w:line="16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purchased with original maturities of three months or less from the purchase date to be cash equivalents.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consist primarily of amounts invested in Money Market Funds and United States (“</w:t>
      </w:r>
      <w:r>
        <w:rPr>
          <w:rFonts w:ascii="Arial" w:cs="Arial" w:eastAsia="Arial" w:hAnsi="Arial"/>
          <w:sz w:val="17"/>
          <w:szCs w:val="17"/>
          <w:i w:val="1"/>
          <w:iCs w:val="1"/>
          <w:color w:val="auto"/>
        </w:rPr>
        <w:t>U.S.</w:t>
      </w:r>
      <w:r>
        <w:rPr>
          <w:rFonts w:ascii="Arial" w:cs="Arial" w:eastAsia="Arial" w:hAnsi="Arial"/>
          <w:sz w:val="17"/>
          <w:szCs w:val="17"/>
          <w:color w:val="auto"/>
        </w:rPr>
        <w:t>”) Treasury bills and are stated at fair value.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Short-Term Investments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short-term investments consist of U.S. Treasury bills with original maturities beyond three months at the date of purchase and one year or less from the balance sheet date. As of December 31, 2020, all of the Company’s short-term investments were classified as available-for-sale and are carried at estimated fair value with any unrealized gains and losses, unrelated to credit loss factors, included in other comprehensive income in our consolidated statements of stockholders’ equity.</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adopted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326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effective January 1, 2020, and applied the credit loss guidance related to short-term investments prospectively as we had no historical short-term investments</w:t>
      </w:r>
      <w:r>
        <w:rPr>
          <w:rFonts w:ascii="Arial" w:cs="Arial" w:eastAsia="Arial" w:hAnsi="Arial"/>
          <w:sz w:val="16"/>
          <w:szCs w:val="16"/>
          <w:color w:val="212529"/>
        </w:rPr>
        <w:t>. Because we do not have any</w:t>
      </w:r>
      <w:r>
        <w:rPr>
          <w:rFonts w:ascii="Arial" w:cs="Arial" w:eastAsia="Arial" w:hAnsi="Arial"/>
          <w:sz w:val="16"/>
          <w:szCs w:val="16"/>
          <w:color w:val="auto"/>
        </w:rPr>
        <w:t xml:space="preserve"> </w:t>
      </w:r>
      <w:r>
        <w:rPr>
          <w:rFonts w:ascii="Arial" w:cs="Arial" w:eastAsia="Arial" w:hAnsi="Arial"/>
          <w:sz w:val="16"/>
          <w:szCs w:val="16"/>
          <w:color w:val="212529"/>
        </w:rPr>
        <w:t>history of losses for our short-term investments, o</w:t>
      </w:r>
      <w:r>
        <w:rPr>
          <w:rFonts w:ascii="Arial" w:cs="Arial" w:eastAsia="Arial" w:hAnsi="Arial"/>
          <w:sz w:val="16"/>
          <w:szCs w:val="16"/>
          <w:color w:val="000000"/>
        </w:rPr>
        <w:t>ur expected loss allowance methodology is developed using published or estimated credit default rates for</w:t>
      </w:r>
      <w:r>
        <w:rPr>
          <w:rFonts w:ascii="Arial" w:cs="Arial" w:eastAsia="Arial" w:hAnsi="Arial"/>
          <w:sz w:val="16"/>
          <w:szCs w:val="16"/>
          <w:color w:val="212529"/>
        </w:rPr>
        <w:t xml:space="preserve"> </w:t>
      </w:r>
      <w:r>
        <w:rPr>
          <w:rFonts w:ascii="Arial" w:cs="Arial" w:eastAsia="Arial" w:hAnsi="Arial"/>
          <w:sz w:val="16"/>
          <w:szCs w:val="16"/>
          <w:color w:val="000000"/>
        </w:rPr>
        <w:t>similar investments and current and future economic and market conditions. Any unrealized losses related to credit loss factors are recorded through an allowance for credit losses in other (expense) income, in our consolidated statements of operations, rather than as a reduction to the amortized cost basis in other comprehensive (loss) income, when a decline in fair value has resulted from a credit loss. We determine realized gains or losses on the sale of investments on a specific identification method, and record such gains or losses as other (expense) income, in our consolidated statements of operations. We did not record a credit loss reserve for short-term investments during the year ended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Share-Based Compensation</w:t>
      </w: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follows the fair value recognition provisions issued by the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in Accounting 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Topic 718,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and has adopted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2018-07 for share-based transactions with non-employees. Share-based compensation expense recognized during 2020 and 2019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per Share</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restricted stock units and warrants exercisable or issuable for a total of 7,566,502 and 9,857,457 shares of Common Stock were outstanding at December 31, 2020 and 2019, respectively. These securities are not included in the computation of diluted net loss per common share for the periods presented as their inclusion would be antidilutive due to losses incurred by the Company.</w:t>
      </w:r>
    </w:p>
    <w:p>
      <w:pPr>
        <w:spacing w:after="0" w:line="189"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auto"/>
        </w:rPr>
        <w:t>Accounts Receivable and Allowance for Doubtful Accounts</w:t>
      </w:r>
    </w:p>
    <w:p>
      <w:pPr>
        <w:spacing w:after="0" w:line="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carries accounts receivable at historical cost, less an allowance for doubtful accounts. On a periodic basis, the Company evaluates accounts receivable and establishes an allowance for doubtful accounts for estimated losses. The Company’s expected loss allowance methodology for accounts receivable is developed using historical collection experience, when available any published or estimated credit default rates for entities that represent our customer base, current and future economic and market conditions and a review of the current status of customers' trade accounts receivables. Additionally, specific allowance amounts are established to record the appropriate provision for customers that have a higher probability of default. Our monitoring activities include account reconciliation, dispute resolution, payment confirmation, consideration of customers' financial condition and macroeconomic conditions. Balances are written off when determined to be uncollectible.</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At December 31, 2020 the Company had an allowance of $10,140 resulting in part from global uncertainty resulting from the COVID-19 virus. There was no allowance for doubtful accounts recorded at December 31, 2019. If a major customer’s creditworthiness deteriorates, or actual defaults exceed our historical experience, such estimates could change and impact our future reported financial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Inventories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Inventories are valued at the lower of cost or net realizable value. The cost of substantially all the Company’s inventory is determined by the FIFO cost method. Inventory is comprised of raw materials, assemblies and finished products intended for sale to customers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evaluates the need for reserves for excess and obsolete inventories determined primarily based upon estimates of future demand for the Company’s products.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2020 and 2019 the Company had no reserve for obsolescence.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Manufacturers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employs contract manufacturers for production of certain components and sub-assemblies. The Company may provide parts and components to such parties from time to time, but recognizes no revenue or markup on such transactions. During 2020 and 2019, the Company performed assembly of products in-house using components and sub-assemblies from a variety of contract manufacturers and suppliers.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Equipment and Depreciation</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is stated at cost. Depreciation on property and equipment is computed over the estimated useful lives of three years using the straight-line method. The Company intends, on any retirement or disposition of property and equipment, that the related cost and accumulated depreciation or amortization will be removed and a gain or loss recorded.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Business Combinations</w:t>
      </w:r>
    </w:p>
    <w:p>
      <w:pPr>
        <w:spacing w:after="0" w:line="2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Transactions in which the Company obtains control of a business are accounted for according to the acquisition method as described in ASC 805, Business Combinations. The assets acquired and liabilities assumed are recognized and measured at their fair values as of the date control is obtained. The Company measures goodwill as the excess of consideration transferred, which the Company also measures at fair value, over the net of the acquisition date amounts of the identifiable assets acquired and liabilities assumed. Acquisition related costs in connection with a business combination are expensed as incurred. Contingent consideration is recognized and measured at fair value at the acquisition date and until paid is re-measured on a recurring basis and classified as a liability.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Assets</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Intangible assets consisted of (a) capitalized legal fees and filing costs related to obtaining patents and trademarks, (b) customer agreements, tradenames, software, non-solicitation and non-compete agreements acquired in business combinations and valued at fair value at the acquisition date, and (c) the purchase cost of indefinite-lived website domains. The estimated useful lives of identifiable intangible assets with definite useful lives have been estimated to be between one and twenty years. Purchased website domain costs with an indefinite useful life are not subject to amortization, but are subject to an annual impairment test, by comparing their carrying amount with their corresponding fair value. For any given intangible asset with an indefinite useful life, if its fair value exceeds its carrying amount no impairment loss shall be recognized.</w:t>
      </w:r>
    </w:p>
    <w:p>
      <w:pPr>
        <w:spacing w:after="0" w:line="18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The carrying value of intangibles is periodically reviewed and impairments, if any, are recognized when the future undiscounted cash flows realized from the assets is less than its carrying value.</w:t>
      </w:r>
    </w:p>
    <w:p>
      <w:pPr>
        <w:spacing w:after="0" w:line="16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auto"/>
        </w:rPr>
        <w:t>Impairment of Long-Lived Assets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Long-lived assets and identifiable intangibles held for use are reviewed for impairment whenever events or changes in circumstances indicate that the carrying amount may not be recoverable. If the sum of undiscounted expected future cash flows is less than the carrying amount of the asset or if changes in facts and circumstances indicate, an impairment loss is recognized and measured using the asset’s fair value. The Company did not recognize any impairment loss during the years ended December 31,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Classification and Valuation of Warrants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warrants as either equity or liabilities based upon the characteristics and provisions of each particular instrument. Warrants valued and classified as equity are recorded as additional paid-in capital based on the issue date fair value and no further adjustment to valuation is made. As of December 31, 2020, the Company has no warrants or other derivative financial instruments that require separate accounting as liabilities and periodic revaluation.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 and Promotion Costs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Advertising costs are charged to expense as incurred and were $287,266 and $165,119 for the years ended December 31, 2020 and 2019, respectively. The Company also incurred product promotion costs for demonstration products delivered to prospective customers of $747,443 and $433,172 for the years ended December 31, 2020 and 2019, respectively. Advertising and promotion costs are included in selling, general and administrative expenses in the accompanying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Demonstration and Training Costs</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maintains a demonstration and training department as a part of its sales and marketing activities and does not charge for product demonstrations or training. Training is not a condition or requirement of sale as most sales are made through distributors to their end customers. The Company conducts local and regional in-person, webinar and on-line demonstrations and use of force and escalation training to support law enforcement agencies with no purchase requirement. Such training, when provided, may occur before or after initial or subsequent purchase or field deployment of the Company’s products. The Company believes that law enforcement trainers and officers that have seen demonstrations or have been trained about its products are more supportive of their departments purchase and deployment of product.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Costs</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Research and development costs consist primarily of contract development costs and experimental work materials and certain startup costs. Research and development costs with no alternative use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the commencement date of a lease, the Company recognizes a liability to make lease payments and an asset representing the right to use the underlying asset during the lease term. The lease liability is measured at the present value of lease payments over the lease term. As its leases typically do not provide an implicit rate and due to lack of borrowing history or ability, the Company uses as its incremental borrowing rate a low-grade debt rate published by the Federal Reserve Bank. The right-of-use (“</w:t>
      </w:r>
      <w:r>
        <w:rPr>
          <w:rFonts w:ascii="Arial" w:cs="Arial" w:eastAsia="Arial" w:hAnsi="Arial"/>
          <w:sz w:val="17"/>
          <w:szCs w:val="17"/>
          <w:i w:val="1"/>
          <w:iCs w:val="1"/>
          <w:color w:val="auto"/>
        </w:rPr>
        <w:t>ROU</w:t>
      </w:r>
      <w:r>
        <w:rPr>
          <w:rFonts w:ascii="Arial" w:cs="Arial" w:eastAsia="Arial" w:hAnsi="Arial"/>
          <w:sz w:val="17"/>
          <w:szCs w:val="17"/>
          <w:color w:val="auto"/>
        </w:rPr>
        <w:t>”) asset is measured at cost, which includes the initial measurement of the lease liability and initial direct costs incurred by the Company and excludes lease incentives. Lease liabilities are recorded as a current liability for the portion due within one year with the balance as a long-term liability. ROU assets are recorded as operating lease right-of-use asset, net.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FASB issued ASU 2014-09, Revenue from Contracts with Customers (“</w:t>
      </w:r>
      <w:r>
        <w:rPr>
          <w:rFonts w:ascii="Arial" w:cs="Arial" w:eastAsia="Arial" w:hAnsi="Arial"/>
          <w:sz w:val="17"/>
          <w:szCs w:val="17"/>
          <w:i w:val="1"/>
          <w:iCs w:val="1"/>
          <w:color w:val="auto"/>
        </w:rPr>
        <w:t>ASU 2014-09</w:t>
      </w:r>
      <w:r>
        <w:rPr>
          <w:rFonts w:ascii="Arial" w:cs="Arial" w:eastAsia="Arial" w:hAnsi="Arial"/>
          <w:sz w:val="17"/>
          <w:szCs w:val="17"/>
          <w:color w:val="auto"/>
        </w:rPr>
        <w:t>”) and ASC Subtopic 340-40, Other Assets and Deferred Costs - Contracts with Customers (“</w:t>
      </w:r>
      <w:r>
        <w:rPr>
          <w:rFonts w:ascii="Arial" w:cs="Arial" w:eastAsia="Arial" w:hAnsi="Arial"/>
          <w:sz w:val="17"/>
          <w:szCs w:val="17"/>
          <w:i w:val="1"/>
          <w:iCs w:val="1"/>
          <w:color w:val="auto"/>
        </w:rPr>
        <w:t>ASC 340-40</w:t>
      </w:r>
      <w:r>
        <w:rPr>
          <w:rFonts w:ascii="Arial" w:cs="Arial" w:eastAsia="Arial" w:hAnsi="Arial"/>
          <w:sz w:val="17"/>
          <w:szCs w:val="17"/>
          <w:color w:val="auto"/>
        </w:rPr>
        <w:t>”), (collectively, “</w:t>
      </w:r>
      <w:r>
        <w:rPr>
          <w:rFonts w:ascii="Arial" w:cs="Arial" w:eastAsia="Arial" w:hAnsi="Arial"/>
          <w:sz w:val="17"/>
          <w:szCs w:val="17"/>
          <w:i w:val="1"/>
          <w:iCs w:val="1"/>
          <w:color w:val="auto"/>
        </w:rPr>
        <w:t>Topic 606</w:t>
      </w:r>
      <w:r>
        <w:rPr>
          <w:rFonts w:ascii="Arial" w:cs="Arial" w:eastAsia="Arial" w:hAnsi="Arial"/>
          <w:sz w:val="17"/>
          <w:szCs w:val="17"/>
          <w:color w:val="auto"/>
        </w:rPr>
        <w:t>”). On January 1, 2018, the Company adopted Topic 606 and, as it had no prior revenue or contracts with customers, there was no transition required nor any impact on prior results. ASU 2014-09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See Note 2 for additional information.</w:t>
      </w:r>
    </w:p>
    <w:p>
      <w:pPr>
        <w:spacing w:after="0" w:line="189"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auto"/>
        </w:rPr>
        <w:t>Shipping and Handling Costs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Shipping and handling costs are included in cost of revenues. Shipping and handling costs invoiced to customers are included in revenue. Actual shipping and handling costs were $75,106 and $22,177 for the years ended December 31, 2020 and 2019, respectively. Actual revenues from shipping and handling were $62,679 and $21,414 for the years ended December 31, 2020 and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Warranty Reserves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Company warrants its products and accessories to be free from defects in materials and workmanship for a period of one year from the date of purchase.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warranty is generally limited. The Company currently provides direct warranty service. International market warranties are generally similar to the U.S.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market.</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establishes a warranty reserve based on anticipated warranty claims at the time product revenues are recognized. Factors affecting warranty reserve levels include the number of units sold, anticipated cost of warranty repairs and anticipated rates of warranty claims. The Company evaluates the adequacy of the provision for warranty costs each reporting period. The warranty reserve was $48,140 and $13,923 at December 31, 2020 and 2019. Actual warranty costs could differ from estimates.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Segment Information</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ASC Topic 280, “Segment Reporting,” requires use of the “management approach” model for segment reporting. The management approach model is based on the way a company’s management organizes segments within the company for making operating decisions and assessing performance. The Company operates as a single segment and will evaluate additional segment disclosure requirements as it expands its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No income tax expense was recorded for the periods ended December 31, 2020 and 2019 due to losses incurred. Deferred tax assets and liabilities are determined based on temporary differences between the bases of certain assets and liabilities for income tax and financial reporting purposes.</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Subsequent Events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has evaluated events subsequent to December 31, 2020 through the date the accompanying financial statements were filed with the Securities and Exchange Commission and noted that there have been no events or transactions which would affect the Company’s financial statements for the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Recently Issued Accounting Guidance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Adopted First Quarter of 2020:</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2018, the FASB issued ASU No. 2018-13, Fair Value Measurement (“</w:t>
      </w:r>
      <w:r>
        <w:rPr>
          <w:rFonts w:ascii="Arial" w:cs="Arial" w:eastAsia="Arial" w:hAnsi="Arial"/>
          <w:sz w:val="17"/>
          <w:szCs w:val="17"/>
          <w:i w:val="1"/>
          <w:iCs w:val="1"/>
          <w:color w:val="auto"/>
        </w:rPr>
        <w:t>Topic 820</w:t>
      </w:r>
      <w:r>
        <w:rPr>
          <w:rFonts w:ascii="Arial" w:cs="Arial" w:eastAsia="Arial" w:hAnsi="Arial"/>
          <w:sz w:val="17"/>
          <w:szCs w:val="17"/>
          <w:color w:val="auto"/>
        </w:rPr>
        <w:t>”): Disclosure Framework Changes to the Disclosure Requirements for Fair Value Measurement. The ASU modifies the disclosure requirements in Topic 820, Fair Value Measurement, to improve the effectiveness of fair value measurement disclosures by removing or modifying certain disclosure requirements and adding other requirements. This ASU is effective for public companies for annual reporting periods and interim periods within those annual periods beginning after December 15, 2019. The adoption of this standard in the first quarter ended March 31, 2020 had no impact on the Company’s financial statements or disclosures.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2016, the FASB issued ASU No. 2016-13, Financial Instruments - Credit Losses </w:t>
      </w:r>
      <w:r>
        <w:rPr>
          <w:rFonts w:ascii="Arial" w:cs="Arial" w:eastAsia="Arial" w:hAnsi="Arial"/>
          <w:sz w:val="17"/>
          <w:szCs w:val="17"/>
          <w:i w:val="1"/>
          <w:iCs w:val="1"/>
          <w:color w:val="auto"/>
        </w:rPr>
        <w:t>(“Topic 326”):</w:t>
      </w:r>
      <w:r>
        <w:rPr>
          <w:rFonts w:ascii="Arial" w:cs="Arial" w:eastAsia="Arial" w:hAnsi="Arial"/>
          <w:sz w:val="17"/>
          <w:szCs w:val="17"/>
          <w:color w:val="auto"/>
        </w:rPr>
        <w:t xml:space="preserve"> Measurement of Credit Losses on Financial Instruments which was further updated and clarified by the FASB through issuance of additional related ASUs</w:t>
      </w:r>
      <w:r>
        <w:rPr>
          <w:rFonts w:ascii="Arial" w:cs="Arial" w:eastAsia="Arial" w:hAnsi="Arial"/>
          <w:sz w:val="17"/>
          <w:szCs w:val="17"/>
          <w:i w:val="1"/>
          <w:iCs w:val="1"/>
          <w:color w:val="auto"/>
        </w:rPr>
        <w:t>.</w:t>
      </w:r>
      <w:r>
        <w:rPr>
          <w:rFonts w:ascii="Arial" w:cs="Arial" w:eastAsia="Arial" w:hAnsi="Arial"/>
          <w:sz w:val="17"/>
          <w:szCs w:val="17"/>
          <w:color w:val="auto"/>
        </w:rPr>
        <w:t xml:space="preserve"> Under ASU 2016-13, existing guidance on reporting credit losses for trade and other receivables and available for sale debt securities have been replaced with a new forward-looking “expected loss” model that has resulted in the earlier recognition of allowances for losses. The adoption of these standards in the first quarter ended March 31, 2020 had no impact on the Company’s financial statements or disclosures. As part of our assessment of the adequacy of our allowances for credit losses, we consider a number of factors including, but not limited to, customer credit ratings, bankruptcy filings, published or estimated credit default rates, age of receivables, expected loss rates and collateral exposures.</w:t>
      </w:r>
    </w:p>
    <w:p>
      <w:pPr>
        <w:spacing w:after="0" w:line="186"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color w:val="auto"/>
        </w:rPr>
        <w:t>Other Guidance:</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2019, the FASB issued Accounting Standards Update 2019-12, Income Taxes (“</w:t>
      </w:r>
      <w:r>
        <w:rPr>
          <w:rFonts w:ascii="Arial" w:cs="Arial" w:eastAsia="Arial" w:hAnsi="Arial"/>
          <w:sz w:val="17"/>
          <w:szCs w:val="17"/>
          <w:i w:val="1"/>
          <w:iCs w:val="1"/>
          <w:color w:val="auto"/>
        </w:rPr>
        <w:t>Topic 740</w:t>
      </w:r>
      <w:r>
        <w:rPr>
          <w:rFonts w:ascii="Arial" w:cs="Arial" w:eastAsia="Arial" w:hAnsi="Arial"/>
          <w:sz w:val="17"/>
          <w:szCs w:val="17"/>
          <w:color w:val="auto"/>
        </w:rPr>
        <w:t>”): Simplifying the Accounting for Income Taxes (“</w:t>
      </w:r>
      <w:r>
        <w:rPr>
          <w:rFonts w:ascii="Arial" w:cs="Arial" w:eastAsia="Arial" w:hAnsi="Arial"/>
          <w:sz w:val="17"/>
          <w:szCs w:val="17"/>
          <w:i w:val="1"/>
          <w:iCs w:val="1"/>
          <w:color w:val="auto"/>
        </w:rPr>
        <w:t>ASU 2019-12</w:t>
      </w:r>
      <w:r>
        <w:rPr>
          <w:rFonts w:ascii="Arial" w:cs="Arial" w:eastAsia="Arial" w:hAnsi="Arial"/>
          <w:sz w:val="17"/>
          <w:szCs w:val="17"/>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fiscal years beginning after December 15, 2020, with early adoption permitted. We do not expect that the adoption of this ASU will have a significant impact on our financial statements.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 Accounting for Convertible Instruments and Contracts in an Entity’s Own Equity</w:t>
      </w:r>
      <w:r>
        <w:rPr>
          <w:rFonts w:ascii="Arial" w:cs="Arial" w:eastAsia="Arial" w:hAnsi="Arial"/>
          <w:sz w:val="16"/>
          <w:szCs w:val="16"/>
          <w:color w:val="auto"/>
        </w:rPr>
        <w:t>, which simplifies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instruments by removing major separation models required under current U.S. GAAP. The ASU removes certain settlement conditions that are required for equity contracts to qualify for the derivative scope exception and it also simplifies the diluted earnings per share calculation in certain areas. This guidance is effective for fiscal years, and interim periods within those fiscal years, beginning after December 15, 2021, with early adoption permitted. The Company is currently evaluating the impact of this standard on its financial statements and related disclosures.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AND PRODUCT COSTS</w:t>
      </w:r>
    </w:p>
    <w:p>
      <w:pPr>
        <w:spacing w:after="0" w:line="240"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The Company enters into contracts that include various combinations of products, accessories. software and services, each of which are generally distinct and are accounted for as separate performance obligations.</w:t>
      </w:r>
    </w:p>
    <w:p>
      <w:pPr>
        <w:spacing w:after="0" w:line="1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6"/>
          <w:szCs w:val="16"/>
          <w:i w:val="1"/>
          <w:iCs w:val="1"/>
          <w:color w:val="auto"/>
        </w:rPr>
        <w:t>SSP</w:t>
      </w:r>
      <w:r>
        <w:rPr>
          <w:rFonts w:ascii="Arial" w:cs="Arial" w:eastAsia="Arial" w:hAnsi="Arial"/>
          <w:sz w:val="16"/>
          <w:szCs w:val="16"/>
          <w:color w:val="auto"/>
        </w:rPr>
        <w:t>”) of each distinct good or service in a contract.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internally approved pricing guidelines related to the performance obligations.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Most of the Company’s products and accessories are sold through domestic and international distributors. 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elected to recognize shipping costs as an expense in cost of revenue when control has transferred to the customer.</w:t>
      </w:r>
    </w:p>
    <w:p>
      <w:pPr>
        <w:spacing w:after="0" w:line="23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6" w:name="page57"/>
    <w:bookmarkEnd w:id="56"/>
    <w:p>
      <w:pPr>
        <w:jc w:val="both"/>
        <w:spacing w:after="0" w:line="296" w:lineRule="auto"/>
        <w:rPr>
          <w:sz w:val="20"/>
          <w:szCs w:val="20"/>
          <w:color w:val="auto"/>
        </w:rPr>
      </w:pPr>
      <w:r>
        <w:rPr>
          <w:rFonts w:ascii="Arial" w:cs="Arial" w:eastAsia="Arial" w:hAnsi="Arial"/>
          <w:sz w:val="16"/>
          <w:szCs w:val="16"/>
          <w:color w:val="auto"/>
        </w:rPr>
        <w:t>Time-based virtual reality system contracts generally include setup, training and the use of software and hardware for a fixed term, generally one to five years and support and upgrade services during the same period. The Company does not sell time-based arrangements without setup, training and support services and therefore revenues for the entire arrangement are recognized on a straight-line basis over the term. When hardware is bundled and not sold separately the Company allocates the contract transaction price to each performance obligation using the SSP of each distinct good and service in the contract.</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At December 31, 2020 the Company’s deferred revenue totaled $16,015, of which $14,125 related to virtual reality training and $1,890 related to extended warranties. At December 31, 2019 the Company had deferred revenue of $2,684 related to future training contracted as part of a sale.</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may also receive consideration, per terms of a contract, from customers prior to transferring goods to the customer. The Company records customer deposits as a contract liability.</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December 31, 2020 and December 31, 2019. The Company will apply the practical expedient to expense any sales commissions related to performance obligations with an amortization of one year or less when incurred within selling, general and administrative expense.</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Estimated costs for the Company’s standard one-year warranty are charged to cost of products sold when revenue is recorded for the related product. Royalties are also charged to cost of products sold.</w:t>
      </w:r>
    </w:p>
    <w:p>
      <w:pPr>
        <w:spacing w:after="0" w:line="157" w:lineRule="exact"/>
        <w:rPr>
          <w:sz w:val="20"/>
          <w:szCs w:val="20"/>
          <w:color w:val="auto"/>
        </w:rPr>
      </w:pPr>
    </w:p>
    <w:p>
      <w:pPr>
        <w:ind w:left="340" w:hanging="333"/>
        <w:spacing w:after="0"/>
        <w:tabs>
          <w:tab w:leader="none" w:pos="3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On December 14, 2020, the Company, through a new wholly-owned subsidiary, Wrap Reality, Inc., entered into an Asset Purchase Agreement with NSENA Inc, a Delaware corporation, to acquire all of NSENA’s tangible and intangible assets, properties, and rights held for use in connection with NSENA’s virtual reality training business. The acquisition enhances the Company’s training services primarily targeting law enforcement agencies.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paid to NSENA cash consideration of $210,000 and recorded a short-term business acquisition liability of $275,000. The liability is payable $100,000 on March 15, 2021, $100,000 on June 15, 2021 and $75,000 on September 15, 2021. In addition, the Company assumed a $15,000 liability for unearned revenues. As additional earn-out consideration, the Company agreed to pay NSENA 10% of net revenues (or a lesser amount equal to 50% of direct profit) from specific identified prospects that become revenue customers before September 30, 2021 but only on amounts collected between Closing and June 30, 2022. </w:t>
      </w:r>
      <w:r>
        <w:rPr>
          <w:rFonts w:ascii="Arial" w:cs="Arial" w:eastAsia="Arial" w:hAnsi="Arial"/>
          <w:sz w:val="17"/>
          <w:szCs w:val="17"/>
          <w:color w:val="212529"/>
        </w:rPr>
        <w:t>The fair value of contingent consideration determined as $22,500 is included as a long-term business acquisition liability on our consolidated balance</w:t>
      </w:r>
      <w:r>
        <w:rPr>
          <w:rFonts w:ascii="Arial" w:cs="Arial" w:eastAsia="Arial" w:hAnsi="Arial"/>
          <w:sz w:val="17"/>
          <w:szCs w:val="17"/>
          <w:color w:val="auto"/>
        </w:rPr>
        <w:t xml:space="preserve"> </w:t>
      </w:r>
      <w:r>
        <w:rPr>
          <w:rFonts w:ascii="Arial" w:cs="Arial" w:eastAsia="Arial" w:hAnsi="Arial"/>
          <w:sz w:val="17"/>
          <w:szCs w:val="17"/>
          <w:color w:val="212529"/>
        </w:rPr>
        <w:t>sheet.</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acquisition was accounted for under the acquisition method of accounting. Under acquisition accounting, the acquired tangible and intangible assets and liabilities of NSENA have been recorded at their respective fair values. The following table summarizes the estimates of fair value of the assets acquired and liabilities assumed on December 14,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Equipment</w:t>
            </w:r>
          </w:p>
        </w:tc>
        <w:tc>
          <w:tcPr>
            <w:tcW w:w="6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10,250</w:t>
            </w:r>
          </w:p>
        </w:tc>
      </w:tr>
      <w:tr>
        <w:trPr>
          <w:trHeight w:val="215"/>
        </w:trPr>
        <w:tc>
          <w:tcPr>
            <w:tcW w:w="3540" w:type="dxa"/>
            <w:vAlign w:val="bottom"/>
          </w:tcPr>
          <w:p>
            <w:pPr>
              <w:spacing w:after="0"/>
              <w:rPr>
                <w:sz w:val="20"/>
                <w:szCs w:val="20"/>
                <w:color w:val="auto"/>
              </w:rPr>
            </w:pPr>
            <w:r>
              <w:rPr>
                <w:rFonts w:ascii="Arial" w:cs="Arial" w:eastAsia="Arial" w:hAnsi="Arial"/>
                <w:sz w:val="17"/>
                <w:szCs w:val="17"/>
                <w:color w:val="auto"/>
              </w:rPr>
              <w:t>Software</w:t>
            </w: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460,250</w:t>
            </w:r>
          </w:p>
        </w:tc>
      </w:tr>
      <w:tr>
        <w:trPr>
          <w:trHeight w:val="21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Customer contracts</w:t>
            </w:r>
          </w:p>
        </w:tc>
        <w:tc>
          <w:tcPr>
            <w:tcW w:w="6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w:t>
            </w:r>
          </w:p>
        </w:tc>
      </w:tr>
      <w:tr>
        <w:trPr>
          <w:trHeight w:val="215"/>
        </w:trPr>
        <w:tc>
          <w:tcPr>
            <w:tcW w:w="3540" w:type="dxa"/>
            <w:vAlign w:val="bottom"/>
          </w:tcPr>
          <w:p>
            <w:pPr>
              <w:spacing w:after="0"/>
              <w:rPr>
                <w:sz w:val="20"/>
                <w:szCs w:val="20"/>
                <w:color w:val="auto"/>
              </w:rPr>
            </w:pPr>
            <w:r>
              <w:rPr>
                <w:rFonts w:ascii="Arial" w:cs="Arial" w:eastAsia="Arial" w:hAnsi="Arial"/>
                <w:sz w:val="17"/>
                <w:szCs w:val="17"/>
                <w:color w:val="auto"/>
              </w:rPr>
              <w:t>Tradenames</w:t>
            </w: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2,000</w:t>
            </w:r>
          </w:p>
        </w:tc>
      </w:tr>
      <w:tr>
        <w:trPr>
          <w:trHeight w:val="21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Noncompete agreements</w:t>
            </w:r>
          </w:p>
        </w:tc>
        <w:tc>
          <w:tcPr>
            <w:tcW w:w="6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w:t>
            </w:r>
          </w:p>
        </w:tc>
      </w:tr>
      <w:tr>
        <w:trPr>
          <w:trHeight w:val="215"/>
        </w:trPr>
        <w:tc>
          <w:tcPr>
            <w:tcW w:w="3540" w:type="dxa"/>
            <w:vAlign w:val="bottom"/>
          </w:tcPr>
          <w:p>
            <w:pPr>
              <w:spacing w:after="0"/>
              <w:rPr>
                <w:sz w:val="20"/>
                <w:szCs w:val="20"/>
                <w:color w:val="auto"/>
              </w:rPr>
            </w:pPr>
            <w:r>
              <w:rPr>
                <w:rFonts w:ascii="Arial" w:cs="Arial" w:eastAsia="Arial" w:hAnsi="Arial"/>
                <w:sz w:val="17"/>
                <w:szCs w:val="17"/>
                <w:color w:val="auto"/>
              </w:rPr>
              <w:t>Deferred revenue</w:t>
            </w: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(15,000)</w:t>
            </w:r>
          </w:p>
        </w:tc>
      </w:tr>
      <w:tr>
        <w:trPr>
          <w:trHeight w:val="27"/>
        </w:trPr>
        <w:tc>
          <w:tcPr>
            <w:tcW w:w="35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5"/>
        </w:trPr>
        <w:tc>
          <w:tcPr>
            <w:tcW w:w="35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6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507,500</w:t>
            </w:r>
          </w:p>
        </w:tc>
      </w:tr>
      <w:tr>
        <w:trPr>
          <w:trHeight w:val="423"/>
        </w:trPr>
        <w:tc>
          <w:tcPr>
            <w:tcW w:w="3540" w:type="dxa"/>
            <w:vAlign w:val="bottom"/>
            <w:tcBorders>
              <w:top w:val="single" w:sz="8" w:color="CCEEFF"/>
              <w:bottom w:val="single" w:sz="8" w:color="auto"/>
            </w:tcBorders>
          </w:tcPr>
          <w:p>
            <w:pPr>
              <w:spacing w:after="0"/>
              <w:rPr>
                <w:sz w:val="24"/>
                <w:szCs w:val="24"/>
                <w:color w:val="auto"/>
              </w:rPr>
            </w:pPr>
          </w:p>
        </w:tc>
        <w:tc>
          <w:tcPr>
            <w:tcW w:w="6500" w:type="dxa"/>
            <w:vAlign w:val="bottom"/>
            <w:tcBorders>
              <w:top w:val="single" w:sz="8" w:color="CCEEFF"/>
              <w:bottom w:val="single" w:sz="8" w:color="auto"/>
            </w:tcBorders>
          </w:tcPr>
          <w:p>
            <w:pPr>
              <w:ind w:left="1800"/>
              <w:spacing w:after="0"/>
              <w:rPr>
                <w:sz w:val="20"/>
                <w:szCs w:val="20"/>
                <w:color w:val="auto"/>
              </w:rPr>
            </w:pPr>
            <w:r>
              <w:rPr>
                <w:rFonts w:ascii="Arial" w:cs="Arial" w:eastAsia="Arial" w:hAnsi="Arial"/>
                <w:sz w:val="17"/>
                <w:szCs w:val="17"/>
                <w:color w:val="auto"/>
              </w:rPr>
              <w:t>F-13</w:t>
            </w:r>
          </w:p>
        </w:tc>
        <w:tc>
          <w:tcPr>
            <w:tcW w:w="2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A portion of the fair value of the consideration transferred has been assigned to identifiable intangible assets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9"/>
              </w:rPr>
              <w:t>Useful life in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6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6"/>
              </w:rPr>
              <w:t>years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460,250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7"/>
                <w:szCs w:val="17"/>
                <w:color w:val="auto"/>
              </w:rPr>
              <w:t>Customer contracts</w:t>
            </w:r>
          </w:p>
        </w:tc>
        <w:tc>
          <w:tcPr>
            <w:tcW w:w="1200" w:type="dxa"/>
            <w:vAlign w:val="bottom"/>
            <w:gridSpan w:val="2"/>
          </w:tcPr>
          <w:p>
            <w:pPr>
              <w:jc w:val="center"/>
              <w:ind w:left="33"/>
              <w:spacing w:after="0"/>
              <w:rPr>
                <w:sz w:val="20"/>
                <w:szCs w:val="20"/>
                <w:color w:val="auto"/>
              </w:rPr>
            </w:pPr>
            <w:r>
              <w:rPr>
                <w:rFonts w:ascii="Arial" w:cs="Arial" w:eastAsia="Arial" w:hAnsi="Arial"/>
                <w:sz w:val="17"/>
                <w:szCs w:val="17"/>
                <w:color w:val="auto"/>
                <w:w w:val="84"/>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Tradenames</w:t>
            </w:r>
          </w:p>
        </w:tc>
        <w:tc>
          <w:tcPr>
            <w:tcW w:w="1200" w:type="dxa"/>
            <w:vAlign w:val="bottom"/>
            <w:gridSpan w:val="2"/>
            <w:shd w:val="clear" w:color="auto" w:fill="CCEEFF"/>
          </w:tcPr>
          <w:p>
            <w:pPr>
              <w:jc w:val="center"/>
              <w:ind w:left="33"/>
              <w:spacing w:after="0"/>
              <w:rPr>
                <w:sz w:val="20"/>
                <w:szCs w:val="20"/>
                <w:color w:val="auto"/>
              </w:rPr>
            </w:pPr>
            <w:r>
              <w:rPr>
                <w:rFonts w:ascii="Arial" w:cs="Arial" w:eastAsia="Arial" w:hAnsi="Arial"/>
                <w:sz w:val="17"/>
                <w:szCs w:val="17"/>
                <w:color w:val="auto"/>
                <w:w w:val="84"/>
              </w:rPr>
              <w:t>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7"/>
                <w:szCs w:val="17"/>
                <w:color w:val="auto"/>
              </w:rPr>
              <w:t>Noncompete agreements</w:t>
            </w:r>
          </w:p>
        </w:tc>
        <w:tc>
          <w:tcPr>
            <w:tcW w:w="1200" w:type="dxa"/>
            <w:vAlign w:val="bottom"/>
            <w:gridSpan w:val="2"/>
          </w:tcPr>
          <w:p>
            <w:pPr>
              <w:jc w:val="center"/>
              <w:ind w:left="33"/>
              <w:spacing w:after="0"/>
              <w:rPr>
                <w:sz w:val="20"/>
                <w:szCs w:val="20"/>
                <w:color w:val="auto"/>
              </w:rPr>
            </w:pPr>
            <w:r>
              <w:rPr>
                <w:rFonts w:ascii="Arial" w:cs="Arial" w:eastAsia="Arial" w:hAnsi="Arial"/>
                <w:sz w:val="17"/>
                <w:szCs w:val="17"/>
                <w:color w:val="auto"/>
                <w:w w:val="84"/>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Total acquired intangible assets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512,250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All assets acquired were determined to be finite-lived intangible assets and are being amortized on a straight-line basis over its estimated useful life with no residual value.</w:t>
      </w:r>
    </w:p>
    <w:p>
      <w:pPr>
        <w:spacing w:after="0" w:line="157" w:lineRule="exact"/>
        <w:rPr>
          <w:sz w:val="20"/>
          <w:szCs w:val="20"/>
          <w:color w:val="auto"/>
        </w:rPr>
      </w:pPr>
    </w:p>
    <w:p>
      <w:pPr>
        <w:ind w:left="340" w:hanging="333"/>
        <w:spacing w:after="0"/>
        <w:tabs>
          <w:tab w:leader="none" w:pos="3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w:t>
      </w:r>
    </w:p>
    <w:p>
      <w:pPr>
        <w:spacing w:after="0" w:line="2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Assets and liabilities recorded at fair value on a recurring basis in the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are unadjusted, quoted prices in active markets for identical assets or liabilities at the measurement date;</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are observable, unadjusted quoted prices in active markets for similar assets or liabilities, unadjusted quoted prices for identical or similar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that are significant to the measurement of the fair value of the assets or liabilities that are supported by little or no market data.</w:t>
      </w:r>
    </w:p>
    <w:p>
      <w:pPr>
        <w:spacing w:after="0" w:line="24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Company’s cash equivalent Money Market Funds and short-term investments consisting of U.S. Treasury bill securities are classified as Level 1 because they are valued using quoted market prices.</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following table shows the Company’s cash and cash equivalents, Money Market Funds and short-term investments by significant investment category as of December 31, 2020. The Company only had cash and cash equivalents, including Money Market Funds of $16,618,498 at December 31, 2019 all which were considered Level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5"/>
                <w:szCs w:val="15"/>
                <w:b w:val="1"/>
                <w:bCs w:val="1"/>
                <w:color w:val="auto"/>
              </w:rPr>
              <w:t>As of December 31, 2020</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4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77"/>
              <w:spacing w:after="0"/>
              <w:rPr>
                <w:sz w:val="20"/>
                <w:szCs w:val="20"/>
                <w:color w:val="auto"/>
              </w:rPr>
            </w:pPr>
            <w:r>
              <w:rPr>
                <w:rFonts w:ascii="Arial" w:cs="Arial" w:eastAsia="Arial" w:hAnsi="Arial"/>
                <w:sz w:val="15"/>
                <w:szCs w:val="15"/>
                <w:b w:val="1"/>
                <w:bCs w:val="1"/>
                <w:color w:val="auto"/>
                <w:w w:val="99"/>
              </w:rPr>
              <w:t>Adjusted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18"/>
              <w:spacing w:after="0"/>
              <w:rPr>
                <w:sz w:val="20"/>
                <w:szCs w:val="20"/>
                <w:color w:val="auto"/>
              </w:rPr>
            </w:pPr>
            <w:r>
              <w:rPr>
                <w:rFonts w:ascii="Arial" w:cs="Arial" w:eastAsia="Arial" w:hAnsi="Arial"/>
                <w:sz w:val="15"/>
                <w:szCs w:val="15"/>
                <w:b w:val="1"/>
                <w:bCs w:val="1"/>
                <w:color w:val="auto"/>
                <w:w w:val="94"/>
              </w:rPr>
              <w:t>Unrealized</w:t>
            </w:r>
          </w:p>
        </w:tc>
        <w:tc>
          <w:tcPr>
            <w:tcW w:w="26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5"/>
                <w:szCs w:val="15"/>
                <w:b w:val="1"/>
                <w:bCs w:val="1"/>
                <w:color w:val="auto"/>
              </w:rPr>
              <w:t>Unrealized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Market</w:t>
            </w:r>
          </w:p>
        </w:tc>
      </w:tr>
      <w:tr>
        <w:trPr>
          <w:trHeight w:val="205"/>
        </w:trPr>
        <w:tc>
          <w:tcPr>
            <w:tcW w:w="4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17"/>
              <w:spacing w:after="0"/>
              <w:rPr>
                <w:sz w:val="20"/>
                <w:szCs w:val="20"/>
                <w:color w:val="auto"/>
              </w:rPr>
            </w:pPr>
            <w:r>
              <w:rPr>
                <w:rFonts w:ascii="Arial" w:cs="Arial" w:eastAsia="Arial" w:hAnsi="Arial"/>
                <w:sz w:val="15"/>
                <w:szCs w:val="15"/>
                <w:b w:val="1"/>
                <w:bCs w:val="1"/>
                <w:color w:val="auto"/>
              </w:rPr>
              <w:t>Cost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78"/>
              <w:spacing w:after="0"/>
              <w:rPr>
                <w:sz w:val="20"/>
                <w:szCs w:val="20"/>
                <w:color w:val="auto"/>
              </w:rPr>
            </w:pPr>
            <w:r>
              <w:rPr>
                <w:rFonts w:ascii="Arial" w:cs="Arial" w:eastAsia="Arial" w:hAnsi="Arial"/>
                <w:sz w:val="15"/>
                <w:szCs w:val="15"/>
                <w:b w:val="1"/>
                <w:bCs w:val="1"/>
                <w:color w:val="auto"/>
              </w:rPr>
              <w:t>Gains</w:t>
            </w:r>
          </w:p>
        </w:tc>
        <w:tc>
          <w:tcPr>
            <w:tcW w:w="260" w:type="dxa"/>
            <w:vAlign w:val="bottom"/>
          </w:tcPr>
          <w:p>
            <w:pPr>
              <w:spacing w:after="0"/>
              <w:rPr>
                <w:sz w:val="17"/>
                <w:szCs w:val="17"/>
                <w:color w:val="auto"/>
              </w:rPr>
            </w:pPr>
          </w:p>
        </w:tc>
        <w:tc>
          <w:tcPr>
            <w:tcW w:w="960" w:type="dxa"/>
            <w:vAlign w:val="bottom"/>
          </w:tcPr>
          <w:p>
            <w:pPr>
              <w:jc w:val="right"/>
              <w:ind w:right="122"/>
              <w:spacing w:after="0"/>
              <w:rPr>
                <w:sz w:val="20"/>
                <w:szCs w:val="20"/>
                <w:color w:val="auto"/>
              </w:rPr>
            </w:pPr>
            <w:r>
              <w:rPr>
                <w:rFonts w:ascii="Arial" w:cs="Arial" w:eastAsia="Arial" w:hAnsi="Arial"/>
                <w:sz w:val="15"/>
                <w:szCs w:val="15"/>
                <w:b w:val="1"/>
                <w:bCs w:val="1"/>
                <w:color w:val="auto"/>
              </w:rPr>
              <w:t>Losses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Value</w:t>
            </w:r>
          </w:p>
        </w:tc>
      </w:tr>
      <w:tr>
        <w:trPr>
          <w:trHeight w:val="241"/>
        </w:trPr>
        <w:tc>
          <w:tcPr>
            <w:tcW w:w="4660" w:type="dxa"/>
            <w:vAlign w:val="bottom"/>
          </w:tcPr>
          <w:p>
            <w:pPr>
              <w:spacing w:after="0"/>
              <w:rPr>
                <w:sz w:val="20"/>
                <w:szCs w:val="20"/>
                <w:color w:val="auto"/>
              </w:rPr>
            </w:pPr>
            <w:r>
              <w:rPr>
                <w:rFonts w:ascii="Arial" w:cs="Arial" w:eastAsia="Arial" w:hAnsi="Arial"/>
                <w:sz w:val="17"/>
                <w:szCs w:val="17"/>
                <w:color w:val="auto"/>
              </w:rPr>
              <w:t>Level 1:</w:t>
            </w:r>
          </w:p>
        </w:tc>
        <w:tc>
          <w:tcPr>
            <w:tcW w:w="1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Money Market Funds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6,034,757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78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6,034,757</w:t>
            </w:r>
          </w:p>
        </w:tc>
        <w:tc>
          <w:tcPr>
            <w:tcW w:w="100" w:type="dxa"/>
            <w:vAlign w:val="bottom"/>
            <w:shd w:val="clear" w:color="auto" w:fill="CCEEFF"/>
          </w:tcPr>
          <w:p>
            <w:pPr>
              <w:spacing w:after="0"/>
              <w:rPr>
                <w:sz w:val="18"/>
                <w:szCs w:val="18"/>
                <w:color w:val="auto"/>
              </w:rPr>
            </w:pPr>
          </w:p>
        </w:tc>
      </w:tr>
      <w:tr>
        <w:trPr>
          <w:trHeight w:val="215"/>
        </w:trPr>
        <w:tc>
          <w:tcPr>
            <w:tcW w:w="4660" w:type="dxa"/>
            <w:vAlign w:val="bottom"/>
          </w:tcPr>
          <w:p>
            <w:pPr>
              <w:ind w:left="340"/>
              <w:spacing w:after="0"/>
              <w:rPr>
                <w:sz w:val="20"/>
                <w:szCs w:val="20"/>
                <w:color w:val="auto"/>
              </w:rPr>
            </w:pPr>
            <w:r>
              <w:rPr>
                <w:rFonts w:ascii="Arial" w:cs="Arial" w:eastAsia="Arial" w:hAnsi="Arial"/>
                <w:sz w:val="17"/>
                <w:szCs w:val="17"/>
                <w:color w:val="auto"/>
              </w:rPr>
              <w:t>U.S. Treasury securities considered cash equivalents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9,997,812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9,997,812</w:t>
            </w:r>
          </w:p>
        </w:tc>
        <w:tc>
          <w:tcPr>
            <w:tcW w:w="100" w:type="dxa"/>
            <w:vAlign w:val="bottom"/>
          </w:tcPr>
          <w:p>
            <w:pPr>
              <w:spacing w:after="0"/>
              <w:rPr>
                <w:sz w:val="18"/>
                <w:szCs w:val="18"/>
                <w:color w:val="auto"/>
              </w:rPr>
            </w:pPr>
          </w:p>
        </w:tc>
      </w:tr>
      <w:tr>
        <w:trPr>
          <w:trHeight w:val="215"/>
        </w:trPr>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Treasury securities in short-term investments</w:t>
            </w:r>
          </w:p>
        </w:tc>
        <w:tc>
          <w:tcPr>
            <w:tcW w:w="1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24,979,511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24,994,360</w:t>
            </w:r>
          </w:p>
        </w:tc>
        <w:tc>
          <w:tcPr>
            <w:tcW w:w="100" w:type="dxa"/>
            <w:vAlign w:val="bottom"/>
            <w:shd w:val="clear" w:color="auto" w:fill="CCEEFF"/>
          </w:tcPr>
          <w:p>
            <w:pPr>
              <w:spacing w:after="0"/>
              <w:rPr>
                <w:sz w:val="18"/>
                <w:szCs w:val="18"/>
                <w:color w:val="auto"/>
              </w:rPr>
            </w:pPr>
          </w:p>
        </w:tc>
      </w:tr>
      <w:tr>
        <w:trPr>
          <w:trHeight w:val="27"/>
        </w:trPr>
        <w:tc>
          <w:tcPr>
            <w:tcW w:w="4660" w:type="dxa"/>
            <w:vAlign w:val="bottom"/>
            <w:shd w:val="clear" w:color="auto" w:fill="CCEEFF"/>
          </w:tcPr>
          <w:p>
            <w:pPr>
              <w:spacing w:after="0"/>
              <w:rPr>
                <w:sz w:val="2"/>
                <w:szCs w:val="2"/>
                <w:color w:val="auto"/>
              </w:rPr>
            </w:pPr>
          </w:p>
        </w:tc>
        <w:tc>
          <w:tcPr>
            <w:tcW w:w="1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4660" w:type="dxa"/>
            <w:vAlign w:val="bottom"/>
          </w:tcPr>
          <w:p>
            <w:pPr>
              <w:ind w:left="340"/>
              <w:spacing w:after="0"/>
              <w:rPr>
                <w:sz w:val="20"/>
                <w:szCs w:val="20"/>
                <w:color w:val="auto"/>
              </w:rPr>
            </w:pPr>
            <w:r>
              <w:rPr>
                <w:rFonts w:ascii="Arial" w:cs="Arial" w:eastAsia="Arial" w:hAnsi="Arial"/>
                <w:sz w:val="17"/>
                <w:szCs w:val="17"/>
                <w:color w:val="auto"/>
              </w:rPr>
              <w:t>Total Financial Assets</w:t>
            </w:r>
          </w:p>
        </w:tc>
        <w:tc>
          <w:tcPr>
            <w:tcW w:w="1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41,012,080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14,849</w:t>
            </w:r>
          </w:p>
        </w:tc>
        <w:tc>
          <w:tcPr>
            <w:tcW w:w="26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Arial" w:cs="Arial" w:eastAsia="Arial" w:hAnsi="Arial"/>
                <w:sz w:val="17"/>
                <w:szCs w:val="17"/>
                <w:color w:val="auto"/>
                <w:w w:val="84"/>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41,026,929</w:t>
            </w:r>
          </w:p>
        </w:tc>
        <w:tc>
          <w:tcPr>
            <w:tcW w:w="1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3"/>
        </w:trPr>
        <w:tc>
          <w:tcPr>
            <w:tcW w:w="46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413"/>
              <w:spacing w:after="0"/>
              <w:rPr>
                <w:sz w:val="20"/>
                <w:szCs w:val="20"/>
                <w:color w:val="auto"/>
              </w:rPr>
            </w:pPr>
            <w:r>
              <w:rPr>
                <w:rFonts w:ascii="Arial" w:cs="Arial" w:eastAsia="Arial" w:hAnsi="Arial"/>
                <w:sz w:val="17"/>
                <w:szCs w:val="17"/>
                <w:color w:val="auto"/>
              </w:rPr>
              <w:t>F-14</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58" w:name="page59"/>
    <w:bookmarkEnd w:id="58"/>
    <w:p>
      <w:pPr>
        <w:spacing w:after="0" w:line="296" w:lineRule="auto"/>
        <w:rPr>
          <w:sz w:val="20"/>
          <w:szCs w:val="20"/>
          <w:color w:val="auto"/>
        </w:rPr>
      </w:pPr>
      <w:r>
        <w:rPr>
          <w:rFonts w:ascii="Arial" w:cs="Arial" w:eastAsia="Arial" w:hAnsi="Arial"/>
          <w:sz w:val="17"/>
          <w:szCs w:val="17"/>
          <w:color w:val="auto"/>
        </w:rPr>
        <w:t>Unrealized gains or losses resulting from our short-term investments are recorded in accumulated other comprehensive gain or loss. As of December 31, 2020, $14,849 was recorded to accumulated other comprehensive gain.</w:t>
      </w:r>
    </w:p>
    <w:p>
      <w:pPr>
        <w:spacing w:after="0" w:line="163"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Our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157" w:lineRule="exact"/>
        <w:rPr>
          <w:sz w:val="20"/>
          <w:szCs w:val="20"/>
          <w:color w:val="auto"/>
        </w:rPr>
      </w:pPr>
    </w:p>
    <w:p>
      <w:pPr>
        <w:ind w:left="340" w:hanging="333"/>
        <w:spacing w:after="0"/>
        <w:tabs>
          <w:tab w:leader="none" w:pos="3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 NET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Inventory is recorded at the lower of cost or net realizable value. The cost of substantially all the Company’s inventory is determined by the FIFO cost method.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consisted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5"/>
                <w:szCs w:val="15"/>
                <w:b w:val="1"/>
                <w:bCs w:val="1"/>
                <w:color w:val="auto"/>
                <w:w w:val="88"/>
              </w:rPr>
              <w:t>December 31,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1,248,893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653,323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Work in process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64,451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1,342,046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1,590,805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Inventories, net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2,655,390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2,244,541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During the years ended December 31, 2020 and 2019 the Company wrote off $68,108 and $193,506, respectively, of raw material and scrap parts primarily due to startup production, model changes and improvements.</w:t>
      </w:r>
    </w:p>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6.</w:t>
        <w:tab/>
        <w:t>PROPERTY AND EQUIPMENT, NET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consisted of the following: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8"/>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Production and 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147,781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44,454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Tooling</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59,004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83,368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Furniture, fixtures and improvements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165,465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128,782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574,755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315,608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(217,468)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(72,732)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357,287</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242,876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$144,736 and $44,239 for the years ended December 31, 2020 and 2019, respectively.</w:t>
      </w:r>
    </w:p>
    <w:p>
      <w:pPr>
        <w:spacing w:after="0" w:line="200" w:lineRule="exact"/>
        <w:rPr>
          <w:sz w:val="20"/>
          <w:szCs w:val="20"/>
          <w:color w:val="auto"/>
        </w:rPr>
      </w:pPr>
    </w:p>
    <w:p>
      <w:pPr>
        <w:spacing w:after="0" w:line="249"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7. INTANGIBLE ASSETS, NET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consisted of the following: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8"/>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r>
      <w:tr>
        <w:trPr>
          <w:trHeight w:val="205"/>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r>
              <w:rPr>
                <w:rFonts w:ascii="Arial" w:cs="Arial" w:eastAsia="Arial" w:hAnsi="Arial"/>
                <w:sz w:val="17"/>
                <w:szCs w:val="17"/>
                <w:color w:val="auto"/>
              </w:rPr>
              <w:t>Amortizable intangible assets: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Patents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279,294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176,425</w:t>
            </w:r>
          </w:p>
        </w:tc>
      </w:tr>
      <w:tr>
        <w:trPr>
          <w:trHeight w:val="215"/>
        </w:trPr>
        <w:tc>
          <w:tcPr>
            <w:tcW w:w="8680" w:type="dxa"/>
            <w:vAlign w:val="bottom"/>
          </w:tcPr>
          <w:p>
            <w:pPr>
              <w:ind w:left="500"/>
              <w:spacing w:after="0"/>
              <w:rPr>
                <w:sz w:val="20"/>
                <w:szCs w:val="20"/>
                <w:color w:val="auto"/>
              </w:rPr>
            </w:pPr>
            <w:r>
              <w:rPr>
                <w:rFonts w:ascii="Arial" w:cs="Arial" w:eastAsia="Arial" w:hAnsi="Arial"/>
                <w:sz w:val="17"/>
                <w:szCs w:val="17"/>
                <w:color w:val="auto"/>
              </w:rPr>
              <w:t>Trademarks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83,964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57,919</w:t>
            </w:r>
          </w:p>
        </w:tc>
      </w:tr>
      <w:tr>
        <w:trPr>
          <w:trHeight w:val="215"/>
        </w:trPr>
        <w:tc>
          <w:tcPr>
            <w:tcW w:w="86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Purchased software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5"/>
        </w:trPr>
        <w:tc>
          <w:tcPr>
            <w:tcW w:w="8680" w:type="dxa"/>
            <w:vAlign w:val="bottom"/>
          </w:tcPr>
          <w:p>
            <w:pPr>
              <w:ind w:left="50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5"/>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1,075,508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234,344</w:t>
            </w:r>
          </w:p>
        </w:tc>
      </w:tr>
      <w:tr>
        <w:trPr>
          <w:trHeight w:val="215"/>
        </w:trPr>
        <w:tc>
          <w:tcPr>
            <w:tcW w:w="8680" w:type="dxa"/>
            <w:vAlign w:val="bottom"/>
          </w:tcPr>
          <w:p>
            <w:pPr>
              <w:ind w:left="500"/>
              <w:spacing w:after="0"/>
              <w:rPr>
                <w:sz w:val="20"/>
                <w:szCs w:val="20"/>
                <w:color w:val="auto"/>
              </w:rPr>
            </w:pPr>
            <w:r>
              <w:rPr>
                <w:rFonts w:ascii="Arial" w:cs="Arial" w:eastAsia="Arial" w:hAnsi="Arial"/>
                <w:sz w:val="17"/>
                <w:szCs w:val="17"/>
                <w:color w:val="auto"/>
              </w:rPr>
              <w:t>Accumulated amortization</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(22,587)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(4,061)</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5"/>
        </w:trPr>
        <w:tc>
          <w:tcPr>
            <w:tcW w:w="86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amortizable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1,052,921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230,283</w:t>
            </w:r>
          </w:p>
        </w:tc>
      </w:tr>
      <w:tr>
        <w:trPr>
          <w:trHeight w:val="215"/>
        </w:trPr>
        <w:tc>
          <w:tcPr>
            <w:tcW w:w="8680" w:type="dxa"/>
            <w:vAlign w:val="bottom"/>
          </w:tcPr>
          <w:p>
            <w:pPr>
              <w:spacing w:after="0"/>
              <w:rPr>
                <w:sz w:val="20"/>
                <w:szCs w:val="20"/>
                <w:color w:val="auto"/>
              </w:rPr>
            </w:pPr>
            <w:r>
              <w:rPr>
                <w:rFonts w:ascii="Arial" w:cs="Arial" w:eastAsia="Arial" w:hAnsi="Arial"/>
                <w:sz w:val="17"/>
                <w:szCs w:val="17"/>
                <w:color w:val="auto"/>
              </w:rPr>
              <w:t>Indefinite life assets (non-amortizable)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343,563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5"/>
        </w:trPr>
        <w:tc>
          <w:tcPr>
            <w:tcW w:w="86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intangible assets-net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1,396,484</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230,283</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$18,526 and $2,706 for the years ended December 31, 2020 and 2019, respectively.</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At December 31, 2020, annual amortization of intangible assets, based upon the Company’s existing intangible assets and current useful lives, is estimated to be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3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186,266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2022</w:t>
            </w: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150,766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145,766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2024</w:t>
            </w: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145,766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145,766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Thereafter</w:t>
            </w: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278,591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Total estimated amortization expense</w:t>
            </w:r>
          </w:p>
        </w:tc>
        <w:tc>
          <w:tcPr>
            <w:tcW w:w="3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1,052,921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ACCOUNTS PAYABLE AND ACCRUED LIABILITIES</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Accounts payable includes $52,950 due to related party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as of December 31, 2020. Accounts payable at December 31, 2020 also included $10,000 due to related party V3 Capital Partners, LLC (see Note 14).</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 of the following: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Arial" w:cs="Arial" w:eastAsia="Arial" w:hAnsi="Arial"/>
                <w:sz w:val="15"/>
                <w:szCs w:val="15"/>
                <w:b w:val="1"/>
                <w:bCs w:val="1"/>
                <w:color w:val="auto"/>
                <w:w w:val="88"/>
              </w:rPr>
              <w:t>December 31,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Patent and legal costs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Accrued compensation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562,792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144,193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Warranty costs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Consulting costs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Taxes and other</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Accrued liabilities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721,075</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194,294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Accrued compensation includes $555,000 in bonuses and $7,792 in commissions payable at December 31, 2020.</w:t>
      </w:r>
    </w:p>
    <w:p>
      <w:pPr>
        <w:spacing w:after="0" w:line="23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9. LEASES</w:t>
      </w: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adopted ASU 2016-02, Leases (“</w:t>
      </w:r>
      <w:r>
        <w:rPr>
          <w:rFonts w:ascii="Arial" w:cs="Arial" w:eastAsia="Arial" w:hAnsi="Arial"/>
          <w:sz w:val="16"/>
          <w:szCs w:val="16"/>
          <w:i w:val="1"/>
          <w:iCs w:val="1"/>
          <w:color w:val="auto"/>
        </w:rPr>
        <w:t>Topic 842</w:t>
      </w:r>
      <w:r>
        <w:rPr>
          <w:rFonts w:ascii="Arial" w:cs="Arial" w:eastAsia="Arial" w:hAnsi="Arial"/>
          <w:sz w:val="16"/>
          <w:szCs w:val="16"/>
          <w:color w:val="auto"/>
        </w:rPr>
        <w:t>”) on January 1, 2019 using the modified retrospective approach. The Company has elected not to apply ASC Topic 842 to arrangements with lease terms of 12 months or less. The adoption of the standard resulted in the recognition of a ROU asset and lease liability of $12,900 for one operating lease as of January 1, 2019, with no impact to retained earnings. Prior year amounts have not been restated. That lease is for 1,890 square feet of improved office and warehouse space in Las Vegas, Nevada. In January 2019, the Company recorded an additional $17,101 ROU remeasurement asset and liability from an extension of the facility lease to December 31, 2020. In March 2019, the Company recorded a $57,587 ROU asset and liability for a two-year facility operating lease for 1,906 square feet of improved office and warehouse space in Lake Forest, California expiring in February 2021. In June 2019, the Company recorded a $253,412 ROU asset and liability for a 38-month facility operating lease for 11,256 square feet of improved office, assembly, training and warehouse space in Tempe, Arizona expiring in July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ROU operating lease assets was $121,844 and $80,069 for the years ended December 31, 2020 and 2019, respectively.</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Operating lease expense for capitalized operating leases included in operating activities was $137,228 and $94,599 for the years ended December 31, 2020 and 2019, respectively. Operating lease obligations recorded on the balance sheet at December 31, 2020 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liability- short term</w:t>
            </w:r>
          </w:p>
        </w:tc>
        <w:tc>
          <w:tcPr>
            <w:tcW w:w="4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94,011</w:t>
            </w:r>
          </w:p>
        </w:tc>
      </w:tr>
      <w:tr>
        <w:trPr>
          <w:trHeight w:val="215"/>
        </w:trPr>
        <w:tc>
          <w:tcPr>
            <w:tcW w:w="6280" w:type="dxa"/>
            <w:vAlign w:val="bottom"/>
          </w:tcPr>
          <w:p>
            <w:pPr>
              <w:spacing w:after="0"/>
              <w:rPr>
                <w:sz w:val="20"/>
                <w:szCs w:val="20"/>
                <w:color w:val="auto"/>
              </w:rPr>
            </w:pPr>
            <w:r>
              <w:rPr>
                <w:rFonts w:ascii="Arial" w:cs="Arial" w:eastAsia="Arial" w:hAnsi="Arial"/>
                <w:sz w:val="17"/>
                <w:szCs w:val="17"/>
                <w:color w:val="auto"/>
              </w:rPr>
              <w:t>Operating lease liability - long term</w:t>
            </w: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56,006</w:t>
            </w:r>
          </w:p>
        </w:tc>
      </w:tr>
      <w:tr>
        <w:trPr>
          <w:trHeight w:val="27"/>
        </w:trPr>
        <w:tc>
          <w:tcPr>
            <w:tcW w:w="6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5"/>
        </w:trPr>
        <w:tc>
          <w:tcPr>
            <w:tcW w:w="6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Lease Liability</w:t>
            </w:r>
          </w:p>
        </w:tc>
        <w:tc>
          <w:tcPr>
            <w:tcW w:w="4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150,017</w:t>
            </w:r>
          </w:p>
        </w:tc>
      </w:tr>
      <w:tr>
        <w:trPr>
          <w:trHeight w:val="20"/>
        </w:trPr>
        <w:tc>
          <w:tcPr>
            <w:tcW w:w="628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Future lease payments included in the measurement of lease liabilities on the balance sheet at December 31, 2020 for future periods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101,406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57,328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future minimum lease payments</w:t>
            </w: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158,734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Less imputed interest</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(8,717)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remaining lease term is 1.54 years and the weighted average discount rate is 7.0%.</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did not have any short-term lease expense during the years ended December 31, 2020 and December 31, 2019. The Company does not have any finance leases.</w:t>
      </w:r>
    </w:p>
    <w:p>
      <w:pPr>
        <w:spacing w:after="0" w:line="157" w:lineRule="exact"/>
        <w:rPr>
          <w:sz w:val="20"/>
          <w:szCs w:val="20"/>
          <w:color w:val="auto"/>
        </w:rPr>
      </w:pPr>
    </w:p>
    <w:p>
      <w:pPr>
        <w:ind w:left="760" w:hanging="753"/>
        <w:spacing w:after="0"/>
        <w:tabs>
          <w:tab w:leader="none" w:pos="7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Company’s debt at December 31, 2020 included operating lease liabilities (see Note 9) and business acquisition liabilities (see Note 3). Debt at December 31, 2019 consisted of operating lease liabilities.</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1, 2020, the Company received loan proceeds of $414,362 from Bank of America, N.A. (the “</w:t>
      </w:r>
      <w:r>
        <w:rPr>
          <w:rFonts w:ascii="Arial" w:cs="Arial" w:eastAsia="Arial" w:hAnsi="Arial"/>
          <w:sz w:val="16"/>
          <w:szCs w:val="16"/>
          <w:i w:val="1"/>
          <w:iCs w:val="1"/>
          <w:color w:val="auto"/>
        </w:rPr>
        <w:t>Lender</w:t>
      </w:r>
      <w:r>
        <w:rPr>
          <w:rFonts w:ascii="Arial" w:cs="Arial" w:eastAsia="Arial" w:hAnsi="Arial"/>
          <w:sz w:val="16"/>
          <w:szCs w:val="16"/>
          <w:color w:val="auto"/>
        </w:rPr>
        <w:t>”), as a potentially forgivable loan (the “</w:t>
      </w:r>
      <w:r>
        <w:rPr>
          <w:rFonts w:ascii="Arial" w:cs="Arial" w:eastAsia="Arial" w:hAnsi="Arial"/>
          <w:sz w:val="16"/>
          <w:szCs w:val="16"/>
          <w:i w:val="1"/>
          <w:iCs w:val="1"/>
          <w:color w:val="auto"/>
        </w:rPr>
        <w:t>PPP</w:t>
      </w:r>
      <w:r>
        <w:rPr>
          <w:rFonts w:ascii="Arial" w:cs="Arial" w:eastAsia="Arial" w:hAnsi="Arial"/>
          <w:sz w:val="16"/>
          <w:szCs w:val="16"/>
          <w:color w:val="auto"/>
        </w:rPr>
        <w:t xml:space="preserve"> </w:t>
      </w:r>
      <w:r>
        <w:rPr>
          <w:rFonts w:ascii="Arial" w:cs="Arial" w:eastAsia="Arial" w:hAnsi="Arial"/>
          <w:sz w:val="16"/>
          <w:szCs w:val="16"/>
          <w:i w:val="1"/>
          <w:iCs w:val="1"/>
          <w:color w:val="auto"/>
        </w:rPr>
        <w:t>Loan</w:t>
      </w:r>
      <w:r>
        <w:rPr>
          <w:rFonts w:ascii="Arial" w:cs="Arial" w:eastAsia="Arial" w:hAnsi="Arial"/>
          <w:sz w:val="16"/>
          <w:szCs w:val="16"/>
          <w:color w:val="auto"/>
        </w:rPr>
        <w:t>”) from the U.S. Small Business Administration pursuant to the Paycheck Protection Program (the “</w:t>
      </w:r>
      <w:r>
        <w:rPr>
          <w:rFonts w:ascii="Arial" w:cs="Arial" w:eastAsia="Arial" w:hAnsi="Arial"/>
          <w:sz w:val="16"/>
          <w:szCs w:val="16"/>
          <w:i w:val="1"/>
          <w:iCs w:val="1"/>
          <w:color w:val="auto"/>
        </w:rPr>
        <w:t>PPP</w:t>
      </w:r>
      <w:r>
        <w:rPr>
          <w:rFonts w:ascii="Arial" w:cs="Arial" w:eastAsia="Arial" w:hAnsi="Arial"/>
          <w:sz w:val="16"/>
          <w:szCs w:val="16"/>
          <w:color w:val="auto"/>
        </w:rPr>
        <w:t>”) enacted by Congress under Division A, Title 1</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Coronavirus Aid, Relief, and Economic Security Act (15 U.S.C. 636(a)(36)) (the “</w:t>
      </w:r>
      <w:r>
        <w:rPr>
          <w:rFonts w:ascii="Arial" w:cs="Arial" w:eastAsia="Arial" w:hAnsi="Arial"/>
          <w:sz w:val="16"/>
          <w:szCs w:val="16"/>
          <w:i w:val="1"/>
          <w:iCs w:val="1"/>
          <w:color w:val="auto"/>
        </w:rPr>
        <w:t>CARES Act</w:t>
      </w:r>
      <w:r>
        <w:rPr>
          <w:rFonts w:ascii="Arial" w:cs="Arial" w:eastAsia="Arial" w:hAnsi="Arial"/>
          <w:sz w:val="16"/>
          <w:szCs w:val="16"/>
          <w:color w:val="auto"/>
        </w:rPr>
        <w:t>”), which was enacted March 27, 2020. The PPP Loan was in the form of a two-year Promissory Note dated May 1, 2020 payable to the Lender (the “</w:t>
      </w:r>
      <w:r>
        <w:rPr>
          <w:rFonts w:ascii="Arial" w:cs="Arial" w:eastAsia="Arial" w:hAnsi="Arial"/>
          <w:sz w:val="16"/>
          <w:szCs w:val="16"/>
          <w:i w:val="1"/>
          <w:iCs w:val="1"/>
          <w:color w:val="auto"/>
        </w:rPr>
        <w:t>PPP Note</w:t>
      </w:r>
      <w:r>
        <w:rPr>
          <w:rFonts w:ascii="Arial" w:cs="Arial" w:eastAsia="Arial" w:hAnsi="Arial"/>
          <w:sz w:val="16"/>
          <w:szCs w:val="16"/>
          <w:color w:val="auto"/>
        </w:rPr>
        <w:t>”), bearing interest at a rate of 1% per annum.</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Under the terms of the CARES Act, the Company subsequently applied for and in December 2020 was granted forgiveness for the PPP Loan plus interest. The Company’s PPP Loan in the amount of $414,362 and accrued interest was forgiven in full by the Small Business Administration. The Company recognized $416,683 in debt forgiveness income as a result of the forgiveness.</w:t>
      </w:r>
    </w:p>
    <w:p>
      <w:pPr>
        <w:spacing w:after="0" w:line="170" w:lineRule="exact"/>
        <w:rPr>
          <w:sz w:val="20"/>
          <w:szCs w:val="20"/>
          <w:color w:val="auto"/>
        </w:rPr>
      </w:pPr>
    </w:p>
    <w:p>
      <w:pPr>
        <w:ind w:left="740" w:hanging="733"/>
        <w:spacing w:after="0"/>
        <w:tabs>
          <w:tab w:leader="none" w:pos="74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24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Company’s authorized capital consists of 150,000,000 shares of Common Stock, par value $0.0001 per share, and 5,000,000 shares of preferred stock, par value $0.0001 per share (“</w:t>
      </w:r>
      <w:r>
        <w:rPr>
          <w:rFonts w:ascii="Arial" w:cs="Arial" w:eastAsia="Arial" w:hAnsi="Arial"/>
          <w:sz w:val="17"/>
          <w:szCs w:val="17"/>
          <w:i w:val="1"/>
          <w:iCs w:val="1"/>
          <w:color w:val="auto"/>
        </w:rPr>
        <w:t>Preferred Stock</w:t>
      </w:r>
      <w:r>
        <w:rPr>
          <w:rFonts w:ascii="Arial" w:cs="Arial" w:eastAsia="Arial" w:hAnsi="Arial"/>
          <w:sz w:val="17"/>
          <w:szCs w:val="17"/>
          <w:color w:val="auto"/>
        </w:rPr>
        <w:t>”).</w:t>
      </w:r>
    </w:p>
    <w:p>
      <w:pPr>
        <w:spacing w:after="0" w:line="16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auto"/>
        </w:rPr>
        <w:t>2019 Follow-On Public Offering</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18, 2019, the Company consummated the June 2019 Follow-On Offering, pursuant to which a total of 1,923,076 Units were offered and sold at the public offering price of $6.50 per Unit. Each Unit sold consisted of one share of Common Stock and one detachable two-year warrant to purchase one share of Common Stock at an exercise price of $6.50 per share. The offering resulted in the Company’s receipt of gross cash proceeds of $12.5 million, or net cash proceeds of $11.35 million after deduction of commissions and offering costs.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connection with the June 2019 Follow-On Offering, the Company also issued placement agent warrants exercisable for 153,846 shares of Common Stock for two years at an exercise price of $8.125 per share. The estimated fair value of these warrants was $205,894, as determined using the Black-Scholes methodology (assuming estimated volatility of 49%, risk-free interest rate of 1.86%, and expected dividend yield of 0.0%). This amount was recorded as both an increase to additional paid in capital and as a non-cash issuance cost of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2020 Follow-On Public Offering</w:t>
      </w:r>
    </w:p>
    <w:p>
      <w:pPr>
        <w:spacing w:after="0" w:line="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 2020, the Company consummated a follow-on public offering (the “</w:t>
      </w:r>
      <w:r>
        <w:rPr>
          <w:rFonts w:ascii="Arial" w:cs="Arial" w:eastAsia="Arial" w:hAnsi="Arial"/>
          <w:sz w:val="16"/>
          <w:szCs w:val="16"/>
          <w:i w:val="1"/>
          <w:iCs w:val="1"/>
          <w:color w:val="auto"/>
        </w:rPr>
        <w:t>Unit Offering</w:t>
      </w:r>
      <w:r>
        <w:rPr>
          <w:rFonts w:ascii="Arial" w:cs="Arial" w:eastAsia="Arial" w:hAnsi="Arial"/>
          <w:sz w:val="16"/>
          <w:szCs w:val="16"/>
          <w:color w:val="auto"/>
        </w:rPr>
        <w:t>”) whereby the Company offered and sold certain securities consisting of one share of Common Stock and one detachable two-year warrant to purchase one share of Common Stock at an exercise price of $6.00 per share (a “Unit”) at the public offering price of $6.00 per Unit. Pursuant to the Unit Offering, the Company sold 2,066,667 Units, resulting in the Company’s receipt of gross cash proceeds of $12.4 million and net cash proceeds of $11.67 million after deduction of commissions and offering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Summary of Stock Purchase Warrants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warrant activity during the years ended December 31, 2020 and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4"/>
              </w:rPr>
              <w:t>Average</w:t>
            </w: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00"/>
              <w:spacing w:after="0" w:line="161" w:lineRule="exact"/>
              <w:rPr>
                <w:sz w:val="20"/>
                <w:szCs w:val="20"/>
                <w:color w:val="auto"/>
              </w:rPr>
            </w:pPr>
            <w:r>
              <w:rPr>
                <w:rFonts w:ascii="Arial" w:cs="Arial" w:eastAsia="Arial" w:hAnsi="Arial"/>
                <w:sz w:val="15"/>
                <w:szCs w:val="15"/>
                <w:b w:val="1"/>
                <w:bCs w:val="1"/>
                <w:color w:val="auto"/>
                <w:w w:val="85"/>
              </w:rPr>
              <w:t>Purchase</w:t>
            </w:r>
          </w:p>
        </w:tc>
      </w:tr>
      <w:tr>
        <w:trPr>
          <w:trHeight w:val="181"/>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5"/>
                <w:szCs w:val="15"/>
                <w:b w:val="1"/>
                <w:bCs w:val="1"/>
                <w:color w:val="auto"/>
              </w:rPr>
              <w:t>Number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Price Per Share</w:t>
            </w:r>
          </w:p>
        </w:tc>
        <w:tc>
          <w:tcPr>
            <w:tcW w:w="14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Shares purchasable under outstanding warrants at December 31,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5,017,181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4.82</w:t>
            </w: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Stock purchase warrants issued</w:t>
            </w:r>
          </w:p>
        </w:tc>
        <w:tc>
          <w:tcPr>
            <w:tcW w:w="1080" w:type="dxa"/>
            <w:vAlign w:val="bottom"/>
          </w:tcPr>
          <w:p>
            <w:pPr>
              <w:jc w:val="right"/>
              <w:spacing w:after="0"/>
              <w:rPr>
                <w:sz w:val="20"/>
                <w:szCs w:val="20"/>
                <w:color w:val="auto"/>
              </w:rPr>
            </w:pPr>
            <w:r>
              <w:rPr>
                <w:rFonts w:ascii="Arial" w:cs="Arial" w:eastAsia="Arial" w:hAnsi="Arial"/>
                <w:sz w:val="17"/>
                <w:szCs w:val="17"/>
                <w:color w:val="auto"/>
              </w:rPr>
              <w:t>2,076,922</w:t>
            </w:r>
          </w:p>
        </w:tc>
        <w:tc>
          <w:tcPr>
            <w:tcW w:w="160" w:type="dxa"/>
            <w:vAlign w:val="bottom"/>
          </w:tcPr>
          <w:p>
            <w:pPr>
              <w:spacing w:after="0"/>
              <w:rPr>
                <w:sz w:val="18"/>
                <w:szCs w:val="18"/>
                <w:color w:val="auto"/>
              </w:rPr>
            </w:pP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6.62</w:t>
            </w:r>
          </w:p>
        </w:tc>
      </w:tr>
      <w:tr>
        <w:trPr>
          <w:trHeight w:val="222"/>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Stock purchase warrants exercised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(473,483)</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4.46</w:t>
            </w:r>
          </w:p>
        </w:tc>
      </w:tr>
      <w:tr>
        <w:trPr>
          <w:trHeight w:val="215"/>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Shares purchasable under outstanding warrants at December 31, 2019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6,620,620</w:t>
            </w: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ind w:right="6"/>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5.41</w:t>
            </w: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Stock purchase warrants issued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2,066,667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Stock purchase warrants exercised</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(5,155,976)</w:t>
            </w: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5.08</w:t>
            </w:r>
          </w:p>
        </w:tc>
      </w:tr>
      <w:tr>
        <w:trPr>
          <w:trHeight w:val="222"/>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Stock purchase warrants cancelled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(324,401)</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w:t>
            </w:r>
          </w:p>
        </w:tc>
      </w:tr>
      <w:tr>
        <w:trPr>
          <w:trHeight w:val="215"/>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Shares purchasable under outstanding warrants at December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3,206,910</w:t>
            </w: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ind w:right="6"/>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6.36</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During the year ended December 31, 2020 the Company received gross proceeds of $26,190,483 from the exercise of 5,155,976 warrants and paid $1,016,645 as an agent fee to facilitate exercise of certain warrants resulting in net proceeds of $25,173,838. Company officer Elwood Norris exercised 333,334 of these warrants at $5.00 per share for cash of $1,666,670.</w:t>
      </w:r>
    </w:p>
    <w:p>
      <w:pPr>
        <w:spacing w:after="0" w:line="176"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During the year ended December 31, 2019 the Company received gross proceeds of $2,112,117 from the exercise of 2,076,922 warrants and paid an agent fee of $28,666 for net proceeds of $2,083,451.</w:t>
      </w:r>
    </w:p>
    <w:p>
      <w:pPr>
        <w:spacing w:after="0" w:line="16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The Company has outstanding Common Stock purchase warrants as of December 31, 2020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840" w:type="dxa"/>
            <w:vAlign w:val="bottom"/>
          </w:tcPr>
          <w:p>
            <w:pPr>
              <w:jc w:val="right"/>
              <w:ind w:right="433"/>
              <w:spacing w:after="0"/>
              <w:rPr>
                <w:sz w:val="20"/>
                <w:szCs w:val="20"/>
                <w:color w:val="auto"/>
              </w:rPr>
            </w:pPr>
            <w:r>
              <w:rPr>
                <w:rFonts w:ascii="Arial" w:cs="Arial" w:eastAsia="Arial" w:hAnsi="Arial"/>
                <w:sz w:val="17"/>
                <w:szCs w:val="17"/>
                <w:b w:val="1"/>
                <w:bCs w:val="1"/>
                <w:color w:val="auto"/>
              </w:rPr>
              <w:t>Number of</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ind w:left="140"/>
              <w:spacing w:after="0"/>
              <w:rPr>
                <w:sz w:val="20"/>
                <w:szCs w:val="20"/>
                <w:color w:val="auto"/>
              </w:rPr>
            </w:pPr>
            <w:r>
              <w:rPr>
                <w:rFonts w:ascii="Arial" w:cs="Arial" w:eastAsia="Arial" w:hAnsi="Arial"/>
                <w:sz w:val="17"/>
                <w:szCs w:val="17"/>
                <w:b w:val="1"/>
                <w:bCs w:val="1"/>
                <w:color w:val="auto"/>
              </w:rPr>
              <w:t>Exercise Price</w:t>
            </w:r>
          </w:p>
        </w:tc>
        <w:tc>
          <w:tcPr>
            <w:tcW w:w="230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560" w:type="dxa"/>
            <w:vAlign w:val="bottom"/>
          </w:tcPr>
          <w:p>
            <w:pPr>
              <w:ind w:left="1720"/>
              <w:spacing w:after="0"/>
              <w:rPr>
                <w:sz w:val="20"/>
                <w:szCs w:val="20"/>
                <w:color w:val="auto"/>
              </w:rPr>
            </w:pPr>
            <w:r>
              <w:rPr>
                <w:rFonts w:ascii="Arial" w:cs="Arial" w:eastAsia="Arial" w:hAnsi="Arial"/>
                <w:sz w:val="17"/>
                <w:szCs w:val="17"/>
                <w:b w:val="1"/>
                <w:bCs w:val="1"/>
                <w:color w:val="auto"/>
              </w:rPr>
              <w:t>Description</w:t>
            </w:r>
          </w:p>
        </w:tc>
        <w:tc>
          <w:tcPr>
            <w:tcW w:w="18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Common Shares</w:t>
            </w: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Per Share</w:t>
            </w:r>
          </w:p>
        </w:tc>
        <w:tc>
          <w:tcPr>
            <w:tcW w:w="22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Expiration Date</w:t>
            </w: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Purchase Warrants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1,661,397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June 18, 2021</w:t>
            </w: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Agent Warrants</w:t>
            </w:r>
          </w:p>
        </w:tc>
        <w:tc>
          <w:tcPr>
            <w:tcW w:w="1840" w:type="dxa"/>
            <w:vAlign w:val="bottom"/>
          </w:tcPr>
          <w:p>
            <w:pPr>
              <w:jc w:val="right"/>
              <w:spacing w:after="0"/>
              <w:rPr>
                <w:sz w:val="20"/>
                <w:szCs w:val="20"/>
                <w:color w:val="auto"/>
              </w:rPr>
            </w:pPr>
            <w:r>
              <w:rPr>
                <w:rFonts w:ascii="Arial" w:cs="Arial" w:eastAsia="Arial" w:hAnsi="Arial"/>
                <w:sz w:val="17"/>
                <w:szCs w:val="17"/>
                <w:color w:val="auto"/>
              </w:rPr>
              <w:t>153,846</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8.125</w:t>
            </w: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0"/>
              </w:rPr>
              <w:t>June 18, 2021</w:t>
            </w:r>
          </w:p>
        </w:tc>
      </w:tr>
      <w:tr>
        <w:trPr>
          <w:trHeight w:val="222"/>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Purchase Warrants</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1,391,667</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22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June 1, 2022</w:t>
            </w: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3,206,910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853"/>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F-19</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12. SHARE-BASED COMPENSATION</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March 31, 2017, the Company adopted and the stockholders approved the 2017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authorizing 2,000,000 shares of Company Common Stock for issuance as stock options and restricted stock units (“</w:t>
      </w:r>
      <w:r>
        <w:rPr>
          <w:rFonts w:ascii="Arial" w:cs="Arial" w:eastAsia="Arial" w:hAnsi="Arial"/>
          <w:sz w:val="17"/>
          <w:szCs w:val="17"/>
          <w:i w:val="1"/>
          <w:iCs w:val="1"/>
          <w:color w:val="auto"/>
        </w:rPr>
        <w:t>RSUs</w:t>
      </w:r>
      <w:r>
        <w:rPr>
          <w:rFonts w:ascii="Arial" w:cs="Arial" w:eastAsia="Arial" w:hAnsi="Arial"/>
          <w:sz w:val="17"/>
          <w:szCs w:val="17"/>
          <w:color w:val="auto"/>
        </w:rPr>
        <w:t>”) to employees, directors or consultants. In May 2019, the stockholders ratified an increase in the Plan authorizing an additional 2,100,000 shares of Common Stock and in June 2020 ratified a further authorization of 1,900,000 shares of Common Stock for a total of 6,000,000 shares subject to the Plan.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 Company generally recognizes share-based compensation expense on the grant date and over the period of vesting or period that services will be provided.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for the years ended December 31, 2019 and 2020: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5"/>
                <w:szCs w:val="15"/>
                <w:b w:val="1"/>
                <w:bCs w:val="1"/>
                <w:color w:val="auto"/>
              </w:rPr>
              <w:t>Weighted Average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8"/>
              </w:rPr>
              <w:t>Options 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8"/>
              </w:rPr>
              <w:t>Remaining</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Aggregate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Common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5"/>
                <w:szCs w:val="15"/>
                <w:b w:val="1"/>
                <w:bCs w:val="1"/>
                <w:color w:val="auto"/>
                <w:w w:val="97"/>
              </w:rPr>
              <w:t>Exercise</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1"/>
              </w:rPr>
              <w:t>Contractual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Intrinsic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Price</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Value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Outstanding December 31, 2018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2,067,500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100" w:type="dxa"/>
            <w:vAlign w:val="bottom"/>
          </w:tcPr>
          <w:p>
            <w:pPr>
              <w:jc w:val="right"/>
              <w:spacing w:after="0"/>
              <w:rPr>
                <w:sz w:val="20"/>
                <w:szCs w:val="20"/>
                <w:color w:val="auto"/>
              </w:rPr>
            </w:pPr>
            <w:r>
              <w:rPr>
                <w:rFonts w:ascii="Arial" w:cs="Arial" w:eastAsia="Arial" w:hAnsi="Arial"/>
                <w:sz w:val="17"/>
                <w:szCs w:val="17"/>
                <w:color w:val="auto"/>
              </w:rPr>
              <w:t>1,000,000</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5.41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(38,750)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7"/>
                <w:szCs w:val="17"/>
                <w:color w:val="auto"/>
              </w:rPr>
              <w:t>Forfeited, cancelled, expired</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Outstanding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2,928,750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100" w:type="dxa"/>
            <w:vAlign w:val="bottom"/>
          </w:tcPr>
          <w:p>
            <w:pPr>
              <w:jc w:val="right"/>
              <w:spacing w:after="0"/>
              <w:rPr>
                <w:sz w:val="20"/>
                <w:szCs w:val="20"/>
                <w:color w:val="auto"/>
              </w:rPr>
            </w:pPr>
            <w:r>
              <w:rPr>
                <w:rFonts w:ascii="Arial" w:cs="Arial" w:eastAsia="Arial" w:hAnsi="Arial"/>
                <w:sz w:val="17"/>
                <w:szCs w:val="17"/>
                <w:color w:val="auto"/>
              </w:rPr>
              <w:t>1,423,836</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6.66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7"/>
                <w:szCs w:val="17"/>
                <w:color w:val="auto"/>
              </w:rPr>
              <w:t>Forfeited, cancelled, expired</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(50,000)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Outstanding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3,931,586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5,176,337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Vested and exercisable at December 31, 2020</w:t>
            </w:r>
          </w:p>
        </w:tc>
        <w:tc>
          <w:tcPr>
            <w:tcW w:w="1100" w:type="dxa"/>
            <w:vAlign w:val="bottom"/>
          </w:tcPr>
          <w:p>
            <w:pPr>
              <w:jc w:val="right"/>
              <w:spacing w:after="0"/>
              <w:rPr>
                <w:sz w:val="20"/>
                <w:szCs w:val="20"/>
                <w:color w:val="auto"/>
              </w:rPr>
            </w:pPr>
            <w:r>
              <w:rPr>
                <w:rFonts w:ascii="Arial" w:cs="Arial" w:eastAsia="Arial" w:hAnsi="Arial"/>
                <w:sz w:val="17"/>
                <w:szCs w:val="17"/>
                <w:color w:val="auto"/>
              </w:rPr>
              <w:t>2,091,084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2.60</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ind w:left="220"/>
              <w:spacing w:after="0"/>
              <w:rPr>
                <w:sz w:val="20"/>
                <w:szCs w:val="20"/>
                <w:color w:val="auto"/>
              </w:rPr>
            </w:pPr>
            <w:r>
              <w:rPr>
                <w:rFonts w:ascii="Arial" w:cs="Arial" w:eastAsia="Arial" w:hAnsi="Arial"/>
                <w:sz w:val="17"/>
                <w:szCs w:val="17"/>
                <w:color w:val="auto"/>
              </w:rPr>
              <w:t>4,965,155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connection with the NSENA acquisition in December 2020 the Company granted 190,000 service-based options and 100,000 performance-based options for future services as employees and consultants at an exercise price of $5.46 per share. Other than the 100,000 performance-based options, all outstanding options at December 31, 2020 are service-based options.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Subsequent to December 31, 2020 a total of 58,500 options were exercised for cash proceeds of $87,750.</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uses the Black-Scholes option pricing model to determine the fair value of the options granted. The following table summarizes the assumptions used to compute the fair value of options granted to employees and non-employees:</w:t>
      </w:r>
    </w:p>
    <w:p>
      <w:pPr>
        <w:spacing w:after="0" w:line="16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080" w:type="dxa"/>
            <w:vAlign w:val="bottom"/>
            <w:gridSpan w:val="5"/>
          </w:tcPr>
          <w:p>
            <w:pPr>
              <w:jc w:val="center"/>
              <w:ind w:left="282"/>
              <w:spacing w:after="0"/>
              <w:rPr>
                <w:sz w:val="20"/>
                <w:szCs w:val="20"/>
                <w:color w:val="auto"/>
              </w:rPr>
            </w:pPr>
            <w:r>
              <w:rPr>
                <w:rFonts w:ascii="Arial" w:cs="Arial" w:eastAsia="Arial" w:hAnsi="Arial"/>
                <w:sz w:val="15"/>
                <w:szCs w:val="15"/>
                <w:b w:val="1"/>
                <w:bCs w:val="1"/>
                <w:color w:val="auto"/>
                <w:w w:val="90"/>
              </w:rPr>
              <w:t>For the Year Ended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86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326"/>
              <w:spacing w:after="0"/>
              <w:rPr>
                <w:sz w:val="20"/>
                <w:szCs w:val="20"/>
                <w:color w:val="auto"/>
              </w:rPr>
            </w:pPr>
            <w:r>
              <w:rPr>
                <w:rFonts w:ascii="Arial" w:cs="Arial" w:eastAsia="Arial" w:hAnsi="Arial"/>
                <w:sz w:val="15"/>
                <w:szCs w:val="15"/>
                <w:b w:val="1"/>
                <w:bCs w:val="1"/>
                <w:color w:val="auto"/>
                <w:w w:val="88"/>
              </w:rPr>
              <w:t>December 31,</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86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Expected stock price volatility</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8"/>
                <w:szCs w:val="18"/>
                <w:color w:val="auto"/>
              </w:rPr>
            </w:pPr>
          </w:p>
        </w:tc>
      </w:tr>
      <w:tr>
        <w:trPr>
          <w:trHeight w:val="215"/>
        </w:trPr>
        <w:tc>
          <w:tcPr>
            <w:tcW w:w="8680" w:type="dxa"/>
            <w:vAlign w:val="bottom"/>
          </w:tcPr>
          <w:p>
            <w:pPr>
              <w:ind w:left="340"/>
              <w:spacing w:after="0"/>
              <w:rPr>
                <w:sz w:val="20"/>
                <w:szCs w:val="20"/>
                <w:color w:val="auto"/>
              </w:rPr>
            </w:pPr>
            <w:r>
              <w:rPr>
                <w:rFonts w:ascii="Arial" w:cs="Arial" w:eastAsia="Arial" w:hAnsi="Arial"/>
                <w:sz w:val="17"/>
                <w:szCs w:val="17"/>
                <w:color w:val="auto"/>
              </w:rPr>
              <w:t>Risk-free interest rate</w:t>
            </w:r>
          </w:p>
        </w:tc>
        <w:tc>
          <w:tcPr>
            <w:tcW w:w="7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w w:val="95"/>
              </w:rPr>
              <w:t>0.38%</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95"/>
              </w:rPr>
              <w:t>2.41%</w:t>
            </w:r>
          </w:p>
        </w:tc>
        <w:tc>
          <w:tcPr>
            <w:tcW w:w="20" w:type="dxa"/>
            <w:vAlign w:val="bottom"/>
          </w:tcPr>
          <w:p>
            <w:pPr>
              <w:spacing w:after="0"/>
              <w:rPr>
                <w:sz w:val="18"/>
                <w:szCs w:val="18"/>
                <w:color w:val="auto"/>
              </w:rPr>
            </w:pPr>
          </w:p>
        </w:tc>
      </w:tr>
      <w:tr>
        <w:trPr>
          <w:trHeight w:val="215"/>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Forfeiture rate</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r>
      <w:tr>
        <w:trPr>
          <w:trHeight w:val="215"/>
        </w:trPr>
        <w:tc>
          <w:tcPr>
            <w:tcW w:w="8680" w:type="dxa"/>
            <w:vAlign w:val="bottom"/>
          </w:tcPr>
          <w:p>
            <w:pPr>
              <w:ind w:left="340"/>
              <w:spacing w:after="0"/>
              <w:rPr>
                <w:sz w:val="20"/>
                <w:szCs w:val="20"/>
                <w:color w:val="auto"/>
              </w:rPr>
            </w:pPr>
            <w:r>
              <w:rPr>
                <w:rFonts w:ascii="Arial" w:cs="Arial" w:eastAsia="Arial" w:hAnsi="Arial"/>
                <w:sz w:val="17"/>
                <w:szCs w:val="17"/>
                <w:color w:val="auto"/>
              </w:rPr>
              <w:t>Expected dividend yield</w:t>
            </w:r>
          </w:p>
        </w:tc>
        <w:tc>
          <w:tcPr>
            <w:tcW w:w="7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r>
      <w:tr>
        <w:trPr>
          <w:trHeight w:val="215"/>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Expected life of options - years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3.50</w:t>
            </w:r>
          </w:p>
        </w:tc>
        <w:tc>
          <w:tcPr>
            <w:tcW w:w="20" w:type="dxa"/>
            <w:vAlign w:val="bottom"/>
          </w:tcPr>
          <w:p>
            <w:pPr>
              <w:spacing w:after="0"/>
              <w:rPr>
                <w:sz w:val="18"/>
                <w:szCs w:val="18"/>
                <w:color w:val="auto"/>
              </w:rPr>
            </w:pPr>
          </w:p>
        </w:tc>
      </w:tr>
      <w:tr>
        <w:trPr>
          <w:trHeight w:val="240"/>
        </w:trPr>
        <w:tc>
          <w:tcPr>
            <w:tcW w:w="8680" w:type="dxa"/>
            <w:vAlign w:val="bottom"/>
          </w:tcPr>
          <w:p>
            <w:pPr>
              <w:ind w:left="340"/>
              <w:spacing w:after="0"/>
              <w:rPr>
                <w:sz w:val="20"/>
                <w:szCs w:val="20"/>
                <w:color w:val="auto"/>
              </w:rPr>
            </w:pPr>
            <w:r>
              <w:rPr>
                <w:rFonts w:ascii="Arial" w:cs="Arial" w:eastAsia="Arial" w:hAnsi="Arial"/>
                <w:sz w:val="17"/>
                <w:szCs w:val="17"/>
                <w:color w:val="auto"/>
              </w:rPr>
              <w:t>Weighted-average fair value of options granted</w:t>
            </w:r>
          </w:p>
        </w:tc>
        <w:tc>
          <w:tcPr>
            <w:tcW w:w="740" w:type="dxa"/>
            <w:vAlign w:val="bottom"/>
          </w:tcPr>
          <w:p>
            <w:pPr>
              <w:jc w:val="right"/>
              <w:ind w:right="562"/>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6"/>
              </w:rPr>
              <w:t>2.90</w:t>
            </w:r>
          </w:p>
        </w:tc>
        <w:tc>
          <w:tcPr>
            <w:tcW w:w="200" w:type="dxa"/>
            <w:vAlign w:val="bottom"/>
          </w:tcPr>
          <w:p>
            <w:pPr>
              <w:spacing w:after="0"/>
              <w:rPr>
                <w:sz w:val="20"/>
                <w:szCs w:val="20"/>
                <w:color w:val="auto"/>
              </w:rPr>
            </w:pPr>
          </w:p>
        </w:tc>
        <w:tc>
          <w:tcPr>
            <w:tcW w:w="800" w:type="dxa"/>
            <w:vAlign w:val="bottom"/>
            <w:gridSpan w:val="2"/>
          </w:tcPr>
          <w:p>
            <w:pPr>
              <w:jc w:val="right"/>
              <w:ind w:right="566"/>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2.06</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w:t>
      </w:r>
    </w:p>
    <w:p>
      <w:pPr>
        <w:spacing w:after="0" w:line="18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stock options outstanding at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center"/>
              <w:ind w:left="266"/>
              <w:spacing w:after="0"/>
              <w:rPr>
                <w:sz w:val="20"/>
                <w:szCs w:val="20"/>
                <w:color w:val="auto"/>
              </w:rPr>
            </w:pPr>
            <w:r>
              <w:rPr>
                <w:rFonts w:ascii="Arial" w:cs="Arial" w:eastAsia="Arial" w:hAnsi="Arial"/>
                <w:sz w:val="15"/>
                <w:szCs w:val="15"/>
                <w:b w:val="1"/>
                <w:bCs w:val="1"/>
                <w:color w:val="auto"/>
                <w:w w:val="88"/>
              </w:rPr>
              <w:t>Weighted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center"/>
              <w:ind w:left="266"/>
              <w:spacing w:after="0" w:line="161" w:lineRule="exact"/>
              <w:rPr>
                <w:sz w:val="20"/>
                <w:szCs w:val="20"/>
                <w:color w:val="auto"/>
              </w:rPr>
            </w:pPr>
            <w:r>
              <w:rPr>
                <w:rFonts w:ascii="Arial" w:cs="Arial" w:eastAsia="Arial" w:hAnsi="Arial"/>
                <w:sz w:val="15"/>
                <w:szCs w:val="15"/>
                <w:b w:val="1"/>
                <w:bCs w:val="1"/>
                <w:color w:val="auto"/>
                <w:w w:val="87"/>
              </w:rPr>
              <w:t>Average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640"/>
              <w:spacing w:after="0" w:line="161" w:lineRule="exact"/>
              <w:rPr>
                <w:sz w:val="20"/>
                <w:szCs w:val="20"/>
                <w:color w:val="auto"/>
              </w:rPr>
            </w:pPr>
            <w:r>
              <w:rPr>
                <w:rFonts w:ascii="Arial" w:cs="Arial" w:eastAsia="Arial" w:hAnsi="Arial"/>
                <w:sz w:val="15"/>
                <w:szCs w:val="15"/>
                <w:b w:val="1"/>
                <w:bCs w:val="1"/>
                <w:color w:val="auto"/>
                <w:w w:val="88"/>
              </w:rPr>
              <w:t>Weighted</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460"/>
              <w:spacing w:after="0" w:line="161" w:lineRule="exact"/>
              <w:rPr>
                <w:sz w:val="20"/>
                <w:szCs w:val="20"/>
                <w:color w:val="auto"/>
              </w:rPr>
            </w:pPr>
            <w:r>
              <w:rPr>
                <w:rFonts w:ascii="Arial" w:cs="Arial" w:eastAsia="Arial" w:hAnsi="Arial"/>
                <w:sz w:val="15"/>
                <w:szCs w:val="15"/>
                <w:b w:val="1"/>
                <w:bCs w:val="1"/>
                <w:color w:val="auto"/>
                <w:w w:val="88"/>
              </w:rPr>
              <w:t>Weighted</w:t>
            </w:r>
          </w:p>
        </w:tc>
      </w:tr>
      <w:tr>
        <w:trPr>
          <w:trHeight w:val="16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center"/>
              <w:ind w:left="266"/>
              <w:spacing w:after="0" w:line="161" w:lineRule="exact"/>
              <w:rPr>
                <w:sz w:val="20"/>
                <w:szCs w:val="20"/>
                <w:color w:val="auto"/>
              </w:rPr>
            </w:pPr>
            <w:r>
              <w:rPr>
                <w:rFonts w:ascii="Arial" w:cs="Arial" w:eastAsia="Arial" w:hAnsi="Arial"/>
                <w:sz w:val="15"/>
                <w:szCs w:val="15"/>
                <w:b w:val="1"/>
                <w:bCs w:val="1"/>
                <w:color w:val="auto"/>
                <w:w w:val="88"/>
              </w:rPr>
              <w:t>Remaining</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640"/>
              <w:spacing w:after="0" w:line="161" w:lineRule="exact"/>
              <w:rPr>
                <w:sz w:val="20"/>
                <w:szCs w:val="20"/>
                <w:color w:val="auto"/>
              </w:rPr>
            </w:pPr>
            <w:r>
              <w:rPr>
                <w:rFonts w:ascii="Arial" w:cs="Arial" w:eastAsia="Arial" w:hAnsi="Arial"/>
                <w:sz w:val="15"/>
                <w:szCs w:val="15"/>
                <w:b w:val="1"/>
                <w:bCs w:val="1"/>
                <w:color w:val="auto"/>
                <w:w w:val="87"/>
              </w:rPr>
              <w:t>Average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460"/>
              <w:spacing w:after="0" w:line="161" w:lineRule="exact"/>
              <w:rPr>
                <w:sz w:val="20"/>
                <w:szCs w:val="20"/>
                <w:color w:val="auto"/>
              </w:rPr>
            </w:pPr>
            <w:r>
              <w:rPr>
                <w:rFonts w:ascii="Arial" w:cs="Arial" w:eastAsia="Arial" w:hAnsi="Arial"/>
                <w:sz w:val="15"/>
                <w:szCs w:val="15"/>
                <w:b w:val="1"/>
                <w:bCs w:val="1"/>
                <w:color w:val="auto"/>
                <w:w w:val="87"/>
              </w:rPr>
              <w:t>Average</w:t>
            </w:r>
          </w:p>
        </w:tc>
      </w:tr>
      <w:tr>
        <w:trPr>
          <w:trHeight w:val="16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560"/>
              <w:spacing w:after="0" w:line="161" w:lineRule="exact"/>
              <w:rPr>
                <w:sz w:val="20"/>
                <w:szCs w:val="20"/>
                <w:color w:val="auto"/>
              </w:rPr>
            </w:pPr>
            <w:r>
              <w:rPr>
                <w:rFonts w:ascii="Arial" w:cs="Arial" w:eastAsia="Arial" w:hAnsi="Arial"/>
                <w:sz w:val="15"/>
                <w:szCs w:val="15"/>
                <w:b w:val="1"/>
                <w:bCs w:val="1"/>
                <w:color w:val="auto"/>
                <w:w w:val="87"/>
              </w:rPr>
              <w:t>Range of</w:t>
            </w:r>
          </w:p>
        </w:tc>
        <w:tc>
          <w:tcPr>
            <w:tcW w:w="18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1140" w:type="dxa"/>
            <w:vAlign w:val="bottom"/>
          </w:tcPr>
          <w:p>
            <w:pPr>
              <w:jc w:val="center"/>
              <w:ind w:left="266"/>
              <w:spacing w:after="0" w:line="161" w:lineRule="exact"/>
              <w:rPr>
                <w:sz w:val="20"/>
                <w:szCs w:val="20"/>
                <w:color w:val="auto"/>
              </w:rPr>
            </w:pPr>
            <w:r>
              <w:rPr>
                <w:rFonts w:ascii="Arial" w:cs="Arial" w:eastAsia="Arial" w:hAnsi="Arial"/>
                <w:sz w:val="15"/>
                <w:szCs w:val="15"/>
                <w:b w:val="1"/>
                <w:bCs w:val="1"/>
                <w:color w:val="auto"/>
                <w:w w:val="91"/>
              </w:rPr>
              <w:t>Contractual</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640"/>
              <w:spacing w:after="0" w:line="161" w:lineRule="exact"/>
              <w:rPr>
                <w:sz w:val="20"/>
                <w:szCs w:val="20"/>
                <w:color w:val="auto"/>
              </w:rPr>
            </w:pPr>
            <w:r>
              <w:rPr>
                <w:rFonts w:ascii="Arial" w:cs="Arial" w:eastAsia="Arial" w:hAnsi="Arial"/>
                <w:sz w:val="15"/>
                <w:szCs w:val="15"/>
                <w:b w:val="1"/>
                <w:bCs w:val="1"/>
                <w:color w:val="auto"/>
                <w:w w:val="84"/>
              </w:rPr>
              <w:t>Exercise</w:t>
            </w:r>
          </w:p>
        </w:tc>
        <w:tc>
          <w:tcPr>
            <w:tcW w:w="1520" w:type="dxa"/>
            <w:vAlign w:val="bottom"/>
          </w:tcPr>
          <w:p>
            <w:pPr>
              <w:jc w:val="right"/>
              <w:ind w:right="417"/>
              <w:spacing w:after="0" w:line="161"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460"/>
              <w:spacing w:after="0" w:line="161" w:lineRule="exact"/>
              <w:rPr>
                <w:sz w:val="20"/>
                <w:szCs w:val="20"/>
                <w:color w:val="auto"/>
              </w:rPr>
            </w:pPr>
            <w:r>
              <w:rPr>
                <w:rFonts w:ascii="Arial" w:cs="Arial" w:eastAsia="Arial" w:hAnsi="Arial"/>
                <w:sz w:val="15"/>
                <w:szCs w:val="15"/>
                <w:b w:val="1"/>
                <w:bCs w:val="1"/>
                <w:color w:val="auto"/>
                <w:w w:val="84"/>
              </w:rPr>
              <w:t>Exercise</w:t>
            </w:r>
          </w:p>
        </w:tc>
      </w:tr>
      <w:tr>
        <w:trPr>
          <w:trHeight w:val="181"/>
        </w:trPr>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w w:val="86"/>
              </w:rPr>
              <w:t>Exercise Prices</w:t>
            </w:r>
          </w:p>
        </w:tc>
        <w:tc>
          <w:tcPr>
            <w:tcW w:w="380" w:type="dxa"/>
            <w:vAlign w:val="bottom"/>
          </w:tcPr>
          <w:p>
            <w:pPr>
              <w:spacing w:after="0"/>
              <w:rPr>
                <w:sz w:val="15"/>
                <w:szCs w:val="15"/>
                <w:color w:val="auto"/>
              </w:rPr>
            </w:pPr>
          </w:p>
        </w:tc>
        <w:tc>
          <w:tcPr>
            <w:tcW w:w="1500" w:type="dxa"/>
            <w:vAlign w:val="bottom"/>
            <w:tcBorders>
              <w:bottom w:val="single" w:sz="8" w:color="auto"/>
            </w:tcBorders>
          </w:tcPr>
          <w:p>
            <w:pPr>
              <w:jc w:val="right"/>
              <w:ind w:right="277"/>
              <w:spacing w:after="0"/>
              <w:rPr>
                <w:sz w:val="20"/>
                <w:szCs w:val="20"/>
                <w:color w:val="auto"/>
              </w:rPr>
            </w:pPr>
            <w:r>
              <w:rPr>
                <w:rFonts w:ascii="Arial" w:cs="Arial" w:eastAsia="Arial" w:hAnsi="Arial"/>
                <w:sz w:val="15"/>
                <w:szCs w:val="15"/>
                <w:b w:val="1"/>
                <w:bCs w:val="1"/>
                <w:color w:val="auto"/>
              </w:rPr>
              <w:t>Outstanding</w:t>
            </w:r>
          </w:p>
        </w:tc>
        <w:tc>
          <w:tcPr>
            <w:tcW w:w="380" w:type="dxa"/>
            <w:vAlign w:val="bottom"/>
          </w:tcPr>
          <w:p>
            <w:pPr>
              <w:spacing w:after="0"/>
              <w:rPr>
                <w:sz w:val="15"/>
                <w:szCs w:val="15"/>
                <w:color w:val="auto"/>
              </w:rPr>
            </w:pPr>
          </w:p>
        </w:tc>
        <w:tc>
          <w:tcPr>
            <w:tcW w:w="1140" w:type="dxa"/>
            <w:vAlign w:val="bottom"/>
            <w:tcBorders>
              <w:bottom w:val="single" w:sz="8" w:color="auto"/>
            </w:tcBorders>
          </w:tcPr>
          <w:p>
            <w:pPr>
              <w:jc w:val="center"/>
              <w:ind w:left="246"/>
              <w:spacing w:after="0"/>
              <w:rPr>
                <w:sz w:val="20"/>
                <w:szCs w:val="20"/>
                <w:color w:val="auto"/>
              </w:rPr>
            </w:pPr>
            <w:r>
              <w:rPr>
                <w:rFonts w:ascii="Arial" w:cs="Arial" w:eastAsia="Arial" w:hAnsi="Arial"/>
                <w:sz w:val="15"/>
                <w:szCs w:val="15"/>
                <w:b w:val="1"/>
                <w:bCs w:val="1"/>
                <w:color w:val="auto"/>
                <w:w w:val="90"/>
              </w:rPr>
              <w:t>Life (Years)</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5"/>
                <w:szCs w:val="15"/>
                <w:b w:val="1"/>
                <w:bCs w:val="1"/>
                <w:color w:val="auto"/>
                <w:w w:val="87"/>
              </w:rPr>
              <w:t>Price</w:t>
            </w:r>
          </w:p>
        </w:tc>
        <w:tc>
          <w:tcPr>
            <w:tcW w:w="360" w:type="dxa"/>
            <w:vAlign w:val="bottom"/>
          </w:tcPr>
          <w:p>
            <w:pPr>
              <w:spacing w:after="0"/>
              <w:rPr>
                <w:sz w:val="15"/>
                <w:szCs w:val="15"/>
                <w:color w:val="auto"/>
              </w:rPr>
            </w:pPr>
          </w:p>
        </w:tc>
        <w:tc>
          <w:tcPr>
            <w:tcW w:w="152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Exercisable</w:t>
            </w: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5"/>
                <w:szCs w:val="15"/>
                <w:b w:val="1"/>
                <w:bCs w:val="1"/>
                <w:color w:val="auto"/>
                <w:w w:val="87"/>
              </w:rPr>
              <w:t>Price</w:t>
            </w:r>
          </w:p>
        </w:tc>
        <w:tc>
          <w:tcPr>
            <w:tcW w:w="180" w:type="dxa"/>
            <w:vAlign w:val="bottom"/>
          </w:tcPr>
          <w:p>
            <w:pPr>
              <w:spacing w:after="0"/>
              <w:rPr>
                <w:sz w:val="15"/>
                <w:szCs w:val="15"/>
                <w:color w:val="auto"/>
              </w:rPr>
            </w:pPr>
          </w:p>
        </w:tc>
      </w:tr>
      <w:tr>
        <w:trPr>
          <w:trHeight w:val="215"/>
        </w:trPr>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1.50</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1,422,750</w:t>
            </w: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2.39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1,422,750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w:t>
            </w:r>
          </w:p>
        </w:tc>
      </w:tr>
      <w:tr>
        <w:trPr>
          <w:trHeight w:val="215"/>
        </w:trPr>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380"/>
              <w:spacing w:after="0"/>
              <w:rPr>
                <w:sz w:val="20"/>
                <w:szCs w:val="20"/>
                <w:color w:val="auto"/>
              </w:rPr>
            </w:pPr>
            <w:r>
              <w:rPr>
                <w:rFonts w:ascii="Arial" w:cs="Arial" w:eastAsia="Arial" w:hAnsi="Arial"/>
                <w:sz w:val="17"/>
                <w:szCs w:val="17"/>
                <w:color w:val="auto"/>
              </w:rPr>
              <w:t>3.15 - $3.61</w:t>
            </w:r>
          </w:p>
        </w:tc>
        <w:tc>
          <w:tcPr>
            <w:tcW w:w="1880" w:type="dxa"/>
            <w:vAlign w:val="bottom"/>
            <w:gridSpan w:val="2"/>
          </w:tcPr>
          <w:p>
            <w:pPr>
              <w:jc w:val="right"/>
              <w:ind w:right="380"/>
              <w:spacing w:after="0"/>
              <w:rPr>
                <w:sz w:val="20"/>
                <w:szCs w:val="20"/>
                <w:color w:val="auto"/>
              </w:rPr>
            </w:pPr>
            <w:r>
              <w:rPr>
                <w:rFonts w:ascii="Arial" w:cs="Arial" w:eastAsia="Arial" w:hAnsi="Arial"/>
                <w:sz w:val="17"/>
                <w:szCs w:val="17"/>
                <w:color w:val="auto"/>
              </w:rPr>
              <w:t>85,000</w:t>
            </w:r>
          </w:p>
        </w:tc>
        <w:tc>
          <w:tcPr>
            <w:tcW w:w="11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w w:val="96"/>
              </w:rPr>
              <w:t>2.86</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360"/>
              <w:spacing w:after="0"/>
              <w:rPr>
                <w:sz w:val="20"/>
                <w:szCs w:val="20"/>
                <w:color w:val="auto"/>
              </w:rPr>
            </w:pPr>
            <w:r>
              <w:rPr>
                <w:rFonts w:ascii="Arial" w:cs="Arial" w:eastAsia="Arial" w:hAnsi="Arial"/>
                <w:sz w:val="17"/>
                <w:szCs w:val="17"/>
                <w:color w:val="auto"/>
              </w:rPr>
              <w:t>3.75</w:t>
            </w:r>
          </w:p>
        </w:tc>
        <w:tc>
          <w:tcPr>
            <w:tcW w:w="1520" w:type="dxa"/>
            <w:vAlign w:val="bottom"/>
          </w:tcPr>
          <w:p>
            <w:pPr>
              <w:jc w:val="right"/>
              <w:spacing w:after="0"/>
              <w:rPr>
                <w:sz w:val="20"/>
                <w:szCs w:val="20"/>
                <w:color w:val="auto"/>
              </w:rPr>
            </w:pPr>
            <w:r>
              <w:rPr>
                <w:rFonts w:ascii="Arial" w:cs="Arial" w:eastAsia="Arial" w:hAnsi="Arial"/>
                <w:sz w:val="17"/>
                <w:szCs w:val="17"/>
                <w:color w:val="auto"/>
              </w:rPr>
              <w:t>85,000</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3.75</w:t>
            </w:r>
          </w:p>
        </w:tc>
      </w:tr>
      <w:tr>
        <w:trPr>
          <w:trHeight w:val="215"/>
        </w:trPr>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4.26 - $6.58</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2,073,836</w:t>
            </w: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5.89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5.29</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583,334</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5.41</w:t>
            </w:r>
          </w:p>
        </w:tc>
      </w:tr>
      <w:tr>
        <w:trPr>
          <w:trHeight w:val="222"/>
        </w:trPr>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380"/>
              <w:spacing w:after="0"/>
              <w:rPr>
                <w:sz w:val="20"/>
                <w:szCs w:val="20"/>
                <w:color w:val="auto"/>
              </w:rPr>
            </w:pPr>
            <w:r>
              <w:rPr>
                <w:rFonts w:ascii="Arial" w:cs="Arial" w:eastAsia="Arial" w:hAnsi="Arial"/>
                <w:sz w:val="17"/>
                <w:szCs w:val="17"/>
                <w:color w:val="auto"/>
              </w:rPr>
              <w:t>11.22</w:t>
            </w:r>
          </w:p>
        </w:tc>
        <w:tc>
          <w:tcPr>
            <w:tcW w:w="1880" w:type="dxa"/>
            <w:vAlign w:val="bottom"/>
            <w:gridSpan w:val="2"/>
          </w:tcPr>
          <w:p>
            <w:pPr>
              <w:jc w:val="right"/>
              <w:ind w:right="380"/>
              <w:spacing w:after="0"/>
              <w:rPr>
                <w:sz w:val="20"/>
                <w:szCs w:val="20"/>
                <w:color w:val="auto"/>
              </w:rPr>
            </w:pPr>
            <w:r>
              <w:rPr>
                <w:rFonts w:ascii="Arial" w:cs="Arial" w:eastAsia="Arial" w:hAnsi="Arial"/>
                <w:sz w:val="17"/>
                <w:szCs w:val="17"/>
                <w:color w:val="auto"/>
              </w:rPr>
              <w:t>350,000</w:t>
            </w:r>
          </w:p>
        </w:tc>
        <w:tc>
          <w:tcPr>
            <w:tcW w:w="114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w w:val="96"/>
              </w:rPr>
              <w:t>9.58</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360"/>
              <w:spacing w:after="0"/>
              <w:rPr>
                <w:sz w:val="20"/>
                <w:szCs w:val="20"/>
                <w:color w:val="auto"/>
              </w:rPr>
            </w:pPr>
            <w:r>
              <w:rPr>
                <w:rFonts w:ascii="Arial" w:cs="Arial" w:eastAsia="Arial" w:hAnsi="Arial"/>
                <w:sz w:val="17"/>
                <w:szCs w:val="17"/>
                <w:color w:val="auto"/>
              </w:rPr>
              <w:t>11.22</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Units</w:t>
      </w:r>
    </w:p>
    <w:p>
      <w:pPr>
        <w:spacing w:after="0" w:line="26"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Plan provides for the grant of restricted stock units (“</w:t>
      </w:r>
      <w:r>
        <w:rPr>
          <w:rFonts w:ascii="Arial" w:cs="Arial" w:eastAsia="Arial" w:hAnsi="Arial"/>
          <w:sz w:val="16"/>
          <w:szCs w:val="16"/>
          <w:i w:val="1"/>
          <w:iCs w:val="1"/>
          <w:color w:val="auto"/>
        </w:rPr>
        <w:t>RSUs”</w:t>
      </w:r>
      <w:r>
        <w:rPr>
          <w:rFonts w:ascii="Arial" w:cs="Arial" w:eastAsia="Arial" w:hAnsi="Arial"/>
          <w:sz w:val="16"/>
          <w:szCs w:val="16"/>
          <w:color w:val="auto"/>
        </w:rPr>
        <w:t>). RSUs are settled in shares of the Company’s Common Stock as the RSUs become vested. In January 2019 the Company granted 263,087 service-based RSUs to officers and employees vesting over a period of three years. In August and September 2019, the Company granted 45,000 service-based RSUs to employees vesting over a period of three years. In January 2020 the Company granted 73,992 service-based RSUs to officers and directors vesting over a period of three years. In April 2020 the Company granted 122,222 service-based RSUs to employees vesting over a period of three years. Also, in April 2020 the Company granted an officer 35,211 performance-based RSUs. During the period July 2020 to December 2020 the Company granted 114,660 service-based RSU’s to employees vesting over three and four years.</w:t>
      </w:r>
    </w:p>
    <w:p>
      <w:pPr>
        <w:spacing w:after="0" w:line="174"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60"/>
          </w:cols>
          <w:pgMar w:left="320" w:top="610" w:right="31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The following table summarizes RSU activity under the Plan for the years ended December 31, 2019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7"/>
              <w:spacing w:after="0"/>
              <w:rPr>
                <w:sz w:val="20"/>
                <w:szCs w:val="20"/>
                <w:color w:val="auto"/>
              </w:rPr>
            </w:pPr>
            <w:r>
              <w:rPr>
                <w:rFonts w:ascii="Arial" w:cs="Arial" w:eastAsia="Arial" w:hAnsi="Arial"/>
                <w:sz w:val="15"/>
                <w:szCs w:val="15"/>
                <w:b w:val="1"/>
                <w:bCs w:val="1"/>
                <w:color w:val="auto"/>
                <w:w w:val="87"/>
              </w:rPr>
              <w:t>Average</w:t>
            </w:r>
          </w:p>
        </w:tc>
        <w:tc>
          <w:tcPr>
            <w:tcW w:w="1480" w:type="dxa"/>
            <w:vAlign w:val="bottom"/>
            <w:gridSpan w:val="3"/>
          </w:tcPr>
          <w:p>
            <w:pPr>
              <w:jc w:val="center"/>
              <w:ind w:left="66"/>
              <w:spacing w:after="0"/>
              <w:rPr>
                <w:sz w:val="20"/>
                <w:szCs w:val="20"/>
                <w:color w:val="auto"/>
              </w:rPr>
            </w:pPr>
            <w:r>
              <w:rPr>
                <w:rFonts w:ascii="Arial" w:cs="Arial" w:eastAsia="Arial" w:hAnsi="Arial"/>
                <w:sz w:val="15"/>
                <w:szCs w:val="15"/>
                <w:b w:val="1"/>
                <w:bCs w:val="1"/>
                <w:color w:val="auto"/>
                <w:w w:val="87"/>
              </w:rPr>
              <w:t>Weighted Average</w:t>
            </w:r>
          </w:p>
        </w:tc>
      </w:tr>
      <w:tr>
        <w:trPr>
          <w:trHeight w:val="215"/>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Service-Based</w:t>
            </w:r>
          </w:p>
        </w:tc>
        <w:tc>
          <w:tcPr>
            <w:tcW w:w="140" w:type="dxa"/>
            <w:vAlign w:val="bottom"/>
          </w:tcPr>
          <w:p>
            <w:pPr>
              <w:spacing w:after="0"/>
              <w:rPr>
                <w:sz w:val="18"/>
                <w:szCs w:val="18"/>
                <w:color w:val="auto"/>
              </w:rPr>
            </w:pPr>
          </w:p>
        </w:tc>
        <w:tc>
          <w:tcPr>
            <w:tcW w:w="940" w:type="dxa"/>
            <w:vAlign w:val="bottom"/>
          </w:tcPr>
          <w:p>
            <w:pPr>
              <w:jc w:val="center"/>
              <w:ind w:right="57"/>
              <w:spacing w:after="0"/>
              <w:rPr>
                <w:sz w:val="20"/>
                <w:szCs w:val="20"/>
                <w:color w:val="auto"/>
              </w:rPr>
            </w:pPr>
            <w:r>
              <w:rPr>
                <w:rFonts w:ascii="Arial" w:cs="Arial" w:eastAsia="Arial" w:hAnsi="Arial"/>
                <w:sz w:val="15"/>
                <w:szCs w:val="15"/>
                <w:b w:val="1"/>
                <w:bCs w:val="1"/>
                <w:color w:val="auto"/>
                <w:w w:val="93"/>
              </w:rPr>
              <w:t>Grant Date</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4"/>
              </w:rPr>
              <w:t>Vesting</w:t>
            </w:r>
          </w:p>
        </w:tc>
      </w:tr>
      <w:tr>
        <w:trPr>
          <w:trHeight w:val="232"/>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RSU's</w:t>
            </w:r>
          </w:p>
        </w:tc>
        <w:tc>
          <w:tcPr>
            <w:tcW w:w="140" w:type="dxa"/>
            <w:vAlign w:val="bottom"/>
          </w:tcPr>
          <w:p>
            <w:pPr>
              <w:spacing w:after="0"/>
              <w:rPr>
                <w:sz w:val="20"/>
                <w:szCs w:val="20"/>
                <w:color w:val="auto"/>
              </w:rPr>
            </w:pPr>
          </w:p>
        </w:tc>
        <w:tc>
          <w:tcPr>
            <w:tcW w:w="940" w:type="dxa"/>
            <w:vAlign w:val="bottom"/>
          </w:tcPr>
          <w:p>
            <w:pPr>
              <w:jc w:val="center"/>
              <w:ind w:right="37"/>
              <w:spacing w:after="0"/>
              <w:rPr>
                <w:sz w:val="20"/>
                <w:szCs w:val="20"/>
                <w:color w:val="auto"/>
              </w:rPr>
            </w:pPr>
            <w:r>
              <w:rPr>
                <w:rFonts w:ascii="Arial" w:cs="Arial" w:eastAsia="Arial" w:hAnsi="Arial"/>
                <w:sz w:val="15"/>
                <w:szCs w:val="15"/>
                <w:b w:val="1"/>
                <w:bCs w:val="1"/>
                <w:color w:val="auto"/>
                <w:w w:val="91"/>
              </w:rPr>
              <w:t>Fair Value</w:t>
            </w:r>
          </w:p>
        </w:tc>
        <w:tc>
          <w:tcPr>
            <w:tcW w:w="28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Period</w:t>
            </w:r>
          </w:p>
        </w:tc>
      </w:tr>
      <w:tr>
        <w:trPr>
          <w:trHeight w:val="215"/>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Unvested at December 31, 2018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80"/>
              <w:spacing w:after="0"/>
              <w:rPr>
                <w:sz w:val="20"/>
                <w:szCs w:val="20"/>
                <w:color w:val="auto"/>
              </w:rPr>
            </w:pPr>
            <w:r>
              <w:rPr>
                <w:rFonts w:ascii="Arial" w:cs="Arial" w:eastAsia="Arial" w:hAnsi="Arial"/>
                <w:sz w:val="17"/>
                <w:szCs w:val="17"/>
                <w:color w:val="auto"/>
              </w:rPr>
              <w:t>Granted - service based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308,087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6.77</w:t>
            </w:r>
          </w:p>
        </w:tc>
        <w:tc>
          <w:tcPr>
            <w:tcW w:w="28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3.00 Years</w:t>
            </w:r>
          </w:p>
        </w:tc>
      </w:tr>
      <w:tr>
        <w:trPr>
          <w:trHeight w:val="215"/>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Unvested at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20" w:type="dxa"/>
            <w:vAlign w:val="bottom"/>
          </w:tcPr>
          <w:p>
            <w:pPr>
              <w:ind w:left="80"/>
              <w:spacing w:after="0"/>
              <w:rPr>
                <w:sz w:val="20"/>
                <w:szCs w:val="20"/>
                <w:color w:val="auto"/>
              </w:rPr>
            </w:pPr>
            <w:r>
              <w:rPr>
                <w:rFonts w:ascii="Arial" w:cs="Arial" w:eastAsia="Arial" w:hAnsi="Arial"/>
                <w:sz w:val="17"/>
                <w:szCs w:val="17"/>
                <w:color w:val="auto"/>
              </w:rPr>
              <w:t>Granted - service based</w:t>
            </w:r>
          </w:p>
        </w:tc>
        <w:tc>
          <w:tcPr>
            <w:tcW w:w="1080" w:type="dxa"/>
            <w:vAlign w:val="bottom"/>
          </w:tcPr>
          <w:p>
            <w:pPr>
              <w:jc w:val="right"/>
              <w:spacing w:after="0"/>
              <w:rPr>
                <w:sz w:val="20"/>
                <w:szCs w:val="20"/>
                <w:color w:val="auto"/>
              </w:rPr>
            </w:pPr>
            <w:r>
              <w:rPr>
                <w:rFonts w:ascii="Arial" w:cs="Arial" w:eastAsia="Arial" w:hAnsi="Arial"/>
                <w:sz w:val="17"/>
                <w:szCs w:val="17"/>
                <w:color w:val="auto"/>
              </w:rPr>
              <w:t>310,874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6.02</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3.02 Years</w:t>
            </w:r>
          </w:p>
        </w:tc>
      </w:tr>
      <w:tr>
        <w:trPr>
          <w:trHeight w:val="215"/>
        </w:trPr>
        <w:tc>
          <w:tcPr>
            <w:tcW w:w="20" w:type="dxa"/>
            <w:vAlign w:val="bottom"/>
          </w:tcPr>
          <w:p>
            <w:pPr>
              <w:spacing w:after="0"/>
              <w:rPr>
                <w:sz w:val="18"/>
                <w:szCs w:val="18"/>
                <w:color w:val="auto"/>
              </w:rPr>
            </w:pPr>
          </w:p>
        </w:tc>
        <w:tc>
          <w:tcPr>
            <w:tcW w:w="7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Granted - performance based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20" w:type="dxa"/>
            <w:vAlign w:val="bottom"/>
          </w:tcPr>
          <w:p>
            <w:pPr>
              <w:ind w:left="80"/>
              <w:spacing w:after="0"/>
              <w:rPr>
                <w:sz w:val="20"/>
                <w:szCs w:val="20"/>
                <w:color w:val="auto"/>
              </w:rPr>
            </w:pPr>
            <w:r>
              <w:rPr>
                <w:rFonts w:ascii="Arial" w:cs="Arial" w:eastAsia="Arial" w:hAnsi="Arial"/>
                <w:sz w:val="17"/>
                <w:szCs w:val="17"/>
                <w:color w:val="auto"/>
              </w:rPr>
              <w:t>Vested</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(144,687)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5.17</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Forfeited and cancelled</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(81,479)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3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Unvested at December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428,006</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6.13</w:t>
            </w:r>
          </w:p>
        </w:tc>
        <w:tc>
          <w:tcPr>
            <w:tcW w:w="2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center"/>
              <w:ind w:right="140"/>
              <w:spacing w:after="0"/>
              <w:rPr>
                <w:sz w:val="20"/>
                <w:szCs w:val="20"/>
                <w:color w:val="auto"/>
              </w:rPr>
            </w:pPr>
            <w:r>
              <w:rPr>
                <w:rFonts w:ascii="Arial" w:cs="Arial" w:eastAsia="Arial" w:hAnsi="Arial"/>
                <w:sz w:val="17"/>
                <w:szCs w:val="17"/>
                <w:color w:val="auto"/>
                <w:w w:val="89"/>
              </w:rPr>
              <w:t>2.27 Years</w:t>
            </w: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Share-Based Compensation Expense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share-based compensation in its statements of operations for the relevant periods for options and RSUs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For the 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1,956,818</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1,410,095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279,925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126,001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Total share-based expense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2,236,743</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1,536,096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As of December 31, 2020, total estimated compensation cost of stock options granted and outstanding but not yet vested was $4.6 million which is expected to be recognized over the weighted average period of 2.8 years. As of December 31, 2020, total estimated compensation cost of RSUs granted and outstanding but not yet vested was $2.2 million which is expected to be recognized over the weighted average period of 2.3 years.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Facility Leases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See Note 9.</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Related Party Technology License Agreement</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obligated to pay royalties and development and patent costs pursuant to an exclusive Amended and Restated Intellectual Property License Agreement dated as of September 30, 2016 with Syzygy, a company owned and controlled by stockholders/officers Mr. Elwood Norris and Mr. James Barnes. The agreement provides for royalty payments of 4% of revenue from products employing the licensed ensnarement device technology up to an aggregate of $1,000,000 in royalties or until September 30, 2026, whichever occurs earlier. The Company recorded $143,390 and $23,297 for royalties incurred during the years ended December 31, 2020 and 2019,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Purchase Commitments</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At December 31, 2020 the Company was committed for approximately $2.2 million for future component deliveries and contract services that are generally subject to modification or rescheduling in the normal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Indemnifications and Guarantees</w:t>
      </w:r>
    </w:p>
    <w:p>
      <w:pPr>
        <w:spacing w:after="0" w:line="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72"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auto"/>
        </w:rPr>
        <w:t>Regulatory Agencies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be subject to oversight from regulatory agencies regarding firearms that arise in the ordinary course of its business.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Litigation</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23, 2020, Carone Cobden filed a putative class action complaint against the Company, former Chief Executive Officer David Norris (“</w:t>
      </w:r>
      <w:r>
        <w:rPr>
          <w:rFonts w:ascii="Arial" w:cs="Arial" w:eastAsia="Arial" w:hAnsi="Arial"/>
          <w:sz w:val="16"/>
          <w:szCs w:val="16"/>
          <w:i w:val="1"/>
          <w:iCs w:val="1"/>
          <w:color w:val="auto"/>
        </w:rPr>
        <w:t>Norris</w:t>
      </w:r>
      <w:r>
        <w:rPr>
          <w:rFonts w:ascii="Arial" w:cs="Arial" w:eastAsia="Arial" w:hAnsi="Arial"/>
          <w:sz w:val="16"/>
          <w:szCs w:val="16"/>
          <w:color w:val="auto"/>
        </w:rPr>
        <w:t>”), Chief Financial Officer, James A. Barnes (“</w:t>
      </w:r>
      <w:r>
        <w:rPr>
          <w:rFonts w:ascii="Arial" w:cs="Arial" w:eastAsia="Arial" w:hAnsi="Arial"/>
          <w:sz w:val="16"/>
          <w:szCs w:val="16"/>
          <w:i w:val="1"/>
          <w:iCs w:val="1"/>
          <w:color w:val="auto"/>
        </w:rPr>
        <w:t>Barnes</w:t>
      </w:r>
      <w:r>
        <w:rPr>
          <w:rFonts w:ascii="Arial" w:cs="Arial" w:eastAsia="Arial" w:hAnsi="Arial"/>
          <w:sz w:val="16"/>
          <w:szCs w:val="16"/>
          <w:color w:val="auto"/>
        </w:rPr>
        <w:t>”), and President, Thomas Smith (“</w:t>
      </w:r>
      <w:r>
        <w:rPr>
          <w:rFonts w:ascii="Arial" w:cs="Arial" w:eastAsia="Arial" w:hAnsi="Arial"/>
          <w:sz w:val="16"/>
          <w:szCs w:val="16"/>
          <w:i w:val="1"/>
          <w:iCs w:val="1"/>
          <w:color w:val="auto"/>
        </w:rPr>
        <w:t>Smith</w:t>
      </w:r>
      <w:r>
        <w:rPr>
          <w:rFonts w:ascii="Arial" w:cs="Arial" w:eastAsia="Arial" w:hAnsi="Arial"/>
          <w:sz w:val="16"/>
          <w:szCs w:val="16"/>
          <w:color w:val="auto"/>
        </w:rPr>
        <w:t>”) in the United States District Court for the Central District of California, docketed as Case No. 2-20-cv-08760-DMG-PVCx (the “</w:t>
      </w:r>
      <w:r>
        <w:rPr>
          <w:rFonts w:ascii="Arial" w:cs="Arial" w:eastAsia="Arial" w:hAnsi="Arial"/>
          <w:sz w:val="16"/>
          <w:szCs w:val="16"/>
          <w:i w:val="1"/>
          <w:iCs w:val="1"/>
          <w:color w:val="auto"/>
        </w:rPr>
        <w:t>Cobden Complaint</w:t>
      </w:r>
      <w:r>
        <w:rPr>
          <w:rFonts w:ascii="Arial" w:cs="Arial" w:eastAsia="Arial" w:hAnsi="Arial"/>
          <w:sz w:val="16"/>
          <w:szCs w:val="16"/>
          <w:color w:val="auto"/>
        </w:rPr>
        <w:t>”). The Cobden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Arial" w:cs="Arial" w:eastAsia="Arial" w:hAnsi="Arial"/>
          <w:sz w:val="16"/>
          <w:szCs w:val="16"/>
          <w:i w:val="1"/>
          <w:iCs w:val="1"/>
          <w:color w:val="auto"/>
        </w:rPr>
        <w:t>BolaWrap Pilot Program</w:t>
      </w:r>
      <w:r>
        <w:rPr>
          <w:rFonts w:ascii="Arial" w:cs="Arial" w:eastAsia="Arial" w:hAnsi="Arial"/>
          <w:sz w:val="16"/>
          <w:szCs w:val="16"/>
          <w:color w:val="auto"/>
        </w:rPr>
        <w:t>”). The Cobden Complaint also alleges that the conduct of the named defendants artificially inflated the price of the Company’s traded securities, and that the disclosure of certain adverse information to the public led to a decline in the market value of the Company’s securities. The Cobden Complaint further alleges violations of Sections 10(b) and 20(a) of the Exchange Act, and Rule 10b-5 promulgated thereunder, and defines the class period as July 31, 2020 through September 23, 2020.</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1, 2020, Joseph Mercurio filed a second putative class action complaint against the Company, Norris, Smith, and Barnes in the same court, which contains substantially the same factual allegations and legal claims as set forth in the Cobden Complaint, and is docketed as Case No. 2-20-cv-09030-DMG-PVCx (the “</w:t>
      </w:r>
      <w:r>
        <w:rPr>
          <w:rFonts w:ascii="Arial" w:cs="Arial" w:eastAsia="Arial" w:hAnsi="Arial"/>
          <w:sz w:val="17"/>
          <w:szCs w:val="17"/>
          <w:i w:val="1"/>
          <w:iCs w:val="1"/>
          <w:color w:val="auto"/>
        </w:rPr>
        <w:t>Mercurio Complaint</w:t>
      </w:r>
      <w:r>
        <w:rPr>
          <w:rFonts w:ascii="Arial" w:cs="Arial" w:eastAsia="Arial" w:hAnsi="Arial"/>
          <w:sz w:val="17"/>
          <w:szCs w:val="17"/>
          <w:color w:val="auto"/>
        </w:rPr>
        <w:t>”). On October 15, 2020, Paula Earley filed a third putative class action complaint against the Company, Smith, Norris, Barnes, Chief Strategy Officer Mike Rothans (“Rothans”), and former Chief Executive Officer, Marc Thomas (“</w:t>
      </w:r>
      <w:r>
        <w:rPr>
          <w:rFonts w:ascii="Arial" w:cs="Arial" w:eastAsia="Arial" w:hAnsi="Arial"/>
          <w:sz w:val="17"/>
          <w:szCs w:val="17"/>
          <w:i w:val="1"/>
          <w:iCs w:val="1"/>
          <w:color w:val="auto"/>
        </w:rPr>
        <w:t>Thomas</w:t>
      </w:r>
      <w:r>
        <w:rPr>
          <w:rFonts w:ascii="Arial" w:cs="Arial" w:eastAsia="Arial" w:hAnsi="Arial"/>
          <w:sz w:val="17"/>
          <w:szCs w:val="17"/>
          <w:color w:val="auto"/>
        </w:rPr>
        <w:t>”) in the same court, which contains many of the same factual allegations and legal claims as set forth in the Cobden and Mercurio Complaints, but defines the class period as April 29, 2020 through September 23, 2020, and alleges additional false or misleading statements in connection with BolaWrap and the BolaWrap Pilot Program (the “</w:t>
      </w:r>
      <w:r>
        <w:rPr>
          <w:rFonts w:ascii="Arial" w:cs="Arial" w:eastAsia="Arial" w:hAnsi="Arial"/>
          <w:sz w:val="17"/>
          <w:szCs w:val="17"/>
          <w:i w:val="1"/>
          <w:iCs w:val="1"/>
          <w:color w:val="auto"/>
        </w:rPr>
        <w:t>Earley</w:t>
      </w:r>
      <w:r>
        <w:rPr>
          <w:rFonts w:ascii="Arial" w:cs="Arial" w:eastAsia="Arial" w:hAnsi="Arial"/>
          <w:sz w:val="17"/>
          <w:szCs w:val="17"/>
          <w:color w:val="auto"/>
        </w:rPr>
        <w:t xml:space="preserve"> </w:t>
      </w:r>
      <w:r>
        <w:rPr>
          <w:rFonts w:ascii="Arial" w:cs="Arial" w:eastAsia="Arial" w:hAnsi="Arial"/>
          <w:sz w:val="17"/>
          <w:szCs w:val="17"/>
          <w:i w:val="1"/>
          <w:iCs w:val="1"/>
          <w:color w:val="auto"/>
        </w:rPr>
        <w:t>Complaint</w:t>
      </w:r>
      <w:r>
        <w:rPr>
          <w:rFonts w:ascii="Arial" w:cs="Arial" w:eastAsia="Arial" w:hAnsi="Arial"/>
          <w:sz w:val="17"/>
          <w:szCs w:val="17"/>
          <w:color w:val="auto"/>
        </w:rPr>
        <w:t>”). The Earley Complaint is docketed as Case No. 2-20-cv-09444-DMG-PVCx.</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November 3, 2020, the Hon. Dolly M. Gee consolidated the three above-mentioned cases under the caption </w:t>
      </w:r>
      <w:r>
        <w:rPr>
          <w:rFonts w:ascii="Arial" w:cs="Arial" w:eastAsia="Arial" w:hAnsi="Arial"/>
          <w:sz w:val="17"/>
          <w:szCs w:val="17"/>
          <w:i w:val="1"/>
          <w:iCs w:val="1"/>
          <w:color w:val="auto"/>
        </w:rPr>
        <w:t>In re Wrap Technologies, Inc.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Act Litigation</w:t>
      </w:r>
      <w:r>
        <w:rPr>
          <w:rFonts w:ascii="Arial" w:cs="Arial" w:eastAsia="Arial" w:hAnsi="Arial"/>
          <w:sz w:val="17"/>
          <w:szCs w:val="17"/>
          <w:color w:val="auto"/>
        </w:rPr>
        <w:t>, Case No. 20-8760-DMG (“</w:t>
      </w:r>
      <w:r>
        <w:rPr>
          <w:rFonts w:ascii="Arial" w:cs="Arial" w:eastAsia="Arial" w:hAnsi="Arial"/>
          <w:sz w:val="17"/>
          <w:szCs w:val="17"/>
          <w:i w:val="1"/>
          <w:iCs w:val="1"/>
          <w:color w:val="auto"/>
        </w:rPr>
        <w:t>PVCx</w:t>
      </w:r>
      <w:r>
        <w:rPr>
          <w:rFonts w:ascii="Arial" w:cs="Arial" w:eastAsia="Arial" w:hAnsi="Arial"/>
          <w:sz w:val="17"/>
          <w:szCs w:val="17"/>
          <w:color w:val="auto"/>
        </w:rPr>
        <w:t>”) (the “</w:t>
      </w:r>
      <w:r>
        <w:rPr>
          <w:rFonts w:ascii="Arial" w:cs="Arial" w:eastAsia="Arial" w:hAnsi="Arial"/>
          <w:sz w:val="17"/>
          <w:szCs w:val="17"/>
          <w:i w:val="1"/>
          <w:iCs w:val="1"/>
          <w:color w:val="auto"/>
        </w:rPr>
        <w:t>Securities Action</w:t>
      </w:r>
      <w:r>
        <w:rPr>
          <w:rFonts w:ascii="Arial" w:cs="Arial" w:eastAsia="Arial" w:hAnsi="Arial"/>
          <w:sz w:val="17"/>
          <w:szCs w:val="17"/>
          <w:color w:val="auto"/>
        </w:rPr>
        <w:t>”). On January 7, 2021, the Court appointed a lead plaintiff in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Action, who designated its attorneys as lead counsel. On January 21, 2021, Judge Gee ordered that a consolidated amended complaint be filed in the Securities Action on or before March 12, 2021, with defendants’ motion to dismiss to be filed on or before April 26, 2021, and a hearing on the motion to dismiss to be held on July 23, 2021. The Company believes that the complaints underlying the Securities Action are without merit and intends to vigorously defend against the claims raised therein.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Derivative Litigation</w:t>
      </w: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November 13, 2020, Naresh Rammohan filed a shareholder derivative action in the United States District Court for the Central District of California against Smith, Barnes, Rothans, Thomas, Norris, and Messrs.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7"/>
          <w:szCs w:val="17"/>
          <w:i w:val="1"/>
          <w:iCs w:val="1"/>
          <w:color w:val="auto"/>
        </w:rPr>
        <w:t>Rammohan Complaint</w:t>
      </w:r>
      <w:r>
        <w:rPr>
          <w:rFonts w:ascii="Arial" w:cs="Arial" w:eastAsia="Arial" w:hAnsi="Arial"/>
          <w:sz w:val="17"/>
          <w:szCs w:val="17"/>
          <w:color w:val="auto"/>
        </w:rPr>
        <w:t>”). The Rammohan Complaint names the Company as a nominal defendant and recites many of the allegations set forth in the Securities Action relating to the BolaWrap Pilot Program.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7"/>
          <w:szCs w:val="17"/>
          <w:i w:val="1"/>
          <w:iCs w:val="1"/>
          <w:color w:val="auto"/>
        </w:rPr>
        <w:t>Westerman Complaint</w:t>
      </w:r>
      <w:r>
        <w:rPr>
          <w:rFonts w:ascii="Arial" w:cs="Arial" w:eastAsia="Arial" w:hAnsi="Arial"/>
          <w:sz w:val="17"/>
          <w:szCs w:val="17"/>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7"/>
          <w:szCs w:val="17"/>
          <w:i w:val="1"/>
          <w:iCs w:val="1"/>
          <w:color w:val="auto"/>
        </w:rPr>
        <w:t>Lowe Complaint</w:t>
      </w:r>
      <w:r>
        <w:rPr>
          <w:rFonts w:ascii="Arial" w:cs="Arial" w:eastAsia="Arial" w:hAnsi="Arial"/>
          <w:sz w:val="17"/>
          <w:szCs w:val="17"/>
          <w:color w:val="auto"/>
        </w:rPr>
        <w:t>”).</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above-mentioned derivative cases (collectively, the “</w:t>
      </w:r>
      <w:r>
        <w:rPr>
          <w:rFonts w:ascii="Arial" w:cs="Arial" w:eastAsia="Arial" w:hAnsi="Arial"/>
          <w:sz w:val="15"/>
          <w:szCs w:val="15"/>
          <w:i w:val="1"/>
          <w:iCs w:val="1"/>
          <w:color w:val="auto"/>
        </w:rPr>
        <w:t>Derivative Actions</w:t>
      </w:r>
      <w:r>
        <w:rPr>
          <w:rFonts w:ascii="Arial" w:cs="Arial" w:eastAsia="Arial" w:hAnsi="Arial"/>
          <w:sz w:val="15"/>
          <w:szCs w:val="15"/>
          <w:color w:val="auto"/>
        </w:rPr>
        <w:t xml:space="preserve">”) each been have been transferred to Judge Gee as cases related to the Securities Action. On January 27, 2021, the Judge Gee issued an order to show cause why the Derivative Actions should not be consolidated under the caption </w:t>
      </w:r>
      <w:r>
        <w:rPr>
          <w:rFonts w:ascii="Arial" w:cs="Arial" w:eastAsia="Arial" w:hAnsi="Arial"/>
          <w:sz w:val="15"/>
          <w:szCs w:val="15"/>
          <w:i w:val="1"/>
          <w:iCs w:val="1"/>
          <w:color w:val="auto"/>
        </w:rPr>
        <w:t>In re Wrap</w:t>
      </w:r>
      <w:r>
        <w:rPr>
          <w:rFonts w:ascii="Arial" w:cs="Arial" w:eastAsia="Arial" w:hAnsi="Arial"/>
          <w:sz w:val="15"/>
          <w:szCs w:val="15"/>
          <w:color w:val="auto"/>
        </w:rPr>
        <w:t xml:space="preserve"> </w:t>
      </w:r>
      <w:r>
        <w:rPr>
          <w:rFonts w:ascii="Arial" w:cs="Arial" w:eastAsia="Arial" w:hAnsi="Arial"/>
          <w:sz w:val="15"/>
          <w:szCs w:val="15"/>
          <w:i w:val="1"/>
          <w:iCs w:val="1"/>
          <w:color w:val="auto"/>
        </w:rPr>
        <w:t>Technologies, Inc. Shareholder Derivative Litigation</w:t>
      </w:r>
      <w:r>
        <w:rPr>
          <w:rFonts w:ascii="Arial" w:cs="Arial" w:eastAsia="Arial" w:hAnsi="Arial"/>
          <w:sz w:val="15"/>
          <w:szCs w:val="15"/>
          <w:color w:val="auto"/>
        </w:rPr>
        <w:t>, Case No. 2:20-10444-DMG-PVCx and stayed pending the resolution of the anticipated motion to dismiss</w:t>
      </w:r>
      <w:r>
        <w:rPr>
          <w:rFonts w:ascii="Arial" w:cs="Arial" w:eastAsia="Arial" w:hAnsi="Arial"/>
          <w:sz w:val="15"/>
          <w:szCs w:val="15"/>
          <w:i w:val="1"/>
          <w:iCs w:val="1"/>
          <w:color w:val="auto"/>
        </w:rPr>
        <w:t xml:space="preserve"> </w:t>
      </w:r>
      <w:r>
        <w:rPr>
          <w:rFonts w:ascii="Arial" w:cs="Arial" w:eastAsia="Arial" w:hAnsi="Arial"/>
          <w:sz w:val="15"/>
          <w:szCs w:val="15"/>
          <w:color w:val="auto"/>
        </w:rPr>
        <w:t>in the Securities Action. On February 5, 2021, the parties in the Derivative Actions responded jointly to the order to show cause, stipulating that the case should be consolidated and stayed as suggested by the Court. We believe that the Derivative Actions will be consolidated and stayed by the Court. As with the Securities Action, the Company believes that the Derivative Actions are without merit and intends to vigorously defend against the claims raised therein.</w:t>
      </w:r>
    </w:p>
    <w:p>
      <w:pPr>
        <w:spacing w:after="0" w:line="160"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14. RELATED PARTY TRANSACTIONS</w:t>
      </w:r>
    </w:p>
    <w:p>
      <w:pPr>
        <w:spacing w:after="0" w:line="240"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Commencing in October 2017 the Company began reimbursing Mr. Elwood Norris, an officer and stockholder of the Company, $1,500 per month on a month-to-month basis for laboratory facility costs, for an aggregate of $18,000 during the year ended December 31, 2020 and 2019, respectively.</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From April 2020 through December 2020 the Company engaged V3 Capital Partners, LLC (“</w:t>
      </w:r>
      <w:r>
        <w:rPr>
          <w:rFonts w:ascii="Arial" w:cs="Arial" w:eastAsia="Arial" w:hAnsi="Arial"/>
          <w:sz w:val="17"/>
          <w:szCs w:val="17"/>
          <w:i w:val="1"/>
          <w:iCs w:val="1"/>
          <w:color w:val="auto"/>
        </w:rPr>
        <w:t>V3</w:t>
      </w:r>
      <w:r>
        <w:rPr>
          <w:rFonts w:ascii="Arial" w:cs="Arial" w:eastAsia="Arial" w:hAnsi="Arial"/>
          <w:sz w:val="17"/>
          <w:szCs w:val="17"/>
          <w:color w:val="auto"/>
        </w:rPr>
        <w:t>”), a company owned and controlled by Scot Cohen, the Company’s Executive Chairman, to provide certain investor, shareholder and marketing services, in consideration for the payment to V3 of $10,000 per month on a month-to-month basis for an aggregate of $90,000 during the year ended December 31, 2020. In addition, the Company paid V3 a bonus of $175,000 for assistance in a financing that was consummated in July 2020.</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See Notes 8, 11 and 13 for additional information on related party transactions and obligations.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TAXES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Until its reverse recapitalization on March 31, 2017, the Company was treated as a partnership for federal and state income tax purposes and did not incur income taxes. The Company accounts for income taxes under ASC 740. Deferred income tax assets and liabilities are determined based upon differences between the financial reporting and tax bases of assets and liabilities and are measured using the enacted tax rates and laws that will be in effect when the differences are expected to reverse. Accounting standards require the consideration of a valuation allowance for deferred tax assets if it is "more likely than not" that some component or all of the benefits of deferred tax assets will not be realized.</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did not provide any current or deferred U.S. federal income tax provision or benefit for the periods presented because of operating losses since inception. As of December 31, 2020, the Company has federal net operating loss carryforwards of approximately $24,449,000 to reduce future taxable income that will expire beginning in 2038. Certain changes in stock ownership can result in a limitation on the amount of net operating loss and tax credit carryovers that can be utilized each year. As of December 31, 2020, management has not determined the extent of any such limitations, if any.</w:t>
      </w:r>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provided a full valuation allowance on the net deferred tax asset, consisting primarily of net operating loss carry forwards, because management has determined that it is more likely than not that the Company will not earn income sufficient to realize the deferred tax assets during the carry forward period. As a result of the change in future Federal statutory tax rates due to the passing of the Tax Cuts and Jobs Act of 2017, management determined that the deferred tax assets and liabilities should be valued at a federal statutory rate of 21%.</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has not taken a tax position that, if challenged, would have a material effect on the financial statements for the periods ended December 31, 2020 and 2019 applicable under FASB ASC 740. The Company did not recognize any adjustment to the liability for uncertain tax position and therefore did not record any adjustment to the beginning balance of accumulated deficit on the balance sheet. All tax returns for the Company remain open.</w:t>
      </w:r>
    </w:p>
    <w:p>
      <w:pPr>
        <w:spacing w:after="0" w:line="161"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The provision for (benefit from) income taxes consist of the following: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w w:val="97"/>
              </w:rPr>
              <w:t>Year Ended 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Current tax benefit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Deferred tax benefit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3,158,000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1,800,000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(3,158,000)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Income tax benefit (provision)</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provision for income taxes at the federal statutory rate of 21% to the Company’s provision for income tax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w w:val="97"/>
              </w:rPr>
              <w:t>Year Ended 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Income taxes benefit computed at federal statutory rate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2,642,000</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1,748,000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State income taxes, net of federal effect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114,000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 and other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(3,158,000)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(1,800,000)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(provision)</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7"/>
                <w:szCs w:val="17"/>
                <w:color w:val="auto"/>
              </w:rPr>
              <w:t>Deferred tax assets: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operating losses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5,444,000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2,430,000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7"/>
                <w:szCs w:val="17"/>
                <w:color w:val="auto"/>
              </w:rPr>
              <w:t>Research tax credits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Stock compensation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239,000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7"/>
                <w:szCs w:val="17"/>
                <w:color w:val="auto"/>
              </w:rPr>
              <w:t>Accruals and other</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6,200,000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2,704,000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Deferred tax liabilities: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Depreciation and other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58,000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5,804,000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2,646,000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(5,804,000)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(2,646,000)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taxes after valuation allowance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In accordance with ASU 2016-09, </w:t>
      </w:r>
      <w:r>
        <w:rPr>
          <w:rFonts w:ascii="Arial" w:cs="Arial" w:eastAsia="Arial" w:hAnsi="Arial"/>
          <w:sz w:val="17"/>
          <w:szCs w:val="17"/>
          <w:i w:val="1"/>
          <w:iCs w:val="1"/>
          <w:color w:val="auto"/>
        </w:rPr>
        <w:t>Compensation-Stock Compensation (Topic 718) Improvements to Employee Share-Based Payment Accounting</w:t>
      </w:r>
      <w:r>
        <w:rPr>
          <w:rFonts w:ascii="Arial" w:cs="Arial" w:eastAsia="Arial" w:hAnsi="Arial"/>
          <w:sz w:val="17"/>
          <w:szCs w:val="17"/>
          <w:color w:val="auto"/>
        </w:rPr>
        <w:t>, the Company recognizes windfall tax benefits associated with the exercise of stock options as a component of tax expense (rather than equity). Accordingly, our federal and state operating loss carryforwards include net windfall tax deductions from stock option exercises and RSU vesting of approximately $720,000 and $144,000 during the years ended December 31, 2020 and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MAJOR CUSTOMERS AND RELATED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Major Customers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year ended December 31, 2020, revenues from two distributors accounted for approximately 17% and 16% of revenues with no other single customer accounting for more than 10% of total revenues. These distributors accounted for 28% and 26% of accounts receivable at December 31, 2020. For the year ended December 31, 2019, revenues from one distributor accounted for 22% revenues with no other single customer accounting for more than 10% of total revenues. This customer accounted for 54% of accounts receivable at December 31, 2019.</w:t>
      </w:r>
    </w:p>
    <w:p>
      <w:pPr>
        <w:spacing w:after="0" w:line="18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The following table summarizes revenues by geographic region. Revenues are attributed to countries based on customer’s delivery location.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For the Year</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5"/>
                <w:szCs w:val="15"/>
                <w:b w:val="1"/>
                <w:bCs w:val="1"/>
                <w:color w:val="auto"/>
              </w:rPr>
              <w:t>Ended December 31,</w:t>
            </w: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Americas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1,442,822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481,622</w:t>
            </w: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Europe, Middle East and Africa</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1,046,499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116,547</w:t>
            </w: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Asia Pacific</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1,454,736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98,621</w:t>
            </w:r>
          </w:p>
        </w:tc>
      </w:tr>
      <w:tr>
        <w:trPr>
          <w:trHeight w:val="27"/>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3,944,057</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696,790</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 – </w:t>
      </w:r>
      <w:r>
        <w:rPr>
          <w:rFonts w:ascii="Arial" w:cs="Arial" w:eastAsia="Arial" w:hAnsi="Arial"/>
          <w:sz w:val="17"/>
          <w:szCs w:val="17"/>
          <w:i w:val="1"/>
          <w:iCs w:val="1"/>
          <w:color w:val="auto"/>
        </w:rPr>
        <w:t>Concentrations of Risks</w:t>
      </w:r>
      <w:r>
        <w:rPr>
          <w:rFonts w:ascii="Arial" w:cs="Arial" w:eastAsia="Arial" w:hAnsi="Arial"/>
          <w:sz w:val="17"/>
          <w:szCs w:val="17"/>
          <w:color w:val="auto"/>
        </w:rPr>
        <w:t xml:space="preserve"> for information on reliance on suppliers.</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SIGNATURES</w:t>
      </w:r>
    </w:p>
    <w:p>
      <w:pPr>
        <w:spacing w:after="0" w:line="240"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Tempe, State of Arizona, on the 4th day of March 2021.</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WRAP TECHNOLOGIES, INC</w:t>
      </w:r>
    </w:p>
    <w:p>
      <w:pPr>
        <w:spacing w:after="0" w:line="240" w:lineRule="exact"/>
        <w:rPr>
          <w:sz w:val="20"/>
          <w:szCs w:val="20"/>
          <w:color w:val="auto"/>
        </w:rPr>
      </w:pPr>
    </w:p>
    <w:p>
      <w:pPr>
        <w:spacing w:after="0"/>
        <w:tabs>
          <w:tab w:leader="none" w:pos="5420" w:val="left"/>
        </w:tabs>
        <w:rPr>
          <w:sz w:val="20"/>
          <w:szCs w:val="20"/>
          <w:color w:val="auto"/>
        </w:rPr>
      </w:pPr>
      <w:r>
        <w:rPr>
          <w:rFonts w:ascii="Arial" w:cs="Arial" w:eastAsia="Arial" w:hAnsi="Arial"/>
          <w:sz w:val="17"/>
          <w:szCs w:val="17"/>
          <w:color w:val="auto"/>
        </w:rPr>
        <w:t>Date: March 4, 2021</w:t>
      </w:r>
      <w:r>
        <w:rPr>
          <w:sz w:val="20"/>
          <w:szCs w:val="20"/>
          <w:color w:val="auto"/>
        </w:rPr>
        <w:tab/>
      </w:r>
      <w:r>
        <w:rPr>
          <w:rFonts w:ascii="Arial" w:cs="Arial" w:eastAsia="Arial" w:hAnsi="Arial"/>
          <w:sz w:val="16"/>
          <w:szCs w:val="16"/>
          <w:color w:val="auto"/>
        </w:rPr>
        <w:t>By: /s/ Thomas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34925</wp:posOffset>
            </wp:positionV>
            <wp:extent cx="258508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2585085" cy="17145"/>
                    </a:xfrm>
                    <a:prstGeom prst="rect">
                      <a:avLst/>
                    </a:prstGeom>
                    <a:noFill/>
                  </pic:spPr>
                </pic:pic>
              </a:graphicData>
            </a:graphic>
          </wp:anchor>
        </w:drawing>
      </w:r>
    </w:p>
    <w:p>
      <w:pPr>
        <w:spacing w:after="0" w:line="53"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Thomas Smith</w:t>
      </w:r>
    </w:p>
    <w:p>
      <w:pPr>
        <w:spacing w:after="0" w:line="26"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Interim Chief Executive Officer</w:t>
      </w:r>
    </w:p>
    <w:p>
      <w:pPr>
        <w:spacing w:after="0" w:line="200" w:lineRule="exact"/>
        <w:rPr>
          <w:sz w:val="20"/>
          <w:szCs w:val="20"/>
          <w:color w:val="auto"/>
        </w:rPr>
      </w:pPr>
    </w:p>
    <w:p>
      <w:pPr>
        <w:spacing w:after="0" w:line="270"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color w:val="auto"/>
        </w:rPr>
        <w:t>In accordance with the Exchange Act, this report has been signed below by the following persons on behalf of the registrant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48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Position</w:t>
            </w:r>
          </w:p>
        </w:tc>
        <w:tc>
          <w:tcPr>
            <w:tcW w:w="540" w:type="dxa"/>
            <w:vAlign w:val="bottom"/>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w:t>
            </w:r>
          </w:p>
        </w:tc>
      </w:tr>
      <w:tr>
        <w:trPr>
          <w:trHeight w:val="437"/>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THOMAS SMITH</w:t>
            </w:r>
          </w:p>
        </w:tc>
        <w:tc>
          <w:tcPr>
            <w:tcW w:w="14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Interim Chief Executive Officer</w:t>
            </w:r>
          </w:p>
        </w:tc>
        <w:tc>
          <w:tcPr>
            <w:tcW w:w="540" w:type="dxa"/>
            <w:vAlign w:val="bottom"/>
          </w:tcPr>
          <w:p>
            <w:pPr>
              <w:spacing w:after="0"/>
              <w:rPr>
                <w:sz w:val="24"/>
                <w:szCs w:val="24"/>
                <w:color w:val="auto"/>
              </w:rPr>
            </w:pPr>
          </w:p>
        </w:tc>
        <w:tc>
          <w:tcPr>
            <w:tcW w:w="2760" w:type="dxa"/>
            <w:vAlign w:val="bottom"/>
          </w:tcPr>
          <w:p>
            <w:pPr>
              <w:ind w:left="880"/>
              <w:spacing w:after="0"/>
              <w:rPr>
                <w:sz w:val="20"/>
                <w:szCs w:val="20"/>
                <w:color w:val="auto"/>
              </w:rPr>
            </w:pPr>
            <w:r>
              <w:rPr>
                <w:rFonts w:ascii="Arial" w:cs="Arial" w:eastAsia="Arial" w:hAnsi="Arial"/>
                <w:sz w:val="17"/>
                <w:szCs w:val="17"/>
                <w:color w:val="auto"/>
              </w:rPr>
              <w:t>March 4, 2021</w:t>
            </w:r>
          </w:p>
        </w:tc>
      </w:tr>
      <w:tr>
        <w:trPr>
          <w:trHeight w:val="222"/>
        </w:trPr>
        <w:tc>
          <w:tcPr>
            <w:tcW w:w="2380" w:type="dxa"/>
            <w:vAlign w:val="bottom"/>
          </w:tcPr>
          <w:p>
            <w:pPr>
              <w:spacing w:after="0"/>
              <w:rPr>
                <w:sz w:val="20"/>
                <w:szCs w:val="20"/>
                <w:color w:val="auto"/>
              </w:rPr>
            </w:pPr>
            <w:r>
              <w:rPr>
                <w:rFonts w:ascii="Arial" w:cs="Arial" w:eastAsia="Arial" w:hAnsi="Arial"/>
                <w:sz w:val="17"/>
                <w:szCs w:val="17"/>
                <w:color w:val="auto"/>
              </w:rPr>
              <w:t>Thomas Smith</w:t>
            </w:r>
          </w:p>
        </w:tc>
        <w:tc>
          <w:tcPr>
            <w:tcW w:w="14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(Principal Executive Officer)</w:t>
            </w:r>
          </w:p>
        </w:tc>
        <w:tc>
          <w:tcPr>
            <w:tcW w:w="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0"/>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A. BARNES</w:t>
            </w:r>
          </w:p>
        </w:tc>
        <w:tc>
          <w:tcPr>
            <w:tcW w:w="14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Chief Financial Officer, Secretary and Treasurer</w:t>
            </w:r>
          </w:p>
        </w:tc>
        <w:tc>
          <w:tcPr>
            <w:tcW w:w="540" w:type="dxa"/>
            <w:vAlign w:val="bottom"/>
          </w:tcPr>
          <w:p>
            <w:pPr>
              <w:spacing w:after="0"/>
              <w:rPr>
                <w:sz w:val="24"/>
                <w:szCs w:val="24"/>
                <w:color w:val="auto"/>
              </w:rPr>
            </w:pPr>
          </w:p>
        </w:tc>
        <w:tc>
          <w:tcPr>
            <w:tcW w:w="2760" w:type="dxa"/>
            <w:vAlign w:val="bottom"/>
          </w:tcPr>
          <w:p>
            <w:pPr>
              <w:ind w:left="880"/>
              <w:spacing w:after="0"/>
              <w:rPr>
                <w:sz w:val="20"/>
                <w:szCs w:val="20"/>
                <w:color w:val="auto"/>
              </w:rPr>
            </w:pPr>
            <w:r>
              <w:rPr>
                <w:rFonts w:ascii="Arial" w:cs="Arial" w:eastAsia="Arial" w:hAnsi="Arial"/>
                <w:sz w:val="17"/>
                <w:szCs w:val="17"/>
                <w:color w:val="auto"/>
              </w:rPr>
              <w:t>March 4, 2021</w:t>
            </w:r>
          </w:p>
        </w:tc>
      </w:tr>
      <w:tr>
        <w:trPr>
          <w:trHeight w:val="240"/>
        </w:trPr>
        <w:tc>
          <w:tcPr>
            <w:tcW w:w="2380" w:type="dxa"/>
            <w:vAlign w:val="bottom"/>
          </w:tcPr>
          <w:p>
            <w:pPr>
              <w:spacing w:after="0"/>
              <w:rPr>
                <w:sz w:val="20"/>
                <w:szCs w:val="20"/>
                <w:color w:val="auto"/>
              </w:rPr>
            </w:pPr>
            <w:r>
              <w:rPr>
                <w:rFonts w:ascii="Arial" w:cs="Arial" w:eastAsia="Arial" w:hAnsi="Arial"/>
                <w:sz w:val="17"/>
                <w:szCs w:val="17"/>
                <w:color w:val="auto"/>
              </w:rPr>
              <w:t>James A. Barnes</w:t>
            </w: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(Principal Accounting Officer)</w:t>
            </w:r>
          </w:p>
        </w:tc>
        <w:tc>
          <w:tcPr>
            <w:tcW w:w="5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9"/>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SCOT COHEN</w:t>
            </w:r>
          </w:p>
        </w:tc>
        <w:tc>
          <w:tcPr>
            <w:tcW w:w="14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Executive Chair of Board</w:t>
            </w:r>
          </w:p>
        </w:tc>
        <w:tc>
          <w:tcPr>
            <w:tcW w:w="540" w:type="dxa"/>
            <w:vAlign w:val="bottom"/>
          </w:tcPr>
          <w:p>
            <w:pPr>
              <w:spacing w:after="0"/>
              <w:rPr>
                <w:sz w:val="24"/>
                <w:szCs w:val="24"/>
                <w:color w:val="auto"/>
              </w:rPr>
            </w:pPr>
          </w:p>
        </w:tc>
        <w:tc>
          <w:tcPr>
            <w:tcW w:w="2760" w:type="dxa"/>
            <w:vAlign w:val="bottom"/>
          </w:tcPr>
          <w:p>
            <w:pPr>
              <w:ind w:left="880"/>
              <w:spacing w:after="0"/>
              <w:rPr>
                <w:sz w:val="20"/>
                <w:szCs w:val="20"/>
                <w:color w:val="auto"/>
              </w:rPr>
            </w:pPr>
            <w:r>
              <w:rPr>
                <w:rFonts w:ascii="Arial" w:cs="Arial" w:eastAsia="Arial" w:hAnsi="Arial"/>
                <w:sz w:val="17"/>
                <w:szCs w:val="17"/>
                <w:color w:val="auto"/>
              </w:rPr>
              <w:t>March 4, 2021</w:t>
            </w:r>
          </w:p>
        </w:tc>
      </w:tr>
      <w:tr>
        <w:trPr>
          <w:trHeight w:val="222"/>
        </w:trPr>
        <w:tc>
          <w:tcPr>
            <w:tcW w:w="2380" w:type="dxa"/>
            <w:vAlign w:val="bottom"/>
          </w:tcPr>
          <w:p>
            <w:pPr>
              <w:spacing w:after="0"/>
              <w:rPr>
                <w:sz w:val="20"/>
                <w:szCs w:val="20"/>
                <w:color w:val="auto"/>
              </w:rPr>
            </w:pPr>
            <w:r>
              <w:rPr>
                <w:rFonts w:ascii="Arial" w:cs="Arial" w:eastAsia="Arial" w:hAnsi="Arial"/>
                <w:sz w:val="17"/>
                <w:szCs w:val="17"/>
                <w:color w:val="auto"/>
              </w:rPr>
              <w:t>Scot Cohen</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0"/>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/s/DAVID G. NORRIS</w:t>
            </w:r>
          </w:p>
        </w:tc>
        <w:tc>
          <w:tcPr>
            <w:tcW w:w="14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Director</w:t>
            </w:r>
          </w:p>
        </w:tc>
        <w:tc>
          <w:tcPr>
            <w:tcW w:w="540" w:type="dxa"/>
            <w:vAlign w:val="bottom"/>
          </w:tcPr>
          <w:p>
            <w:pPr>
              <w:spacing w:after="0"/>
              <w:rPr>
                <w:sz w:val="24"/>
                <w:szCs w:val="24"/>
                <w:color w:val="auto"/>
              </w:rPr>
            </w:pPr>
          </w:p>
        </w:tc>
        <w:tc>
          <w:tcPr>
            <w:tcW w:w="2760" w:type="dxa"/>
            <w:vAlign w:val="bottom"/>
          </w:tcPr>
          <w:p>
            <w:pPr>
              <w:ind w:left="880"/>
              <w:spacing w:after="0"/>
              <w:rPr>
                <w:sz w:val="20"/>
                <w:szCs w:val="20"/>
                <w:color w:val="auto"/>
              </w:rPr>
            </w:pPr>
            <w:r>
              <w:rPr>
                <w:rFonts w:ascii="Arial" w:cs="Arial" w:eastAsia="Arial" w:hAnsi="Arial"/>
                <w:sz w:val="17"/>
                <w:szCs w:val="17"/>
                <w:color w:val="auto"/>
              </w:rPr>
              <w:t>March 4, 2021</w:t>
            </w:r>
          </w:p>
        </w:tc>
      </w:tr>
      <w:tr>
        <w:trPr>
          <w:trHeight w:val="222"/>
        </w:trPr>
        <w:tc>
          <w:tcPr>
            <w:tcW w:w="2380" w:type="dxa"/>
            <w:vAlign w:val="bottom"/>
          </w:tcPr>
          <w:p>
            <w:pPr>
              <w:spacing w:after="0"/>
              <w:rPr>
                <w:sz w:val="20"/>
                <w:szCs w:val="20"/>
                <w:color w:val="auto"/>
              </w:rPr>
            </w:pPr>
            <w:r>
              <w:rPr>
                <w:rFonts w:ascii="Arial" w:cs="Arial" w:eastAsia="Arial" w:hAnsi="Arial"/>
                <w:sz w:val="17"/>
                <w:szCs w:val="17"/>
                <w:color w:val="auto"/>
              </w:rPr>
              <w:t>David G. Norris</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0"/>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/s/PATRICK KINSELLA</w:t>
            </w:r>
          </w:p>
        </w:tc>
        <w:tc>
          <w:tcPr>
            <w:tcW w:w="14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Director</w:t>
            </w:r>
          </w:p>
        </w:tc>
        <w:tc>
          <w:tcPr>
            <w:tcW w:w="540" w:type="dxa"/>
            <w:vAlign w:val="bottom"/>
          </w:tcPr>
          <w:p>
            <w:pPr>
              <w:spacing w:after="0"/>
              <w:rPr>
                <w:sz w:val="24"/>
                <w:szCs w:val="24"/>
                <w:color w:val="auto"/>
              </w:rPr>
            </w:pPr>
          </w:p>
        </w:tc>
        <w:tc>
          <w:tcPr>
            <w:tcW w:w="2760" w:type="dxa"/>
            <w:vAlign w:val="bottom"/>
          </w:tcPr>
          <w:p>
            <w:pPr>
              <w:ind w:left="880"/>
              <w:spacing w:after="0"/>
              <w:rPr>
                <w:sz w:val="20"/>
                <w:szCs w:val="20"/>
                <w:color w:val="auto"/>
              </w:rPr>
            </w:pPr>
            <w:r>
              <w:rPr>
                <w:rFonts w:ascii="Arial" w:cs="Arial" w:eastAsia="Arial" w:hAnsi="Arial"/>
                <w:sz w:val="17"/>
                <w:szCs w:val="17"/>
                <w:color w:val="auto"/>
              </w:rPr>
              <w:t>March 4, 2021</w:t>
            </w:r>
          </w:p>
        </w:tc>
      </w:tr>
      <w:tr>
        <w:trPr>
          <w:trHeight w:val="222"/>
        </w:trPr>
        <w:tc>
          <w:tcPr>
            <w:tcW w:w="2380" w:type="dxa"/>
            <w:vAlign w:val="bottom"/>
          </w:tcPr>
          <w:p>
            <w:pPr>
              <w:spacing w:after="0"/>
              <w:rPr>
                <w:sz w:val="20"/>
                <w:szCs w:val="20"/>
                <w:color w:val="auto"/>
              </w:rPr>
            </w:pPr>
            <w:r>
              <w:rPr>
                <w:rFonts w:ascii="Arial" w:cs="Arial" w:eastAsia="Arial" w:hAnsi="Arial"/>
                <w:sz w:val="17"/>
                <w:szCs w:val="17"/>
                <w:color w:val="auto"/>
              </w:rPr>
              <w:t>Patrick Kinsella</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0"/>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/s/MICHAEL PARRIS</w:t>
            </w:r>
          </w:p>
        </w:tc>
        <w:tc>
          <w:tcPr>
            <w:tcW w:w="14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Director</w:t>
            </w:r>
          </w:p>
        </w:tc>
        <w:tc>
          <w:tcPr>
            <w:tcW w:w="540" w:type="dxa"/>
            <w:vAlign w:val="bottom"/>
          </w:tcPr>
          <w:p>
            <w:pPr>
              <w:spacing w:after="0"/>
              <w:rPr>
                <w:sz w:val="24"/>
                <w:szCs w:val="24"/>
                <w:color w:val="auto"/>
              </w:rPr>
            </w:pPr>
          </w:p>
        </w:tc>
        <w:tc>
          <w:tcPr>
            <w:tcW w:w="2760" w:type="dxa"/>
            <w:vAlign w:val="bottom"/>
          </w:tcPr>
          <w:p>
            <w:pPr>
              <w:ind w:left="880"/>
              <w:spacing w:after="0"/>
              <w:rPr>
                <w:sz w:val="20"/>
                <w:szCs w:val="20"/>
                <w:color w:val="auto"/>
              </w:rPr>
            </w:pPr>
            <w:r>
              <w:rPr>
                <w:rFonts w:ascii="Arial" w:cs="Arial" w:eastAsia="Arial" w:hAnsi="Arial"/>
                <w:sz w:val="17"/>
                <w:szCs w:val="17"/>
                <w:color w:val="auto"/>
              </w:rPr>
              <w:t>March 4, 2021</w:t>
            </w:r>
          </w:p>
        </w:tc>
      </w:tr>
      <w:tr>
        <w:trPr>
          <w:trHeight w:val="222"/>
        </w:trPr>
        <w:tc>
          <w:tcPr>
            <w:tcW w:w="2380" w:type="dxa"/>
            <w:vAlign w:val="bottom"/>
          </w:tcPr>
          <w:p>
            <w:pPr>
              <w:spacing w:after="0"/>
              <w:rPr>
                <w:sz w:val="20"/>
                <w:szCs w:val="20"/>
                <w:color w:val="auto"/>
              </w:rPr>
            </w:pPr>
            <w:r>
              <w:rPr>
                <w:rFonts w:ascii="Arial" w:cs="Arial" w:eastAsia="Arial" w:hAnsi="Arial"/>
                <w:sz w:val="17"/>
                <w:szCs w:val="17"/>
                <w:color w:val="auto"/>
              </w:rPr>
              <w:t>Michael Parris</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0"/>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/s/WAYNE R. WALKER</w:t>
            </w:r>
          </w:p>
        </w:tc>
        <w:tc>
          <w:tcPr>
            <w:tcW w:w="14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Director</w:t>
            </w:r>
          </w:p>
        </w:tc>
        <w:tc>
          <w:tcPr>
            <w:tcW w:w="540" w:type="dxa"/>
            <w:vAlign w:val="bottom"/>
          </w:tcPr>
          <w:p>
            <w:pPr>
              <w:spacing w:after="0"/>
              <w:rPr>
                <w:sz w:val="24"/>
                <w:szCs w:val="24"/>
                <w:color w:val="auto"/>
              </w:rPr>
            </w:pPr>
          </w:p>
        </w:tc>
        <w:tc>
          <w:tcPr>
            <w:tcW w:w="2760" w:type="dxa"/>
            <w:vAlign w:val="bottom"/>
          </w:tcPr>
          <w:p>
            <w:pPr>
              <w:ind w:left="880"/>
              <w:spacing w:after="0"/>
              <w:rPr>
                <w:sz w:val="20"/>
                <w:szCs w:val="20"/>
                <w:color w:val="auto"/>
              </w:rPr>
            </w:pPr>
            <w:r>
              <w:rPr>
                <w:rFonts w:ascii="Arial" w:cs="Arial" w:eastAsia="Arial" w:hAnsi="Arial"/>
                <w:sz w:val="17"/>
                <w:szCs w:val="17"/>
                <w:color w:val="auto"/>
              </w:rPr>
              <w:t>March 4, 2021</w:t>
            </w:r>
          </w:p>
        </w:tc>
      </w:tr>
      <w:tr>
        <w:trPr>
          <w:trHeight w:val="222"/>
        </w:trPr>
        <w:tc>
          <w:tcPr>
            <w:tcW w:w="2380" w:type="dxa"/>
            <w:vAlign w:val="bottom"/>
          </w:tcPr>
          <w:p>
            <w:pPr>
              <w:spacing w:after="0"/>
              <w:rPr>
                <w:sz w:val="20"/>
                <w:szCs w:val="20"/>
                <w:color w:val="auto"/>
              </w:rPr>
            </w:pPr>
            <w:r>
              <w:rPr>
                <w:rFonts w:ascii="Arial" w:cs="Arial" w:eastAsia="Arial" w:hAnsi="Arial"/>
                <w:sz w:val="17"/>
                <w:szCs w:val="17"/>
                <w:color w:val="auto"/>
              </w:rPr>
              <w:t>Wayne R. Walker</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637"/>
        </w:trPr>
        <w:tc>
          <w:tcPr>
            <w:tcW w:w="2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ind w:left="1480"/>
              <w:spacing w:after="0"/>
              <w:rPr>
                <w:sz w:val="20"/>
                <w:szCs w:val="20"/>
                <w:color w:val="auto"/>
              </w:rPr>
            </w:pPr>
            <w:r>
              <w:rPr>
                <w:rFonts w:ascii="Arial" w:cs="Arial" w:eastAsia="Arial" w:hAnsi="Arial"/>
                <w:sz w:val="17"/>
                <w:szCs w:val="17"/>
                <w:color w:val="auto"/>
              </w:rPr>
              <w:t>F-27</w:t>
            </w:r>
          </w:p>
        </w:tc>
        <w:tc>
          <w:tcPr>
            <w:tcW w:w="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14.1</w:t>
      </w:r>
    </w:p>
    <w:p>
      <w:pPr>
        <w:spacing w:after="0" w:line="234" w:lineRule="exact"/>
        <w:rPr>
          <w:sz w:val="20"/>
          <w:szCs w:val="20"/>
          <w:color w:val="auto"/>
        </w:rPr>
      </w:pPr>
    </w:p>
    <w:p>
      <w:pPr>
        <w:ind w:left="2190"/>
        <w:spacing w:after="0"/>
        <w:rPr>
          <w:sz w:val="20"/>
          <w:szCs w:val="20"/>
          <w:color w:val="auto"/>
        </w:rPr>
      </w:pPr>
      <w:r>
        <w:rPr>
          <w:rFonts w:ascii="Arial" w:cs="Arial" w:eastAsia="Arial" w:hAnsi="Arial"/>
          <w:sz w:val="17"/>
          <w:szCs w:val="17"/>
          <w:b w:val="1"/>
          <w:bCs w:val="1"/>
          <w:color w:val="auto"/>
        </w:rPr>
        <w:t>WRAP TECHNOLOGIES, INC. CODE OF BUSINESS CONDUCT AND ETHICS</w:t>
      </w:r>
    </w:p>
    <w:p>
      <w:pPr>
        <w:spacing w:after="0" w:line="173" w:lineRule="exact"/>
        <w:rPr>
          <w:sz w:val="20"/>
          <w:szCs w:val="20"/>
          <w:color w:val="auto"/>
        </w:rPr>
      </w:pPr>
    </w:p>
    <w:p>
      <w:pPr>
        <w:ind w:left="4170"/>
        <w:spacing w:after="0"/>
        <w:rPr>
          <w:sz w:val="20"/>
          <w:szCs w:val="20"/>
          <w:color w:val="auto"/>
        </w:rPr>
      </w:pPr>
      <w:r>
        <w:rPr>
          <w:rFonts w:ascii="Arial" w:cs="Arial" w:eastAsia="Arial" w:hAnsi="Arial"/>
          <w:sz w:val="17"/>
          <w:szCs w:val="17"/>
          <w:b w:val="1"/>
          <w:bCs w:val="1"/>
          <w:i w:val="1"/>
          <w:iCs w:val="1"/>
          <w:color w:val="auto"/>
        </w:rPr>
        <w:t>Adopted November 7, 2018 and</w:t>
      </w:r>
    </w:p>
    <w:p>
      <w:pPr>
        <w:spacing w:after="0" w:line="26" w:lineRule="exact"/>
        <w:rPr>
          <w:sz w:val="20"/>
          <w:szCs w:val="20"/>
          <w:color w:val="auto"/>
        </w:rPr>
      </w:pPr>
    </w:p>
    <w:p>
      <w:pPr>
        <w:jc w:val="center"/>
        <w:ind w:right="310"/>
        <w:spacing w:after="0"/>
        <w:rPr>
          <w:sz w:val="20"/>
          <w:szCs w:val="20"/>
          <w:color w:val="auto"/>
        </w:rPr>
      </w:pPr>
      <w:r>
        <w:rPr>
          <w:rFonts w:ascii="Arial" w:cs="Arial" w:eastAsia="Arial" w:hAnsi="Arial"/>
          <w:sz w:val="17"/>
          <w:szCs w:val="17"/>
          <w:b w:val="1"/>
          <w:bCs w:val="1"/>
          <w:i w:val="1"/>
          <w:iCs w:val="1"/>
          <w:color w:val="auto"/>
        </w:rPr>
        <w:t>Amended February 14, 2020</w:t>
      </w:r>
    </w:p>
    <w:p>
      <w:pPr>
        <w:spacing w:after="0" w:line="249" w:lineRule="exact"/>
        <w:rPr>
          <w:sz w:val="20"/>
          <w:szCs w:val="20"/>
          <w:color w:val="auto"/>
        </w:rPr>
      </w:pPr>
    </w:p>
    <w:p>
      <w:pPr>
        <w:ind w:left="810" w:hanging="810"/>
        <w:spacing w:after="0"/>
        <w:tabs>
          <w:tab w:leader="none" w:pos="81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SCOPE OF CODE</w:t>
      </w:r>
    </w:p>
    <w:p>
      <w:pPr>
        <w:spacing w:after="0" w:line="267" w:lineRule="exact"/>
        <w:rPr>
          <w:sz w:val="20"/>
          <w:szCs w:val="20"/>
          <w:color w:val="auto"/>
        </w:rPr>
      </w:pPr>
    </w:p>
    <w:p>
      <w:pPr>
        <w:jc w:val="both"/>
        <w:ind w:left="10" w:right="60"/>
        <w:spacing w:after="0" w:line="267" w:lineRule="auto"/>
        <w:rPr>
          <w:sz w:val="20"/>
          <w:szCs w:val="20"/>
          <w:color w:val="auto"/>
        </w:rPr>
      </w:pPr>
      <w:r>
        <w:rPr>
          <w:rFonts w:ascii="Arial" w:cs="Arial" w:eastAsia="Arial" w:hAnsi="Arial"/>
          <w:sz w:val="17"/>
          <w:szCs w:val="17"/>
          <w:color w:val="auto"/>
        </w:rPr>
        <w:t>The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of Wrap Technologies,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has adopted this Code of Business Conduct and Ethics (the “</w:t>
      </w:r>
      <w:r>
        <w:rPr>
          <w:rFonts w:ascii="Arial" w:cs="Arial" w:eastAsia="Arial" w:hAnsi="Arial"/>
          <w:sz w:val="17"/>
          <w:szCs w:val="17"/>
          <w:i w:val="1"/>
          <w:iCs w:val="1"/>
          <w:color w:val="auto"/>
        </w:rPr>
        <w:t>Code</w:t>
      </w:r>
      <w:r>
        <w:rPr>
          <w:rFonts w:ascii="Arial" w:cs="Arial" w:eastAsia="Arial" w:hAnsi="Arial"/>
          <w:sz w:val="17"/>
          <w:szCs w:val="17"/>
          <w:color w:val="auto"/>
        </w:rPr>
        <w:t>”) which is intended to deter wrongdoing and promote honest and ethical conduct, including the fair and ethical handling of actual conflicts of interest between personal and professional relationships. The Code is also designed to avoid conflicts of interest, or the appearance of conflicts, by requiring appropriate disclosure to either (i) a supervisor, (ii) the Chair of the Audit Committee of the Board of Directors (the “</w:t>
      </w:r>
      <w:r>
        <w:rPr>
          <w:rFonts w:ascii="Arial" w:cs="Arial" w:eastAsia="Arial" w:hAnsi="Arial"/>
          <w:sz w:val="17"/>
          <w:szCs w:val="17"/>
          <w:i w:val="1"/>
          <w:iCs w:val="1"/>
          <w:color w:val="auto"/>
        </w:rPr>
        <w:t>Audit</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w:t>
      </w:r>
      <w:r>
        <w:rPr>
          <w:rFonts w:ascii="Arial" w:cs="Arial" w:eastAsia="Arial" w:hAnsi="Arial"/>
          <w:sz w:val="17"/>
          <w:szCs w:val="17"/>
          <w:color w:val="auto"/>
        </w:rPr>
        <w:t>”), or (iii) or Chair of the Board, as directed below, of any material transaction or relationship that could reasonably be expected to give rise to a</w:t>
      </w:r>
      <w:r>
        <w:rPr>
          <w:rFonts w:ascii="Arial" w:cs="Arial" w:eastAsia="Arial" w:hAnsi="Arial"/>
          <w:sz w:val="17"/>
          <w:szCs w:val="17"/>
          <w:i w:val="1"/>
          <w:iCs w:val="1"/>
          <w:color w:val="auto"/>
        </w:rPr>
        <w:t xml:space="preserve"> </w:t>
      </w:r>
      <w:r>
        <w:rPr>
          <w:rFonts w:ascii="Arial" w:cs="Arial" w:eastAsia="Arial" w:hAnsi="Arial"/>
          <w:sz w:val="17"/>
          <w:szCs w:val="17"/>
          <w:color w:val="auto"/>
        </w:rPr>
        <w:t>conflict. The Code is also intended to promote full, fair, accurate, timely and understandable disclosure in documents the Company files with, or submits to,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and in all other public communications made by the Company. The Code is also intended to promote compliance with applicable governmental laws, rules and regulations; prompt internal reporting to designated persons of violations of the Code; and accountability for adherence to the Code.</w:t>
      </w:r>
    </w:p>
    <w:p>
      <w:pPr>
        <w:spacing w:after="0" w:line="214" w:lineRule="exact"/>
        <w:rPr>
          <w:sz w:val="20"/>
          <w:szCs w:val="20"/>
          <w:color w:val="auto"/>
        </w:rPr>
      </w:pPr>
    </w:p>
    <w:p>
      <w:pPr>
        <w:ind w:left="650" w:hanging="650"/>
        <w:spacing w:after="0"/>
        <w:tabs>
          <w:tab w:leader="none" w:pos="65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APPLICATION OF CODE AND REPORTING VIOLATIONS</w:t>
      </w:r>
    </w:p>
    <w:p>
      <w:pPr>
        <w:spacing w:after="0" w:line="240" w:lineRule="exact"/>
        <w:rPr>
          <w:sz w:val="20"/>
          <w:szCs w:val="20"/>
          <w:color w:val="auto"/>
        </w:rPr>
      </w:pPr>
    </w:p>
    <w:p>
      <w:pPr>
        <w:jc w:val="both"/>
        <w:ind w:left="10" w:right="80"/>
        <w:spacing w:after="0" w:line="288" w:lineRule="auto"/>
        <w:rPr>
          <w:sz w:val="20"/>
          <w:szCs w:val="20"/>
          <w:color w:val="auto"/>
        </w:rPr>
      </w:pPr>
      <w:r>
        <w:rPr>
          <w:rFonts w:ascii="Arial" w:cs="Arial" w:eastAsia="Arial" w:hAnsi="Arial"/>
          <w:sz w:val="16"/>
          <w:szCs w:val="16"/>
          <w:color w:val="auto"/>
        </w:rPr>
        <w:t>The Code applies to the members of the Board (“</w:t>
      </w:r>
      <w:r>
        <w:rPr>
          <w:rFonts w:ascii="Arial" w:cs="Arial" w:eastAsia="Arial" w:hAnsi="Arial"/>
          <w:sz w:val="16"/>
          <w:szCs w:val="16"/>
          <w:i w:val="1"/>
          <w:iCs w:val="1"/>
          <w:color w:val="auto"/>
        </w:rPr>
        <w:t>Directors</w:t>
      </w:r>
      <w:r>
        <w:rPr>
          <w:rFonts w:ascii="Arial" w:cs="Arial" w:eastAsia="Arial" w:hAnsi="Arial"/>
          <w:sz w:val="16"/>
          <w:szCs w:val="16"/>
          <w:color w:val="auto"/>
        </w:rPr>
        <w:t>”), the executive officers (as defined under the regulations of the SEC) of the Company, including, in any case, but not limited to, the Company’s principal executive officer, principal financial officer, principal accounting officer or persons performing similar functions (collectively the “</w:t>
      </w:r>
      <w:r>
        <w:rPr>
          <w:rFonts w:ascii="Arial" w:cs="Arial" w:eastAsia="Arial" w:hAnsi="Arial"/>
          <w:sz w:val="16"/>
          <w:szCs w:val="16"/>
          <w:i w:val="1"/>
          <w:iCs w:val="1"/>
          <w:color w:val="auto"/>
        </w:rPr>
        <w:t>Officers</w:t>
      </w:r>
      <w:r>
        <w:rPr>
          <w:rFonts w:ascii="Arial" w:cs="Arial" w:eastAsia="Arial" w:hAnsi="Arial"/>
          <w:sz w:val="16"/>
          <w:szCs w:val="16"/>
          <w:color w:val="auto"/>
        </w:rPr>
        <w:t>”), and all employees of the Company. Each director, officer, and employee will be responsible for complying with this Code. If any director, officer or employee believes that a prohibited act under this Code has occurred, then he or she should promptly report such belief to their immediate supervisor, or if it is believed that such supervisor would be conflicted, or if any individual feels uncomfortable reporting to their immediate supervisor for any reason, or believes that such supervisor is not the appropriate person to address any perceived wrongdoing, such individual should submit his or her concern to the Chair of the Audit Committee at [</w:t>
      </w:r>
      <w:r>
        <w:rPr>
          <w:rFonts w:ascii="Arial" w:cs="Arial" w:eastAsia="Arial" w:hAnsi="Arial"/>
          <w:sz w:val="16"/>
          <w:szCs w:val="16"/>
          <w:i w:val="1"/>
          <w:iCs w:val="1"/>
          <w:color w:val="auto"/>
        </w:rPr>
        <w:t>auditcommittee@wraptechnologies.com</w:t>
      </w:r>
      <w:r>
        <w:rPr>
          <w:rFonts w:ascii="Arial" w:cs="Arial" w:eastAsia="Arial" w:hAnsi="Arial"/>
          <w:sz w:val="16"/>
          <w:szCs w:val="16"/>
          <w:color w:val="auto"/>
        </w:rPr>
        <w:t>].</w:t>
      </w:r>
    </w:p>
    <w:p>
      <w:pPr>
        <w:spacing w:after="0" w:line="174" w:lineRule="exact"/>
        <w:rPr>
          <w:sz w:val="20"/>
          <w:szCs w:val="20"/>
          <w:color w:val="auto"/>
        </w:rPr>
      </w:pPr>
    </w:p>
    <w:p>
      <w:pPr>
        <w:jc w:val="both"/>
        <w:ind w:left="10" w:right="80"/>
        <w:spacing w:after="0" w:line="296" w:lineRule="auto"/>
        <w:rPr>
          <w:sz w:val="20"/>
          <w:szCs w:val="20"/>
          <w:color w:val="auto"/>
        </w:rPr>
      </w:pPr>
      <w:r>
        <w:rPr>
          <w:rFonts w:ascii="Arial" w:cs="Arial" w:eastAsia="Arial" w:hAnsi="Arial"/>
          <w:sz w:val="17"/>
          <w:szCs w:val="17"/>
          <w:color w:val="auto"/>
        </w:rPr>
        <w:t>Reporting is available 24 hours a day, 7 days a week. Concerns regarding questionable accounting, internal accounting controls or auditing matters may be directed to the Chair of the Audit Committee at [</w:t>
      </w:r>
      <w:r>
        <w:rPr>
          <w:rFonts w:ascii="Arial" w:cs="Arial" w:eastAsia="Arial" w:hAnsi="Arial"/>
          <w:sz w:val="17"/>
          <w:szCs w:val="17"/>
          <w:i w:val="1"/>
          <w:iCs w:val="1"/>
          <w:color w:val="auto"/>
        </w:rPr>
        <w:t>auditcommittee@wraptechnologies.com</w:t>
      </w:r>
      <w:r>
        <w:rPr>
          <w:rFonts w:ascii="Arial" w:cs="Arial" w:eastAsia="Arial" w:hAnsi="Arial"/>
          <w:sz w:val="17"/>
          <w:szCs w:val="17"/>
          <w:color w:val="auto"/>
        </w:rPr>
        <w:t>] by leaving a confidential message.</w:t>
      </w:r>
    </w:p>
    <w:p>
      <w:pPr>
        <w:spacing w:after="0" w:line="163" w:lineRule="exact"/>
        <w:rPr>
          <w:sz w:val="20"/>
          <w:szCs w:val="20"/>
          <w:color w:val="auto"/>
        </w:rPr>
      </w:pPr>
    </w:p>
    <w:p>
      <w:pPr>
        <w:jc w:val="both"/>
        <w:ind w:left="10" w:right="60"/>
        <w:spacing w:after="0" w:line="268" w:lineRule="auto"/>
        <w:rPr>
          <w:sz w:val="20"/>
          <w:szCs w:val="20"/>
          <w:color w:val="auto"/>
        </w:rPr>
      </w:pPr>
      <w:r>
        <w:rPr>
          <w:rFonts w:ascii="Arial" w:cs="Arial" w:eastAsia="Arial" w:hAnsi="Arial"/>
          <w:sz w:val="17"/>
          <w:szCs w:val="17"/>
          <w:color w:val="auto"/>
        </w:rPr>
        <w:t>All concerns or complaints will be promptly reviewed and investigated by the Audit Committee or Board and any such reported prohibited act, without the participation of any director who may be the subject of such report. If the Audit Committee or Board determines that any such act represents a violation under this Code, then appropriate remedial or disciplinary action will be taken, up to and including immediate termination of employment. The Company’s outside counsel or individual designated by the Audit Committee or subcommittee of the Board will document the results of the investigation in a report to the Board in order to ensure a fair process is utilized in determining whether a violation of the Code has occurred. No person expressing concerns or complaints will be subject to any disciplinary or other adverse action by the Company absent a knowingly false report. All concerns or complaints may be made anonymously and will remain confidential, except as otherwise required by law or legal process. Please provide sufficient information to allow the concerns or complaints to be properly investigated.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261620</wp:posOffset>
            </wp:positionV>
            <wp:extent cx="71329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10"/>
          </w:cols>
          <w:pgMar w:left="650" w:top="340" w:right="339" w:bottom="1440" w:gutter="0" w:footer="0" w:header="0"/>
        </w:sectPr>
      </w:pPr>
    </w:p>
    <w:bookmarkStart w:id="72" w:name="page73"/>
    <w:bookmarkEnd w:id="72"/>
    <w:p>
      <w:pPr>
        <w:jc w:val="both"/>
        <w:ind w:left="10" w:right="200"/>
        <w:spacing w:after="0" w:line="296" w:lineRule="auto"/>
        <w:rPr>
          <w:sz w:val="20"/>
          <w:szCs w:val="20"/>
          <w:color w:val="auto"/>
        </w:rPr>
      </w:pPr>
      <w:r>
        <w:rPr>
          <w:rFonts w:ascii="Arial" w:cs="Arial" w:eastAsia="Arial" w:hAnsi="Arial"/>
          <w:sz w:val="17"/>
          <w:szCs w:val="17"/>
          <w:color w:val="auto"/>
        </w:rPr>
        <w:t>Although this is the preferred method for reporting prohibited acts, any director, officer or employee should also feel at liberty to report any such alleged prohibited act hereunder to the Chair of the Board or Audit Committee.</w:t>
      </w:r>
    </w:p>
    <w:p>
      <w:pPr>
        <w:spacing w:after="0" w:line="190" w:lineRule="exact"/>
        <w:rPr>
          <w:sz w:val="20"/>
          <w:szCs w:val="20"/>
          <w:color w:val="auto"/>
        </w:rPr>
      </w:pPr>
    </w:p>
    <w:p>
      <w:pPr>
        <w:jc w:val="both"/>
        <w:ind w:left="10" w:right="200"/>
        <w:spacing w:after="0" w:line="280" w:lineRule="auto"/>
        <w:rPr>
          <w:sz w:val="20"/>
          <w:szCs w:val="20"/>
          <w:color w:val="auto"/>
        </w:rPr>
      </w:pPr>
      <w:r>
        <w:rPr>
          <w:rFonts w:ascii="Arial" w:cs="Arial" w:eastAsia="Arial" w:hAnsi="Arial"/>
          <w:sz w:val="17"/>
          <w:szCs w:val="17"/>
          <w:color w:val="auto"/>
        </w:rPr>
        <w:t>All directors, officers and employees are expected to provide full cooperation and disclosure to the Audit Committee or Board, the Company and its internal and external auditors in connection with any review of compliance with this Code. The Company will retain a record of all concerns or complaints, and the results of its investigations for a period of five years.</w:t>
      </w:r>
    </w:p>
    <w:p>
      <w:pPr>
        <w:spacing w:after="0" w:line="197" w:lineRule="exact"/>
        <w:rPr>
          <w:sz w:val="20"/>
          <w:szCs w:val="20"/>
          <w:color w:val="auto"/>
        </w:rPr>
      </w:pPr>
    </w:p>
    <w:p>
      <w:pPr>
        <w:ind w:left="650" w:hanging="650"/>
        <w:spacing w:after="0"/>
        <w:tabs>
          <w:tab w:leader="none" w:pos="65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CONFLICTS OF INTEREST</w:t>
      </w:r>
    </w:p>
    <w:p>
      <w:pPr>
        <w:spacing w:after="0" w:line="267" w:lineRule="exact"/>
        <w:rPr>
          <w:sz w:val="20"/>
          <w:szCs w:val="20"/>
          <w:color w:val="auto"/>
        </w:rPr>
      </w:pPr>
    </w:p>
    <w:p>
      <w:pPr>
        <w:jc w:val="both"/>
        <w:ind w:left="10" w:right="200"/>
        <w:spacing w:after="0" w:line="296" w:lineRule="auto"/>
        <w:rPr>
          <w:sz w:val="20"/>
          <w:szCs w:val="20"/>
          <w:color w:val="auto"/>
        </w:rPr>
      </w:pPr>
      <w:r>
        <w:rPr>
          <w:rFonts w:ascii="Arial" w:cs="Arial" w:eastAsia="Arial" w:hAnsi="Arial"/>
          <w:sz w:val="16"/>
          <w:szCs w:val="16"/>
          <w:color w:val="auto"/>
        </w:rPr>
        <w:t>Every director, officer and employee have a duty to avoid any personal activity, investment or association (whether directly or indirectly) that could appear to interfere with good judgement concerning the interests of the Company or that divide such person’s loyalty to the Company. No employee, officer or director may exploit his or her position or relationship with the Company for personal gain. All employees, officers and directors should avoid even the appearance of such a conflict. For example, there is a likely conflict of interest if a director, officer or employee should:</w:t>
      </w:r>
    </w:p>
    <w:p>
      <w:pPr>
        <w:spacing w:after="0" w:line="100" w:lineRule="exact"/>
        <w:rPr>
          <w:sz w:val="20"/>
          <w:szCs w:val="20"/>
          <w:color w:val="auto"/>
        </w:rPr>
      </w:pPr>
    </w:p>
    <w:p>
      <w:pPr>
        <w:ind w:left="490" w:right="20" w:hanging="329"/>
        <w:spacing w:after="0" w:line="296" w:lineRule="auto"/>
        <w:tabs>
          <w:tab w:leader="none" w:pos="49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Cause the Company to engage in business transactions with relatives or friends that would not result in the benefit of the Company or that would place the director, officer or employee, or their relatives or friends in a position of conflict with the interests of the Company;</w:t>
      </w:r>
    </w:p>
    <w:p>
      <w:pPr>
        <w:spacing w:after="0" w:line="95" w:lineRule="exact"/>
        <w:rPr>
          <w:rFonts w:ascii="Arial" w:cs="Arial" w:eastAsia="Arial" w:hAnsi="Arial"/>
          <w:sz w:val="17"/>
          <w:szCs w:val="17"/>
          <w:color w:val="auto"/>
        </w:rPr>
      </w:pPr>
    </w:p>
    <w:p>
      <w:pPr>
        <w:ind w:left="490" w:hanging="329"/>
        <w:spacing w:after="0"/>
        <w:tabs>
          <w:tab w:leader="none" w:pos="4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Use nonpublic Company, customer, vendor or third-party information for personal gain by the director, officer, employee or their relatives or friends;</w:t>
      </w:r>
    </w:p>
    <w:p>
      <w:pPr>
        <w:spacing w:after="0" w:line="178" w:lineRule="exact"/>
        <w:rPr>
          <w:rFonts w:ascii="Arial" w:cs="Arial" w:eastAsia="Arial" w:hAnsi="Arial"/>
          <w:sz w:val="16"/>
          <w:szCs w:val="16"/>
          <w:color w:val="auto"/>
        </w:rPr>
      </w:pPr>
    </w:p>
    <w:p>
      <w:pPr>
        <w:ind w:left="490" w:hanging="329"/>
        <w:spacing w:after="0"/>
        <w:tabs>
          <w:tab w:leader="none" w:pos="49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Have more than a modest financial interest in any vendor, third-party, customer or competitor;</w:t>
      </w:r>
    </w:p>
    <w:p>
      <w:pPr>
        <w:spacing w:after="0" w:line="167" w:lineRule="exact"/>
        <w:rPr>
          <w:rFonts w:ascii="Arial" w:cs="Arial" w:eastAsia="Arial" w:hAnsi="Arial"/>
          <w:sz w:val="17"/>
          <w:szCs w:val="17"/>
          <w:color w:val="auto"/>
        </w:rPr>
      </w:pPr>
    </w:p>
    <w:p>
      <w:pPr>
        <w:ind w:left="490" w:hanging="329"/>
        <w:spacing w:after="0"/>
        <w:tabs>
          <w:tab w:leader="none" w:pos="49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Receive a loan, or guarantee of obligations, from the Company or a third-party as a result of his or her position at the Company; or</w:t>
      </w:r>
    </w:p>
    <w:p>
      <w:pPr>
        <w:spacing w:after="0" w:line="167" w:lineRule="exact"/>
        <w:rPr>
          <w:rFonts w:ascii="Arial" w:cs="Arial" w:eastAsia="Arial" w:hAnsi="Arial"/>
          <w:sz w:val="17"/>
          <w:szCs w:val="17"/>
          <w:color w:val="auto"/>
        </w:rPr>
      </w:pPr>
    </w:p>
    <w:p>
      <w:pPr>
        <w:ind w:left="490" w:hanging="329"/>
        <w:spacing w:after="0" w:line="296" w:lineRule="auto"/>
        <w:tabs>
          <w:tab w:leader="none" w:pos="49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Compete, or prepare to compete, with the Company while still employed by the Company or in violation of statutory or contractual duties or restrictions.</w:t>
      </w:r>
    </w:p>
    <w:p>
      <w:pPr>
        <w:spacing w:after="0" w:line="190" w:lineRule="exact"/>
        <w:rPr>
          <w:sz w:val="20"/>
          <w:szCs w:val="20"/>
          <w:color w:val="auto"/>
        </w:rPr>
      </w:pPr>
    </w:p>
    <w:p>
      <w:pPr>
        <w:ind w:left="10" w:right="200"/>
        <w:spacing w:after="0" w:line="296" w:lineRule="auto"/>
        <w:rPr>
          <w:sz w:val="20"/>
          <w:szCs w:val="20"/>
          <w:color w:val="auto"/>
        </w:rPr>
      </w:pPr>
      <w:r>
        <w:rPr>
          <w:rFonts w:ascii="Arial" w:cs="Arial" w:eastAsia="Arial" w:hAnsi="Arial"/>
          <w:sz w:val="17"/>
          <w:szCs w:val="17"/>
          <w:color w:val="auto"/>
        </w:rPr>
        <w:t>Note: These are examples only as there are other situations in which a conflict of interest may arise. If a director, officer, or employee is uncertain of any potential conflict of interest he or she should consult with their immediate supervisor or the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381635</wp:posOffset>
            </wp:positionV>
            <wp:extent cx="71329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10"/>
          </w:cols>
          <w:pgMar w:left="650" w:top="494" w:right="339" w:bottom="1440" w:gutter="0" w:footer="0" w:header="0"/>
        </w:sectPr>
      </w:pPr>
    </w:p>
    <w:bookmarkStart w:id="73" w:name="page74"/>
    <w:bookmarkEnd w:id="73"/>
    <w:p>
      <w:pPr>
        <w:ind w:left="10"/>
        <w:spacing w:after="0"/>
        <w:tabs>
          <w:tab w:leader="none" w:pos="63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CONDUCT OF BUSINESS, FAIR DEALING AND FAIR COMPETITION AND ANTI-TRUST LAWS</w:t>
      </w:r>
    </w:p>
    <w:p>
      <w:pPr>
        <w:spacing w:after="0" w:line="267" w:lineRule="exact"/>
        <w:rPr>
          <w:sz w:val="20"/>
          <w:szCs w:val="20"/>
          <w:color w:val="auto"/>
        </w:rPr>
      </w:pPr>
    </w:p>
    <w:p>
      <w:pPr>
        <w:ind w:left="10"/>
        <w:spacing w:after="0"/>
        <w:rPr>
          <w:sz w:val="20"/>
          <w:szCs w:val="20"/>
          <w:color w:val="auto"/>
        </w:rPr>
      </w:pPr>
      <w:r>
        <w:rPr>
          <w:rFonts w:ascii="Arial" w:cs="Arial" w:eastAsia="Arial" w:hAnsi="Arial"/>
          <w:sz w:val="17"/>
          <w:szCs w:val="17"/>
          <w:color w:val="auto"/>
        </w:rPr>
        <w:t>No director, officer or employee may:</w:t>
      </w:r>
    </w:p>
    <w:p>
      <w:pPr>
        <w:spacing w:after="0" w:line="261" w:lineRule="exact"/>
        <w:rPr>
          <w:sz w:val="20"/>
          <w:szCs w:val="20"/>
          <w:color w:val="auto"/>
        </w:rPr>
      </w:pPr>
    </w:p>
    <w:p>
      <w:pPr>
        <w:ind w:left="490" w:hanging="329"/>
        <w:spacing w:after="0"/>
        <w:tabs>
          <w:tab w:leader="none" w:pos="49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Compete with the Company by providing services to a competitor as an employee, officer or director or in a similar capacity;</w:t>
      </w:r>
    </w:p>
    <w:p>
      <w:pPr>
        <w:spacing w:after="0" w:line="167" w:lineRule="exact"/>
        <w:rPr>
          <w:rFonts w:ascii="Arial" w:cs="Arial" w:eastAsia="Arial" w:hAnsi="Arial"/>
          <w:sz w:val="17"/>
          <w:szCs w:val="17"/>
          <w:color w:val="auto"/>
        </w:rPr>
      </w:pPr>
    </w:p>
    <w:p>
      <w:pPr>
        <w:ind w:left="490" w:hanging="329"/>
        <w:spacing w:after="0"/>
        <w:tabs>
          <w:tab w:leader="none" w:pos="4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Profit, or assist others to profit, from confidential information or business opportunities that are available because of services to the Company;</w:t>
      </w:r>
    </w:p>
    <w:p>
      <w:pPr>
        <w:spacing w:after="0" w:line="178" w:lineRule="exact"/>
        <w:rPr>
          <w:rFonts w:ascii="Arial" w:cs="Arial" w:eastAsia="Arial" w:hAnsi="Arial"/>
          <w:sz w:val="16"/>
          <w:szCs w:val="16"/>
          <w:color w:val="auto"/>
        </w:rPr>
      </w:pPr>
    </w:p>
    <w:p>
      <w:pPr>
        <w:ind w:left="490" w:hanging="329"/>
        <w:spacing w:after="0" w:line="296" w:lineRule="auto"/>
        <w:tabs>
          <w:tab w:leader="none" w:pos="49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Take unfair advantage of any customer, client, vendor, competitor or other person through manipulation, concealment, misrepresentation of material facts or other unfair-dealing practice;</w:t>
      </w:r>
    </w:p>
    <w:p>
      <w:pPr>
        <w:spacing w:after="0" w:line="95" w:lineRule="exact"/>
        <w:rPr>
          <w:rFonts w:ascii="Arial" w:cs="Arial" w:eastAsia="Arial" w:hAnsi="Arial"/>
          <w:sz w:val="17"/>
          <w:szCs w:val="17"/>
          <w:color w:val="auto"/>
        </w:rPr>
      </w:pPr>
    </w:p>
    <w:p>
      <w:pPr>
        <w:ind w:left="490" w:right="20" w:hanging="329"/>
        <w:spacing w:after="0" w:line="296" w:lineRule="auto"/>
        <w:tabs>
          <w:tab w:leader="none" w:pos="49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Improperly influence or attempt to influence any business transaction between the Company and another entity in which a director, officer or employee has a direct or indirect financial interest or acts as an employee, officer or director or in a similar capacity; or</w:t>
      </w:r>
    </w:p>
    <w:p>
      <w:pPr>
        <w:spacing w:after="0" w:line="190" w:lineRule="exact"/>
        <w:rPr>
          <w:sz w:val="20"/>
          <w:szCs w:val="20"/>
          <w:color w:val="auto"/>
        </w:rPr>
      </w:pPr>
    </w:p>
    <w:p>
      <w:pPr>
        <w:ind w:left="10" w:right="120"/>
        <w:spacing w:after="0" w:line="296" w:lineRule="auto"/>
        <w:rPr>
          <w:sz w:val="20"/>
          <w:szCs w:val="20"/>
          <w:color w:val="auto"/>
        </w:rPr>
      </w:pPr>
      <w:r>
        <w:rPr>
          <w:rFonts w:ascii="Arial" w:cs="Arial" w:eastAsia="Arial" w:hAnsi="Arial"/>
          <w:sz w:val="17"/>
          <w:szCs w:val="17"/>
          <w:color w:val="auto"/>
        </w:rPr>
        <w:t>The Company (including all directors, officers and employees) must comply with all applicable fair competition and antitrust laws. These laws attempt to ensure that businesses compete fairly and honestly and prohibit conduct seeking to reduce or restrain competition.</w:t>
      </w:r>
    </w:p>
    <w:p>
      <w:pPr>
        <w:spacing w:after="0" w:line="184" w:lineRule="exact"/>
        <w:rPr>
          <w:sz w:val="20"/>
          <w:szCs w:val="20"/>
          <w:color w:val="auto"/>
        </w:rPr>
      </w:pPr>
    </w:p>
    <w:p>
      <w:pPr>
        <w:ind w:left="650" w:hanging="650"/>
        <w:spacing w:after="0"/>
        <w:tabs>
          <w:tab w:leader="none" w:pos="65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GIFTS, BRIBES AND KICKBACKS</w:t>
      </w:r>
    </w:p>
    <w:p>
      <w:pPr>
        <w:spacing w:after="0" w:line="267" w:lineRule="exact"/>
        <w:rPr>
          <w:sz w:val="20"/>
          <w:szCs w:val="20"/>
          <w:color w:val="auto"/>
        </w:rPr>
      </w:pPr>
    </w:p>
    <w:p>
      <w:pPr>
        <w:jc w:val="both"/>
        <w:ind w:left="10" w:right="180"/>
        <w:spacing w:after="0" w:line="285" w:lineRule="auto"/>
        <w:rPr>
          <w:sz w:val="20"/>
          <w:szCs w:val="20"/>
          <w:color w:val="auto"/>
        </w:rPr>
      </w:pPr>
      <w:r>
        <w:rPr>
          <w:rFonts w:ascii="Arial" w:cs="Arial" w:eastAsia="Arial" w:hAnsi="Arial"/>
          <w:sz w:val="16"/>
          <w:szCs w:val="16"/>
          <w:color w:val="auto"/>
        </w:rPr>
        <w:t>Other than modest gifts given or received in the normal course of business (including travel or entertainment), no employee, officer, or director or their respective relatives may give gifts to, or receive gifts from, the Company's customers, clients and vendors with a value greater than $50. Other gifts may be given or accepted only with prior approval of executive management. In no event should the director, officer or employee put the Company or himself or herself in a position that would be embarrassing if the gift were made public. Dealing with government employees is often different than dealing with private persons. Many governmental bodies strictly prohibit the receipt of any gratuities by their employees, including meals and entertainment. Directors, officers and employees must be aware of and strictly follow these prohibitions. Any director, officer or employee who pays or receives bribes or kickbacks will be investigated by the Audit Committee or the Board and if it is determined to be necessary, appropriate remedial or disciplinary action will be taken, up to and including immediate termination of employment or immediately terminated and reported or, as warranted, to the appropriate authorities. A kickback or bribe includes any item intended to improperly obtain favorable treatment, regardless of the appropriateness of such a practice in local custom or law.</w:t>
      </w:r>
    </w:p>
    <w:p>
      <w:pPr>
        <w:spacing w:after="0" w:line="201" w:lineRule="exact"/>
        <w:rPr>
          <w:sz w:val="20"/>
          <w:szCs w:val="20"/>
          <w:color w:val="auto"/>
        </w:rPr>
      </w:pPr>
    </w:p>
    <w:p>
      <w:pPr>
        <w:ind w:left="10"/>
        <w:spacing w:after="0"/>
        <w:tabs>
          <w:tab w:leader="none" w:pos="63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LOANS</w:t>
      </w:r>
    </w:p>
    <w:p>
      <w:pPr>
        <w:spacing w:after="0" w:line="267" w:lineRule="exact"/>
        <w:rPr>
          <w:sz w:val="20"/>
          <w:szCs w:val="20"/>
          <w:color w:val="auto"/>
        </w:rPr>
      </w:pPr>
    </w:p>
    <w:p>
      <w:pPr>
        <w:jc w:val="both"/>
        <w:ind w:left="10" w:right="200"/>
        <w:spacing w:after="0" w:line="296" w:lineRule="auto"/>
        <w:rPr>
          <w:sz w:val="20"/>
          <w:szCs w:val="20"/>
          <w:color w:val="auto"/>
        </w:rPr>
      </w:pPr>
      <w:r>
        <w:rPr>
          <w:rFonts w:ascii="Arial" w:cs="Arial" w:eastAsia="Arial" w:hAnsi="Arial"/>
          <w:sz w:val="17"/>
          <w:szCs w:val="17"/>
          <w:color w:val="auto"/>
        </w:rPr>
        <w:t>No officer or director may request or accept a loan or advance from the Company. As a general rule, the Company will not make loans or advances, including payroll advances, to any employee.</w:t>
      </w:r>
    </w:p>
    <w:p>
      <w:pPr>
        <w:spacing w:after="0" w:line="184" w:lineRule="exact"/>
        <w:rPr>
          <w:sz w:val="20"/>
          <w:szCs w:val="20"/>
          <w:color w:val="auto"/>
        </w:rPr>
      </w:pPr>
    </w:p>
    <w:p>
      <w:pPr>
        <w:ind w:left="10"/>
        <w:spacing w:after="0"/>
        <w:tabs>
          <w:tab w:leader="none" w:pos="630" w:val="left"/>
        </w:tabs>
        <w:rPr>
          <w:sz w:val="20"/>
          <w:szCs w:val="20"/>
          <w:color w:val="auto"/>
        </w:rPr>
      </w:pPr>
      <w:r>
        <w:rPr>
          <w:rFonts w:ascii="Arial" w:cs="Arial" w:eastAsia="Arial" w:hAnsi="Arial"/>
          <w:sz w:val="17"/>
          <w:szCs w:val="17"/>
          <w:b w:val="1"/>
          <w:bCs w:val="1"/>
          <w:color w:val="auto"/>
        </w:rPr>
        <w:t>VII.</w:t>
      </w:r>
      <w:r>
        <w:rPr>
          <w:sz w:val="20"/>
          <w:szCs w:val="20"/>
          <w:color w:val="auto"/>
        </w:rPr>
        <w:tab/>
      </w:r>
      <w:r>
        <w:rPr>
          <w:rFonts w:ascii="Arial" w:cs="Arial" w:eastAsia="Arial" w:hAnsi="Arial"/>
          <w:sz w:val="17"/>
          <w:szCs w:val="17"/>
          <w:b w:val="1"/>
          <w:bCs w:val="1"/>
          <w:color w:val="auto"/>
        </w:rPr>
        <w:t>COMPLIANCE WITH LAWS AND REGULATIONS</w:t>
      </w:r>
    </w:p>
    <w:p>
      <w:pPr>
        <w:spacing w:after="0" w:line="267" w:lineRule="exact"/>
        <w:rPr>
          <w:sz w:val="20"/>
          <w:szCs w:val="20"/>
          <w:color w:val="auto"/>
        </w:rPr>
      </w:pPr>
    </w:p>
    <w:p>
      <w:pPr>
        <w:jc w:val="both"/>
        <w:ind w:left="10" w:right="180"/>
        <w:spacing w:after="0" w:line="280" w:lineRule="auto"/>
        <w:rPr>
          <w:sz w:val="20"/>
          <w:szCs w:val="20"/>
          <w:color w:val="auto"/>
        </w:rPr>
      </w:pPr>
      <w:r>
        <w:rPr>
          <w:rFonts w:ascii="Arial" w:cs="Arial" w:eastAsia="Arial" w:hAnsi="Arial"/>
          <w:sz w:val="17"/>
          <w:szCs w:val="17"/>
          <w:color w:val="auto"/>
        </w:rPr>
        <w:t>It is the policy of the Company to comply with the laws of each country in which the Company conducts business. Each director, officer and employee must comply with all applicable laws, rules and regulations, and should use all reasonable efforts to oversee compliance by other directors, officers and employees with all applicable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389890</wp:posOffset>
            </wp:positionV>
            <wp:extent cx="71329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10"/>
          </w:cols>
          <w:pgMar w:left="650" w:top="488" w:right="339" w:bottom="1440" w:gutter="0" w:footer="0" w:header="0"/>
        </w:sectPr>
      </w:pPr>
    </w:p>
    <w:bookmarkStart w:id="74" w:name="page75"/>
    <w:bookmarkEnd w:id="74"/>
    <w:p>
      <w:pPr>
        <w:jc w:val="both"/>
        <w:ind w:left="10"/>
        <w:spacing w:after="0" w:line="274" w:lineRule="auto"/>
        <w:rPr>
          <w:sz w:val="20"/>
          <w:szCs w:val="20"/>
          <w:color w:val="auto"/>
        </w:rPr>
      </w:pPr>
      <w:r>
        <w:rPr>
          <w:rFonts w:ascii="Arial" w:cs="Arial" w:eastAsia="Arial" w:hAnsi="Arial"/>
          <w:sz w:val="17"/>
          <w:szCs w:val="17"/>
          <w:color w:val="auto"/>
        </w:rPr>
        <w:t>Each director, officer and employee working outside of the United States or with foreign customers, clients, vendors, persons or entities must comply with laws, regulations, rules, and regulatory orders of the United States, including the Foreign Corrupt Practices Act and the U.S. Export Control Act, in addition to applicable local laws. Each such director, officer and employee must acquire appropriate knowledge of the requirements relating to his or her duties sufficient to enable him or her to recognize potential dangers and to know when to seek advice from the Company’s outside legal counsel on specific Company policies and procedures. Violations of laws, regulations, rules, and orders may subject a director, officer or employee to individual criminal or civil liability, as well as to discipline by the Company. Such individual violations may also subject the Company to civil or criminal liability or the loss of business.</w:t>
      </w:r>
    </w:p>
    <w:p>
      <w:pPr>
        <w:spacing w:after="0" w:line="205" w:lineRule="exact"/>
        <w:rPr>
          <w:sz w:val="20"/>
          <w:szCs w:val="20"/>
          <w:color w:val="auto"/>
        </w:rPr>
      </w:pPr>
    </w:p>
    <w:p>
      <w:pPr>
        <w:ind w:left="10"/>
        <w:spacing w:after="0"/>
        <w:tabs>
          <w:tab w:leader="none" w:pos="630" w:val="left"/>
        </w:tabs>
        <w:rPr>
          <w:sz w:val="20"/>
          <w:szCs w:val="20"/>
          <w:color w:val="auto"/>
        </w:rPr>
      </w:pPr>
      <w:r>
        <w:rPr>
          <w:rFonts w:ascii="Arial" w:cs="Arial" w:eastAsia="Arial" w:hAnsi="Arial"/>
          <w:sz w:val="17"/>
          <w:szCs w:val="17"/>
          <w:b w:val="1"/>
          <w:bCs w:val="1"/>
          <w:color w:val="auto"/>
        </w:rPr>
        <w:t>VIII.</w:t>
        <w:tab/>
        <w:t>USE OF COMPANY FUNDS, ASSETS AND INFORMATION</w:t>
      </w:r>
    </w:p>
    <w:p>
      <w:pPr>
        <w:spacing w:after="0" w:line="240" w:lineRule="exact"/>
        <w:rPr>
          <w:sz w:val="20"/>
          <w:szCs w:val="20"/>
          <w:color w:val="auto"/>
        </w:rPr>
      </w:pPr>
    </w:p>
    <w:p>
      <w:pPr>
        <w:jc w:val="both"/>
        <w:ind w:left="10"/>
        <w:spacing w:after="0" w:line="290" w:lineRule="auto"/>
        <w:rPr>
          <w:sz w:val="20"/>
          <w:szCs w:val="20"/>
          <w:color w:val="auto"/>
        </w:rPr>
      </w:pPr>
      <w:r>
        <w:rPr>
          <w:rFonts w:ascii="Arial" w:cs="Arial" w:eastAsia="Arial" w:hAnsi="Arial"/>
          <w:sz w:val="16"/>
          <w:szCs w:val="16"/>
          <w:color w:val="auto"/>
        </w:rPr>
        <w:t>All directors, officers and employees should protect the Company’s assets to ensure their efficient use and protect against theft, carelessness and waste. The Company understands that from time to time, a director, officer or employee may use Company assets, such as photocopiers, computers, secretarial time, Company time, telephone and facilities, etc., for personal use which is only incidental or represents minor uses of Company property. Although the Company does not encourage the use of Company property for personal reasons or benefit, the Company understands and acknowledges that minor or incidental use by a director, officer or employee may unavoidably occur. This Code discourages minor or incidental use of Company assets for personal purposes. Excessive use of Company assets for personal purposes may result in disciplinary action.</w:t>
      </w:r>
    </w:p>
    <w:p>
      <w:pPr>
        <w:spacing w:after="0" w:line="165" w:lineRule="exact"/>
        <w:rPr>
          <w:sz w:val="20"/>
          <w:szCs w:val="20"/>
          <w:color w:val="auto"/>
        </w:rPr>
      </w:pPr>
    </w:p>
    <w:p>
      <w:pPr>
        <w:ind w:left="10"/>
        <w:spacing w:after="0"/>
        <w:tabs>
          <w:tab w:leader="none" w:pos="630" w:val="left"/>
        </w:tabs>
        <w:rPr>
          <w:sz w:val="20"/>
          <w:szCs w:val="20"/>
          <w:color w:val="auto"/>
        </w:rPr>
      </w:pPr>
      <w:r>
        <w:rPr>
          <w:rFonts w:ascii="Arial" w:cs="Arial" w:eastAsia="Arial" w:hAnsi="Arial"/>
          <w:sz w:val="17"/>
          <w:szCs w:val="17"/>
          <w:b w:val="1"/>
          <w:bCs w:val="1"/>
          <w:color w:val="auto"/>
        </w:rPr>
        <w:t>IX.</w:t>
      </w:r>
      <w:r>
        <w:rPr>
          <w:sz w:val="20"/>
          <w:szCs w:val="20"/>
          <w:color w:val="auto"/>
        </w:rPr>
        <w:tab/>
      </w:r>
      <w:r>
        <w:rPr>
          <w:rFonts w:ascii="Arial" w:cs="Arial" w:eastAsia="Arial" w:hAnsi="Arial"/>
          <w:sz w:val="17"/>
          <w:szCs w:val="17"/>
          <w:b w:val="1"/>
          <w:bCs w:val="1"/>
          <w:color w:val="auto"/>
        </w:rPr>
        <w:t>GATHERING COMPETITIVE INFORMATION</w:t>
      </w:r>
    </w:p>
    <w:p>
      <w:pPr>
        <w:spacing w:after="0" w:line="267" w:lineRule="exact"/>
        <w:rPr>
          <w:sz w:val="20"/>
          <w:szCs w:val="20"/>
          <w:color w:val="auto"/>
        </w:rPr>
      </w:pPr>
    </w:p>
    <w:p>
      <w:pPr>
        <w:jc w:val="both"/>
        <w:ind w:left="10" w:right="20"/>
        <w:spacing w:after="0" w:line="274" w:lineRule="auto"/>
        <w:rPr>
          <w:sz w:val="20"/>
          <w:szCs w:val="20"/>
          <w:color w:val="auto"/>
        </w:rPr>
      </w:pPr>
      <w:r>
        <w:rPr>
          <w:rFonts w:ascii="Arial" w:cs="Arial" w:eastAsia="Arial" w:hAnsi="Arial"/>
          <w:sz w:val="17"/>
          <w:szCs w:val="17"/>
          <w:color w:val="auto"/>
        </w:rPr>
        <w:t>No officer, director or employee may accept, use or disclose the confidential information of competitors of the Company. When obtaining competitive information, officers, directors and employees must not violate competitors' rights. Particular care must be taken when dealing with competitors' clients, former clients and former employees. Confidential or proprietary information should never be requested nor should an employee, director or officer request a person to violate a non-compete or non-disclosure agreement.</w:t>
      </w:r>
    </w:p>
    <w:p>
      <w:pPr>
        <w:spacing w:after="0" w:line="203" w:lineRule="exact"/>
        <w:rPr>
          <w:sz w:val="20"/>
          <w:szCs w:val="20"/>
          <w:color w:val="auto"/>
        </w:rPr>
      </w:pPr>
    </w:p>
    <w:p>
      <w:pPr>
        <w:ind w:left="650" w:hanging="650"/>
        <w:spacing w:after="0"/>
        <w:tabs>
          <w:tab w:leader="none" w:pos="65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USE OF MATERIAL AND INSIDER OR CONFIDENT IAL INFORMATION</w:t>
      </w:r>
    </w:p>
    <w:p>
      <w:pPr>
        <w:spacing w:after="0" w:line="267" w:lineRule="exact"/>
        <w:rPr>
          <w:sz w:val="20"/>
          <w:szCs w:val="20"/>
          <w:color w:val="auto"/>
        </w:rPr>
      </w:pPr>
    </w:p>
    <w:p>
      <w:pPr>
        <w:jc w:val="both"/>
        <w:ind w:left="10"/>
        <w:spacing w:after="0" w:line="290" w:lineRule="auto"/>
        <w:rPr>
          <w:sz w:val="20"/>
          <w:szCs w:val="20"/>
          <w:color w:val="auto"/>
        </w:rPr>
      </w:pPr>
      <w:r>
        <w:rPr>
          <w:rFonts w:ascii="Arial" w:cs="Arial" w:eastAsia="Arial" w:hAnsi="Arial"/>
          <w:sz w:val="16"/>
          <w:szCs w:val="16"/>
          <w:color w:val="auto"/>
        </w:rPr>
        <w:t>Confidential information includes all non-public information that might be of use to competitors or harmful to the Company or its customers, clients and vendors if disclosed. Confidential information, in any form, obtained through business or personal contacts with customers, prospective customers, vendors, suppliers, or other employees must be used solely for the Company’s purposes. Information reflecting favorably or adversely upon the current or future value of any business enterprise should not be used in any manner for personal gain or for advantage to a third party. This information must not be revealed to unauthorized persons or discussed with others within the Company unless their duties require this information. In addition, the use of confidential information about one customer, clients and vendors to further the private interests of another such party is unethical and possibly illegal.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216535</wp:posOffset>
            </wp:positionV>
            <wp:extent cx="71329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30"/>
          </w:cols>
          <w:pgMar w:left="650" w:top="494" w:right="51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Some specific examples of confidential information include but are not limited to:</w:t>
      </w:r>
    </w:p>
    <w:p>
      <w:pPr>
        <w:spacing w:after="0" w:line="167" w:lineRule="exact"/>
        <w:rPr>
          <w:sz w:val="20"/>
          <w:szCs w:val="20"/>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Information regarding the Company’s strategic plans, regulatory initiatives and certain plans and programs;</w:t>
      </w:r>
    </w:p>
    <w:p>
      <w:pPr>
        <w:spacing w:after="0" w:line="167" w:lineRule="exact"/>
        <w:rPr>
          <w:rFonts w:ascii="Arial" w:cs="Arial" w:eastAsia="Arial" w:hAnsi="Arial"/>
          <w:sz w:val="17"/>
          <w:szCs w:val="17"/>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identity of customers and potential customers and their personal, business and financial information;</w:t>
      </w:r>
    </w:p>
    <w:p>
      <w:pPr>
        <w:spacing w:after="0" w:line="167" w:lineRule="exact"/>
        <w:rPr>
          <w:rFonts w:ascii="Arial" w:cs="Arial" w:eastAsia="Arial" w:hAnsi="Arial"/>
          <w:sz w:val="17"/>
          <w:szCs w:val="17"/>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Non-public business and financial information of the Company;</w:t>
      </w:r>
    </w:p>
    <w:p>
      <w:pPr>
        <w:spacing w:after="0" w:line="167" w:lineRule="exact"/>
        <w:rPr>
          <w:rFonts w:ascii="Arial" w:cs="Arial" w:eastAsia="Arial" w:hAnsi="Arial"/>
          <w:sz w:val="17"/>
          <w:szCs w:val="17"/>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Personal information regarding any director, officer or employee of the Company;</w:t>
      </w:r>
    </w:p>
    <w:p>
      <w:pPr>
        <w:spacing w:after="0" w:line="167" w:lineRule="exact"/>
        <w:rPr>
          <w:rFonts w:ascii="Arial" w:cs="Arial" w:eastAsia="Arial" w:hAnsi="Arial"/>
          <w:sz w:val="17"/>
          <w:szCs w:val="17"/>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Personal or non-public business information regarding any customer, supplier, vendor or agent of the Company;</w:t>
      </w:r>
    </w:p>
    <w:p>
      <w:pPr>
        <w:spacing w:after="0" w:line="167" w:lineRule="exact"/>
        <w:rPr>
          <w:rFonts w:ascii="Arial" w:cs="Arial" w:eastAsia="Arial" w:hAnsi="Arial"/>
          <w:sz w:val="17"/>
          <w:szCs w:val="17"/>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Information related to, including the identity of, potential candidates for mergers and acquisitions;</w:t>
      </w:r>
    </w:p>
    <w:p>
      <w:pPr>
        <w:spacing w:after="0" w:line="167" w:lineRule="exact"/>
        <w:rPr>
          <w:rFonts w:ascii="Arial" w:cs="Arial" w:eastAsia="Arial" w:hAnsi="Arial"/>
          <w:sz w:val="17"/>
          <w:szCs w:val="17"/>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Information regarding the Company’s sales strategies, plans or proposals;</w:t>
      </w:r>
    </w:p>
    <w:p>
      <w:pPr>
        <w:spacing w:after="0" w:line="167" w:lineRule="exact"/>
        <w:rPr>
          <w:rFonts w:ascii="Arial" w:cs="Arial" w:eastAsia="Arial" w:hAnsi="Arial"/>
          <w:sz w:val="17"/>
          <w:szCs w:val="17"/>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Information related to computer software programs, whether proprietary or standard;</w:t>
      </w:r>
    </w:p>
    <w:p>
      <w:pPr>
        <w:spacing w:after="0" w:line="167" w:lineRule="exact"/>
        <w:rPr>
          <w:rFonts w:ascii="Arial" w:cs="Arial" w:eastAsia="Arial" w:hAnsi="Arial"/>
          <w:sz w:val="17"/>
          <w:szCs w:val="17"/>
          <w:color w:val="auto"/>
        </w:rPr>
      </w:pPr>
    </w:p>
    <w:p>
      <w:pPr>
        <w:ind w:left="480" w:hanging="329"/>
        <w:spacing w:after="0" w:line="296"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Information related to documentation systems, information databases, customized hardware or other information systems and technological developments;</w:t>
      </w:r>
    </w:p>
    <w:p>
      <w:pPr>
        <w:spacing w:after="0" w:line="95" w:lineRule="exact"/>
        <w:rPr>
          <w:rFonts w:ascii="Arial" w:cs="Arial" w:eastAsia="Arial" w:hAnsi="Arial"/>
          <w:sz w:val="17"/>
          <w:szCs w:val="17"/>
          <w:color w:val="auto"/>
        </w:rPr>
      </w:pPr>
    </w:p>
    <w:p>
      <w:pPr>
        <w:ind w:left="480" w:hanging="329"/>
        <w:spacing w:after="0" w:line="296"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Manuals, processes, policies, procedures, compositions, innovations, inventions, formulas and other proprietary information belonging to the Company or related to the Company’s activities;</w:t>
      </w:r>
    </w:p>
    <w:p>
      <w:pPr>
        <w:spacing w:after="0" w:line="95" w:lineRule="exact"/>
        <w:rPr>
          <w:rFonts w:ascii="Arial" w:cs="Arial" w:eastAsia="Arial" w:hAnsi="Arial"/>
          <w:sz w:val="17"/>
          <w:szCs w:val="17"/>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Communications by, to and from regulatory agencies; and</w:t>
      </w:r>
    </w:p>
    <w:p>
      <w:pPr>
        <w:spacing w:after="0" w:line="167" w:lineRule="exact"/>
        <w:rPr>
          <w:rFonts w:ascii="Arial" w:cs="Arial" w:eastAsia="Arial" w:hAnsi="Arial"/>
          <w:sz w:val="17"/>
          <w:szCs w:val="17"/>
          <w:color w:val="auto"/>
        </w:rPr>
      </w:pPr>
    </w:p>
    <w:p>
      <w:pPr>
        <w:ind w:left="480" w:hanging="329"/>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Certain communications with or from attorneys for the Company, whether internal or external.</w:t>
      </w:r>
    </w:p>
    <w:p>
      <w:pPr>
        <w:spacing w:after="0" w:line="234"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This caution on confidential information does not preclude releasing certain customer, vendor or client information when authorized by the customer or to the government when appropriate. Guidance from the Company’s outside legal counsel or an immediate supervisor should be sought. Disclosure of confidential information to attorneys, accountants and other professionals working on behalf of the Company, as well as regulatory examiners, may also be appropriate.</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XI.</w:t>
      </w:r>
      <w:r>
        <w:rPr>
          <w:sz w:val="20"/>
          <w:szCs w:val="20"/>
          <w:color w:val="auto"/>
        </w:rPr>
        <w:tab/>
      </w:r>
      <w:r>
        <w:rPr>
          <w:rFonts w:ascii="Arial" w:cs="Arial" w:eastAsia="Arial" w:hAnsi="Arial"/>
          <w:sz w:val="17"/>
          <w:szCs w:val="17"/>
          <w:b w:val="1"/>
          <w:bCs w:val="1"/>
          <w:color w:val="auto"/>
        </w:rPr>
        <w:t>PROTECTING THE COMPANY’S CONFIDENTIAL INFORMATION</w:t>
      </w:r>
    </w:p>
    <w:p>
      <w:pPr>
        <w:spacing w:after="0" w:line="267" w:lineRule="exact"/>
        <w:rPr>
          <w:sz w:val="20"/>
          <w:szCs w:val="20"/>
          <w:color w:val="auto"/>
        </w:rPr>
      </w:pPr>
    </w:p>
    <w:p>
      <w:pPr>
        <w:jc w:val="both"/>
        <w:ind w:right="180"/>
        <w:spacing w:after="0" w:line="285" w:lineRule="auto"/>
        <w:rPr>
          <w:sz w:val="20"/>
          <w:szCs w:val="20"/>
          <w:color w:val="auto"/>
        </w:rPr>
      </w:pPr>
      <w:r>
        <w:rPr>
          <w:rFonts w:ascii="Arial" w:cs="Arial" w:eastAsia="Arial" w:hAnsi="Arial"/>
          <w:sz w:val="16"/>
          <w:szCs w:val="16"/>
          <w:color w:val="auto"/>
        </w:rPr>
        <w:t>The Company’s confidential information is a valuable asset. The Company’s confidential information includes, but is not limited to, product technology; manufacturing processes; product plans; names and lists of existing and prospective customers, clients, vendors, dealers, distributors and employees; financial information and plans, both historical and projected, employee information and related training materials; non-public training plans and materials, research and development plans and results, and marketing and business plans and results. All Company confidential information is the exclusive property of the Company and may also be protected by patent, trademark, copyright, and trade secret laws. All confidential information must be used for Company business purposes only and every director, officer and employee have the obligation to safeguard it. UNLESS OTHERWISE PROVIDED HEREIN, THIS RESPONSIBILITY INCLUDES NOT DISCLOSING THE COMPANY’S CONFIDENTIAL INFORMATION SUCH AS INFORMATION REGARDING THE COMPANY’S PRODUCTS OR BUSINESS OVER THE INTERNET OR TO ANY THIRD-PARTY BY ANY MEANS AND UNDER ANY CIRCUMSTANCES. Each director, officer and employee are also responsible for properly labeling relevant or important documentation shared with or correspondence sent to the Company’s outside legal counsel as “Attorney-Client Privileged”.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392430</wp:posOffset>
            </wp:positionV>
            <wp:extent cx="71329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00"/>
          </w:cols>
          <w:pgMar w:left="660" w:top="507" w:right="339" w:bottom="1440" w:gutter="0" w:footer="0" w:header="0"/>
        </w:sectPr>
      </w:pPr>
    </w:p>
    <w:bookmarkStart w:id="76" w:name="page77"/>
    <w:bookmarkEnd w:id="76"/>
    <w:p>
      <w:pPr>
        <w:spacing w:after="0"/>
        <w:tabs>
          <w:tab w:leader="none" w:pos="620" w:val="left"/>
        </w:tabs>
        <w:rPr>
          <w:sz w:val="20"/>
          <w:szCs w:val="20"/>
          <w:color w:val="auto"/>
        </w:rPr>
      </w:pPr>
      <w:r>
        <w:rPr>
          <w:rFonts w:ascii="Arial" w:cs="Arial" w:eastAsia="Arial" w:hAnsi="Arial"/>
          <w:sz w:val="17"/>
          <w:szCs w:val="17"/>
          <w:b w:val="1"/>
          <w:bCs w:val="1"/>
          <w:color w:val="auto"/>
        </w:rPr>
        <w:t>XII.</w:t>
      </w:r>
      <w:r>
        <w:rPr>
          <w:sz w:val="20"/>
          <w:szCs w:val="20"/>
          <w:color w:val="auto"/>
        </w:rPr>
        <w:tab/>
      </w:r>
      <w:r>
        <w:rPr>
          <w:rFonts w:ascii="Arial" w:cs="Arial" w:eastAsia="Arial" w:hAnsi="Arial"/>
          <w:sz w:val="17"/>
          <w:szCs w:val="17"/>
          <w:b w:val="1"/>
          <w:bCs w:val="1"/>
          <w:color w:val="auto"/>
        </w:rPr>
        <w:t>ADDITIONAL POLICIES FOR SENIOR FINANCIAL OFFICERS</w:t>
      </w:r>
    </w:p>
    <w:p>
      <w:pPr>
        <w:spacing w:after="0" w:line="267" w:lineRule="exact"/>
        <w:rPr>
          <w:sz w:val="20"/>
          <w:szCs w:val="20"/>
          <w:color w:val="auto"/>
        </w:rPr>
      </w:pPr>
    </w:p>
    <w:p>
      <w:pPr>
        <w:jc w:val="both"/>
        <w:ind w:right="100"/>
        <w:spacing w:after="0" w:line="280" w:lineRule="auto"/>
        <w:rPr>
          <w:sz w:val="20"/>
          <w:szCs w:val="20"/>
          <w:color w:val="auto"/>
        </w:rPr>
      </w:pPr>
      <w:r>
        <w:rPr>
          <w:rFonts w:ascii="Arial" w:cs="Arial" w:eastAsia="Arial" w:hAnsi="Arial"/>
          <w:sz w:val="17"/>
          <w:szCs w:val="17"/>
          <w:color w:val="auto"/>
        </w:rPr>
        <w:t>In addition to being bound by all other provisions of this Code, the Chief Executive Officer (“</w:t>
      </w:r>
      <w:r>
        <w:rPr>
          <w:rFonts w:ascii="Arial" w:cs="Arial" w:eastAsia="Arial" w:hAnsi="Arial"/>
          <w:sz w:val="17"/>
          <w:szCs w:val="17"/>
          <w:i w:val="1"/>
          <w:iCs w:val="1"/>
          <w:color w:val="auto"/>
        </w:rPr>
        <w:t>CEO</w:t>
      </w:r>
      <w:r>
        <w:rPr>
          <w:rFonts w:ascii="Arial" w:cs="Arial" w:eastAsia="Arial" w:hAnsi="Arial"/>
          <w:sz w:val="17"/>
          <w:szCs w:val="17"/>
          <w:color w:val="auto"/>
        </w:rPr>
        <w:t>”), Chief Financial Officer (“</w:t>
      </w:r>
      <w:r>
        <w:rPr>
          <w:rFonts w:ascii="Arial" w:cs="Arial" w:eastAsia="Arial" w:hAnsi="Arial"/>
          <w:sz w:val="17"/>
          <w:szCs w:val="17"/>
          <w:i w:val="1"/>
          <w:iCs w:val="1"/>
          <w:color w:val="auto"/>
        </w:rPr>
        <w:t>CFO</w:t>
      </w:r>
      <w:r>
        <w:rPr>
          <w:rFonts w:ascii="Arial" w:cs="Arial" w:eastAsia="Arial" w:hAnsi="Arial"/>
          <w:sz w:val="17"/>
          <w:szCs w:val="17"/>
          <w:color w:val="auto"/>
        </w:rPr>
        <w:t>”), Corporate Controller, Director of SEC Reporting and others performing similar functions (collectively, the "</w:t>
      </w:r>
      <w:r>
        <w:rPr>
          <w:rFonts w:ascii="Arial" w:cs="Arial" w:eastAsia="Arial" w:hAnsi="Arial"/>
          <w:sz w:val="17"/>
          <w:szCs w:val="17"/>
          <w:i w:val="1"/>
          <w:iCs w:val="1"/>
          <w:color w:val="auto"/>
        </w:rPr>
        <w:t>Senior Financial Officers</w:t>
      </w:r>
      <w:r>
        <w:rPr>
          <w:rFonts w:ascii="Arial" w:cs="Arial" w:eastAsia="Arial" w:hAnsi="Arial"/>
          <w:sz w:val="17"/>
          <w:szCs w:val="17"/>
          <w:color w:val="auto"/>
        </w:rPr>
        <w:t>") are subject to the following additional specific policies:</w:t>
      </w:r>
    </w:p>
    <w:p>
      <w:pPr>
        <w:spacing w:after="0" w:line="203" w:lineRule="exact"/>
        <w:rPr>
          <w:sz w:val="20"/>
          <w:szCs w:val="20"/>
          <w:color w:val="auto"/>
        </w:rPr>
      </w:pPr>
    </w:p>
    <w:p>
      <w:pPr>
        <w:jc w:val="both"/>
        <w:ind w:left="480" w:hanging="329"/>
        <w:spacing w:after="0" w:line="296" w:lineRule="auto"/>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Senior Financial Officers are responsible for full, fair, accurate, timely and understandable disclosure in the reports and documents that the Company files with, or submits to, the SEC and in other public communications made by the Company. Accordingly, it is the responsibility of the CEO and each Senior Financial Officer to promptly to bring to the attention of the Company’s outside legal counsel or the CEO any material information of which he or she may become aware of that affects the disclosures made by the Company in its public filings.</w:t>
      </w:r>
    </w:p>
    <w:p>
      <w:pPr>
        <w:spacing w:after="0" w:line="100" w:lineRule="exact"/>
        <w:rPr>
          <w:rFonts w:ascii="Arial" w:cs="Arial" w:eastAsia="Arial" w:hAnsi="Arial"/>
          <w:sz w:val="16"/>
          <w:szCs w:val="16"/>
          <w:color w:val="auto"/>
        </w:rPr>
      </w:pPr>
    </w:p>
    <w:p>
      <w:pPr>
        <w:ind w:left="480" w:right="20" w:hanging="329"/>
        <w:spacing w:after="0" w:line="296"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Further, each Senior Financial Officer must promptly bring to the attention of the Company’s outside legal counsel or Chair of the Audit Committee any information he or she may have concerning:</w:t>
      </w:r>
    </w:p>
    <w:p>
      <w:pPr>
        <w:spacing w:after="0" w:line="96" w:lineRule="exact"/>
        <w:rPr>
          <w:sz w:val="20"/>
          <w:szCs w:val="20"/>
          <w:color w:val="auto"/>
        </w:rPr>
      </w:pPr>
    </w:p>
    <w:p>
      <w:pPr>
        <w:ind w:left="1120" w:hanging="324"/>
        <w:spacing w:after="0" w:line="296" w:lineRule="auto"/>
        <w:tabs>
          <w:tab w:leader="none" w:pos="11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significant deficiencies in the design or operation of internal controls which could adversely affect the Company's ability to record, process, summarize and report financial data or,</w:t>
      </w:r>
    </w:p>
    <w:p>
      <w:pPr>
        <w:spacing w:after="0" w:line="95" w:lineRule="exact"/>
        <w:rPr>
          <w:rFonts w:ascii="Arial" w:cs="Arial" w:eastAsia="Arial" w:hAnsi="Arial"/>
          <w:sz w:val="17"/>
          <w:szCs w:val="17"/>
          <w:color w:val="auto"/>
        </w:rPr>
      </w:pPr>
    </w:p>
    <w:p>
      <w:pPr>
        <w:ind w:left="1120" w:hanging="324"/>
        <w:spacing w:after="0" w:line="296" w:lineRule="auto"/>
        <w:tabs>
          <w:tab w:leader="none" w:pos="11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financial reporting, disclosures or internal controls.</w:t>
      </w:r>
    </w:p>
    <w:p>
      <w:pPr>
        <w:spacing w:after="0" w:line="95" w:lineRule="exact"/>
        <w:rPr>
          <w:rFonts w:ascii="Arial" w:cs="Arial" w:eastAsia="Arial" w:hAnsi="Arial"/>
          <w:sz w:val="17"/>
          <w:szCs w:val="17"/>
          <w:color w:val="auto"/>
        </w:rPr>
      </w:pPr>
    </w:p>
    <w:p>
      <w:pPr>
        <w:jc w:val="both"/>
        <w:ind w:left="480" w:hanging="329"/>
        <w:spacing w:after="0" w:line="280"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CEO and each Senior Financial Officer must act with honesty and integrity in the performance of his or her duties at the Company, must comply with laws, rules and regulations of federal, state and local governments and other private and public regulatory agencies that affect the conduct of the Company's business and the Company's financial reporting.</w:t>
      </w:r>
    </w:p>
    <w:p>
      <w:pPr>
        <w:spacing w:after="0" w:line="108" w:lineRule="exact"/>
        <w:rPr>
          <w:rFonts w:ascii="Arial" w:cs="Arial" w:eastAsia="Arial" w:hAnsi="Arial"/>
          <w:sz w:val="17"/>
          <w:szCs w:val="17"/>
          <w:color w:val="auto"/>
        </w:rPr>
      </w:pPr>
    </w:p>
    <w:p>
      <w:pPr>
        <w:jc w:val="both"/>
        <w:ind w:left="480" w:hanging="329"/>
        <w:spacing w:after="0" w:line="271"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CEO and each Senior Financial Officer must avoid actual or apparent conflicts of interest between personal and business relationships, such as holding a substantial equity, debt, or other financial interest in any competitor, vendor, client or customer of the Company, or having a personal financial interest in any transaction involving the purchase or sale by the Company of any products, materials, equipment, services or property, other than through Company-sponsored programs. Any such actual or apparent conflicts of interest must be brought to the attention of the Company’s outside legal counsel or Chair of the Audit Committee.</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XIII.</w:t>
        <w:tab/>
        <w:t>ADMINISTRATION OF THE CODE</w:t>
      </w:r>
    </w:p>
    <w:p>
      <w:pPr>
        <w:spacing w:after="0" w:line="240" w:lineRule="exact"/>
        <w:rPr>
          <w:sz w:val="20"/>
          <w:szCs w:val="20"/>
          <w:color w:val="auto"/>
        </w:rPr>
      </w:pPr>
    </w:p>
    <w:p>
      <w:pPr>
        <w:jc w:val="both"/>
        <w:ind w:right="100"/>
        <w:spacing w:after="0" w:line="296" w:lineRule="auto"/>
        <w:rPr>
          <w:sz w:val="20"/>
          <w:szCs w:val="20"/>
          <w:color w:val="auto"/>
        </w:rPr>
      </w:pPr>
      <w:r>
        <w:rPr>
          <w:rFonts w:ascii="Arial" w:cs="Arial" w:eastAsia="Arial" w:hAnsi="Arial"/>
          <w:sz w:val="17"/>
          <w:szCs w:val="17"/>
          <w:color w:val="auto"/>
        </w:rPr>
        <w:t>The Audit Committee will review and evaluate this Code on an annual basis to determine the effectiveness of the Code with respect to providing a confidential and anonymous procedure for reporting prohibited acts and the internal process for investigation and resolution.</w:t>
      </w:r>
    </w:p>
    <w:p>
      <w:pPr>
        <w:spacing w:after="0" w:line="190"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The Human Resources Department is responsible to (i) maintain the Code, (ii) ensure all directors, officers and employees are provided with a copy of this Code within one week of their respective appointment or employment by the Company, (iii) provide internal access to this Policy and notify directors, officers and employees of any amendments hereunder within one week of approval by the Board, and (iv) if applicable, to publicly post a current copy of the Code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362585</wp:posOffset>
            </wp:positionV>
            <wp:extent cx="71329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00"/>
          </w:cols>
          <w:pgMar w:left="660" w:top="582" w:right="339" w:bottom="1440" w:gutter="0" w:footer="0" w:header="0"/>
        </w:sectPr>
      </w:pPr>
    </w:p>
    <w:bookmarkStart w:id="77" w:name="page78"/>
    <w:bookmarkEnd w:id="77"/>
    <w:p>
      <w:pPr>
        <w:ind w:left="980"/>
        <w:spacing w:after="0"/>
        <w:rPr>
          <w:sz w:val="20"/>
          <w:szCs w:val="20"/>
          <w:color w:val="auto"/>
        </w:rPr>
      </w:pPr>
      <w:r>
        <w:rPr>
          <w:rFonts w:ascii="Arial" w:cs="Arial" w:eastAsia="Arial" w:hAnsi="Arial"/>
          <w:sz w:val="17"/>
          <w:szCs w:val="17"/>
          <w:b w:val="1"/>
          <w:bCs w:val="1"/>
          <w:color w:val="auto"/>
        </w:rPr>
        <w:t>ACKNOWLEDGMENT OF CODE OF BUSINESS CONDUCT AND ETHICS</w:t>
      </w:r>
    </w:p>
    <w:p>
      <w:pPr>
        <w:spacing w:after="0" w:line="240"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ALL WRAP TECHNOLOGIES, INC. DIRECTORS AND EMPLOYEES MUST READ THIS CODE OF BUSINESS CONDUCT AND ETHICS AND FILL OUT AND RETURN THIS PORTION TO THE HUMAN RESOURCES DEPARTMENT WITHIN ONE WEEK OF RECEIPT.</w:t>
      </w:r>
    </w:p>
    <w:p>
      <w:pPr>
        <w:spacing w:after="0" w:line="311"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I have received a copy of Wrap Technologies, Inc.'s Code of Business Conduct and Ethics. I have carefully read and understand its contents and agree to follow the rules stated therein.</w:t>
      </w:r>
    </w:p>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5520" w:val="left"/>
        </w:tabs>
        <w:rPr>
          <w:sz w:val="20"/>
          <w:szCs w:val="20"/>
          <w:color w:val="auto"/>
        </w:rPr>
      </w:pPr>
      <w:r>
        <w:rPr>
          <w:rFonts w:ascii="Arial" w:cs="Arial" w:eastAsia="Arial" w:hAnsi="Arial"/>
          <w:sz w:val="17"/>
          <w:szCs w:val="17"/>
          <w:color w:val="auto"/>
        </w:rPr>
        <w:t>Director/Employee Signature</w:t>
      </w:r>
      <w:r>
        <w:rPr>
          <w:sz w:val="20"/>
          <w:szCs w:val="20"/>
          <w:color w:val="auto"/>
        </w:rPr>
        <w:tab/>
      </w:r>
      <w:r>
        <w:rPr>
          <w:rFonts w:ascii="Arial" w:cs="Arial" w:eastAsia="Arial" w:hAnsi="Arial"/>
          <w:sz w:val="15"/>
          <w:szCs w:val="15"/>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290830</wp:posOffset>
            </wp:positionV>
            <wp:extent cx="71329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80"/>
          </w:cols>
          <w:pgMar w:left="480" w:top="488" w:right="439"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b w:val="1"/>
          <w:bCs w:val="1"/>
          <w:color w:val="auto"/>
        </w:rPr>
        <w:t>Exhibit 21.1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0" w:type="dxa"/>
            <w:vAlign w:val="bottom"/>
            <w:gridSpan w:val="3"/>
          </w:tcPr>
          <w:p>
            <w:pPr>
              <w:ind w:left="1180"/>
              <w:spacing w:after="0"/>
              <w:rPr>
                <w:sz w:val="20"/>
                <w:szCs w:val="20"/>
                <w:color w:val="auto"/>
              </w:rPr>
            </w:pPr>
            <w:r>
              <w:rPr>
                <w:rFonts w:ascii="Arial" w:cs="Arial" w:eastAsia="Arial" w:hAnsi="Arial"/>
                <w:sz w:val="17"/>
                <w:szCs w:val="17"/>
                <w:b w:val="1"/>
                <w:bCs w:val="1"/>
                <w:color w:val="auto"/>
              </w:rPr>
              <w:t>SUBSIDIARIES OF WRAP TECHNOLOGIES, INC.</w:t>
            </w:r>
          </w:p>
        </w:tc>
      </w:tr>
      <w:tr>
        <w:trPr>
          <w:trHeight w:val="821"/>
        </w:trPr>
        <w:tc>
          <w:tcPr>
            <w:tcW w:w="1220" w:type="dxa"/>
            <w:vAlign w:val="bottom"/>
          </w:tcPr>
          <w:p>
            <w:pPr>
              <w:spacing w:after="0"/>
              <w:rPr>
                <w:sz w:val="20"/>
                <w:szCs w:val="20"/>
                <w:color w:val="auto"/>
              </w:rPr>
            </w:pPr>
            <w:r>
              <w:rPr>
                <w:rFonts w:ascii="Arial" w:cs="Arial" w:eastAsia="Arial" w:hAnsi="Arial"/>
                <w:sz w:val="17"/>
                <w:szCs w:val="17"/>
                <w:color w:val="auto"/>
                <w:w w:val="92"/>
              </w:rPr>
              <w:t>Subsidiary Name</w:t>
            </w:r>
          </w:p>
        </w:tc>
        <w:tc>
          <w:tcPr>
            <w:tcW w:w="12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300" w:type="dxa"/>
            <w:vAlign w:val="bottom"/>
            <w:gridSpan w:val="2"/>
          </w:tcPr>
          <w:p>
            <w:pPr>
              <w:jc w:val="center"/>
              <w:ind w:right="1300"/>
              <w:spacing w:after="0"/>
              <w:rPr>
                <w:sz w:val="20"/>
                <w:szCs w:val="20"/>
                <w:color w:val="auto"/>
              </w:rPr>
            </w:pPr>
            <w:r>
              <w:rPr>
                <w:rFonts w:ascii="Arial" w:cs="Arial" w:eastAsia="Arial" w:hAnsi="Arial"/>
                <w:sz w:val="17"/>
                <w:szCs w:val="17"/>
                <w:color w:val="auto"/>
                <w:w w:val="96"/>
              </w:rPr>
              <w:t>Jurisdiction of Incorporation</w:t>
            </w:r>
          </w:p>
        </w:tc>
      </w:tr>
      <w:tr>
        <w:trPr>
          <w:trHeight w:val="20"/>
        </w:trPr>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49"/>
        </w:trPr>
        <w:tc>
          <w:tcPr>
            <w:tcW w:w="2440" w:type="dxa"/>
            <w:vAlign w:val="bottom"/>
            <w:gridSpan w:val="2"/>
          </w:tcPr>
          <w:p>
            <w:pPr>
              <w:spacing w:after="0"/>
              <w:rPr>
                <w:sz w:val="20"/>
                <w:szCs w:val="20"/>
                <w:color w:val="auto"/>
              </w:rPr>
            </w:pPr>
            <w:r>
              <w:rPr>
                <w:rFonts w:ascii="Arial" w:cs="Arial" w:eastAsia="Arial" w:hAnsi="Arial"/>
                <w:sz w:val="17"/>
                <w:szCs w:val="17"/>
                <w:color w:val="auto"/>
              </w:rPr>
              <w:t>Wrap Reality, Inc.</w:t>
            </w:r>
          </w:p>
        </w:tc>
        <w:tc>
          <w:tcPr>
            <w:tcW w:w="5500" w:type="dxa"/>
            <w:vAlign w:val="bottom"/>
          </w:tcPr>
          <w:p>
            <w:pPr>
              <w:spacing w:after="0"/>
              <w:rPr>
                <w:sz w:val="24"/>
                <w:szCs w:val="24"/>
                <w:color w:val="auto"/>
              </w:rPr>
            </w:pPr>
          </w:p>
        </w:tc>
        <w:tc>
          <w:tcPr>
            <w:tcW w:w="3300" w:type="dxa"/>
            <w:vAlign w:val="bottom"/>
            <w:gridSpan w:val="2"/>
          </w:tcPr>
          <w:p>
            <w:pPr>
              <w:jc w:val="center"/>
              <w:ind w:right="1300"/>
              <w:spacing w:after="0"/>
              <w:rPr>
                <w:sz w:val="20"/>
                <w:szCs w:val="20"/>
                <w:color w:val="auto"/>
              </w:rPr>
            </w:pPr>
            <w:r>
              <w:rPr>
                <w:rFonts w:ascii="Arial" w:cs="Arial" w:eastAsia="Arial" w:hAnsi="Arial"/>
                <w:sz w:val="17"/>
                <w:szCs w:val="17"/>
                <w:color w:val="auto"/>
                <w:w w:val="97"/>
              </w:rPr>
              <w:t>Arizona</w:t>
            </w:r>
          </w:p>
        </w:tc>
      </w:tr>
      <w:tr>
        <w:trPr>
          <w:trHeight w:val="2797"/>
        </w:trPr>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7" w:right="339" w:bottom="1440" w:gutter="0" w:footer="0" w:header="0"/>
        </w:sectPr>
      </w:pPr>
    </w:p>
    <w:bookmarkStart w:id="79" w:name="page80"/>
    <w:bookmarkEnd w:id="79"/>
    <w:p>
      <w:pPr>
        <w:ind w:left="10300"/>
        <w:spacing w:after="0"/>
        <w:rPr>
          <w:sz w:val="20"/>
          <w:szCs w:val="20"/>
          <w:color w:val="auto"/>
        </w:rPr>
      </w:pPr>
      <w:r>
        <w:rPr>
          <w:rFonts w:ascii="Arial" w:cs="Arial" w:eastAsia="Arial" w:hAnsi="Arial"/>
          <w:sz w:val="16"/>
          <w:szCs w:val="16"/>
          <w:b w:val="1"/>
          <w:bCs w:val="1"/>
          <w:color w:val="auto"/>
        </w:rPr>
        <w:t>Exhibit 23.1</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CONSENT OF INDEPENDENT</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Wrap Technologies,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Tempe, Arizona</w:t>
      </w:r>
    </w:p>
    <w:p>
      <w:pPr>
        <w:spacing w:after="0" w:line="228" w:lineRule="exact"/>
        <w:rPr>
          <w:sz w:val="20"/>
          <w:szCs w:val="20"/>
          <w:color w:val="auto"/>
        </w:rPr>
      </w:pPr>
    </w:p>
    <w:p>
      <w:pPr>
        <w:jc w:val="both"/>
        <w:ind w:firstLine="484"/>
        <w:spacing w:after="0" w:line="280" w:lineRule="auto"/>
        <w:rPr>
          <w:sz w:val="20"/>
          <w:szCs w:val="20"/>
          <w:color w:val="auto"/>
        </w:rPr>
      </w:pPr>
      <w:r>
        <w:rPr>
          <w:rFonts w:ascii="Arial" w:cs="Arial" w:eastAsia="Arial" w:hAnsi="Arial"/>
          <w:sz w:val="17"/>
          <w:szCs w:val="17"/>
          <w:color w:val="auto"/>
        </w:rPr>
        <w:t>We consent to the incorporation by reference in the Registration Statements (No. 333-225102, 333-232314 and 333-239234) on Form S-8 and (No. 333-228974 and 333-239329) on Form S-3 of Wrap Technologies, Inc. of our reports dated March 4, 2021, relating to the financial statements of Wrap Technologies, Inc., appearing in this Annual Report on Form 10-K of Wrap Technologies, Inc. for the year ended December 31, 2020.</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/s/ Rosenberg Rich Baker Berman, P.A.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Rosenberg Rich Baker Berman,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Somerset, New Jersey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1329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Thomas P. Smith, certify that:</w:t>
      </w:r>
    </w:p>
    <w:p>
      <w:pPr>
        <w:spacing w:after="0" w:line="167" w:lineRule="exact"/>
        <w:rPr>
          <w:sz w:val="20"/>
          <w:szCs w:val="20"/>
          <w:color w:val="auto"/>
        </w:rPr>
      </w:pPr>
    </w:p>
    <w:p>
      <w:pPr>
        <w:ind w:left="660" w:hanging="653"/>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Wrap Technologies, Inc.;</w:t>
      </w:r>
    </w:p>
    <w:p>
      <w:pPr>
        <w:spacing w:after="0" w:line="167" w:lineRule="exact"/>
        <w:rPr>
          <w:rFonts w:ascii="Arial" w:cs="Arial" w:eastAsia="Arial" w:hAnsi="Arial"/>
          <w:sz w:val="17"/>
          <w:szCs w:val="17"/>
          <w:color w:val="auto"/>
        </w:rPr>
      </w:pPr>
    </w:p>
    <w:p>
      <w:pPr>
        <w:jc w:val="both"/>
        <w:ind w:left="660" w:hanging="653"/>
        <w:spacing w:after="0" w:line="280"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7"/>
          <w:szCs w:val="17"/>
          <w:color w:val="auto"/>
        </w:rPr>
      </w:pPr>
    </w:p>
    <w:p>
      <w:pPr>
        <w:ind w:left="660" w:hanging="653"/>
        <w:spacing w:after="0" w:line="29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660" w:hanging="653"/>
        <w:spacing w:after="0" w:line="29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15d-15(e)) for the registrant and have:</w:t>
      </w:r>
    </w:p>
    <w:p>
      <w:pPr>
        <w:spacing w:after="0" w:line="95" w:lineRule="exact"/>
        <w:rPr>
          <w:rFonts w:ascii="Arial" w:cs="Arial" w:eastAsia="Arial" w:hAnsi="Arial"/>
          <w:sz w:val="17"/>
          <w:szCs w:val="17"/>
          <w:color w:val="auto"/>
        </w:rPr>
      </w:pPr>
    </w:p>
    <w:p>
      <w:pPr>
        <w:jc w:val="both"/>
        <w:ind w:left="1300" w:hanging="648"/>
        <w:spacing w:after="0" w:line="280"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7"/>
          <w:szCs w:val="17"/>
          <w:color w:val="auto"/>
        </w:rPr>
      </w:pPr>
    </w:p>
    <w:p>
      <w:pPr>
        <w:ind w:left="1300" w:hanging="648"/>
        <w:spacing w:after="0" w:line="329"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648"/>
        <w:spacing w:after="0" w:line="280"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7"/>
          <w:szCs w:val="17"/>
          <w:color w:val="auto"/>
        </w:rPr>
      </w:pPr>
    </w:p>
    <w:p>
      <w:pPr>
        <w:ind w:left="660" w:hanging="653"/>
        <w:spacing w:after="0" w:line="29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7"/>
          <w:szCs w:val="17"/>
          <w:color w:val="auto"/>
        </w:rPr>
      </w:pPr>
    </w:p>
    <w:p>
      <w:pPr>
        <w:ind w:left="1300" w:hanging="648"/>
        <w:spacing w:after="0" w:line="296"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7"/>
          <w:szCs w:val="17"/>
          <w:color w:val="auto"/>
        </w:rPr>
      </w:pPr>
    </w:p>
    <w:p>
      <w:pPr>
        <w:ind w:left="1300" w:hanging="648"/>
        <w:spacing w:after="0" w:line="296"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WRAP TECHNOLOGIES INC</w:t>
      </w:r>
    </w:p>
    <w:p>
      <w:pPr>
        <w:spacing w:after="0" w:line="240"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March 4, 2021</w:t>
      </w:r>
      <w:r>
        <w:rPr>
          <w:sz w:val="20"/>
          <w:szCs w:val="20"/>
          <w:color w:val="auto"/>
        </w:rPr>
        <w:tab/>
      </w:r>
      <w:r>
        <w:rPr>
          <w:rFonts w:ascii="Arial" w:cs="Arial" w:eastAsia="Arial" w:hAnsi="Arial"/>
          <w:sz w:val="16"/>
          <w:szCs w:val="16"/>
          <w:color w:val="auto"/>
        </w:rPr>
        <w:t>By: /s/ Thomas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17780</wp:posOffset>
            </wp:positionV>
            <wp:extent cx="249110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Thomas P. Smith</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Interim Chief Executive Officer and President</w:t>
      </w:r>
    </w:p>
    <w:p>
      <w:pPr>
        <w:spacing w:after="0" w:line="1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1329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James A. Barnes, certify that:</w:t>
      </w:r>
    </w:p>
    <w:p>
      <w:pPr>
        <w:spacing w:after="0" w:line="167" w:lineRule="exact"/>
        <w:rPr>
          <w:sz w:val="20"/>
          <w:szCs w:val="20"/>
          <w:color w:val="auto"/>
        </w:rPr>
      </w:pPr>
    </w:p>
    <w:p>
      <w:pPr>
        <w:ind w:left="660" w:hanging="653"/>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Wrap Technologies, Inc.;</w:t>
      </w:r>
    </w:p>
    <w:p>
      <w:pPr>
        <w:spacing w:after="0" w:line="167" w:lineRule="exact"/>
        <w:rPr>
          <w:rFonts w:ascii="Arial" w:cs="Arial" w:eastAsia="Arial" w:hAnsi="Arial"/>
          <w:sz w:val="17"/>
          <w:szCs w:val="17"/>
          <w:color w:val="auto"/>
        </w:rPr>
      </w:pPr>
    </w:p>
    <w:p>
      <w:pPr>
        <w:jc w:val="both"/>
        <w:ind w:left="660" w:hanging="653"/>
        <w:spacing w:after="0" w:line="28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7"/>
          <w:szCs w:val="17"/>
          <w:color w:val="auto"/>
        </w:rPr>
      </w:pPr>
    </w:p>
    <w:p>
      <w:pPr>
        <w:ind w:left="660" w:hanging="653"/>
        <w:spacing w:after="0" w:line="29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660" w:hanging="653"/>
        <w:spacing w:after="0" w:line="29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15d-15(e)) for the registrant and have:</w:t>
      </w:r>
    </w:p>
    <w:p>
      <w:pPr>
        <w:spacing w:after="0" w:line="95" w:lineRule="exact"/>
        <w:rPr>
          <w:rFonts w:ascii="Arial" w:cs="Arial" w:eastAsia="Arial" w:hAnsi="Arial"/>
          <w:sz w:val="17"/>
          <w:szCs w:val="17"/>
          <w:color w:val="auto"/>
        </w:rPr>
      </w:pPr>
    </w:p>
    <w:p>
      <w:pPr>
        <w:jc w:val="both"/>
        <w:ind w:left="1300" w:hanging="648"/>
        <w:spacing w:after="0" w:line="280"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7"/>
          <w:szCs w:val="17"/>
          <w:color w:val="auto"/>
        </w:rPr>
      </w:pPr>
    </w:p>
    <w:p>
      <w:pPr>
        <w:ind w:left="1300" w:hanging="648"/>
        <w:spacing w:after="0" w:line="329"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1300" w:hanging="648"/>
        <w:spacing w:after="0" w:line="266"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7"/>
          <w:szCs w:val="17"/>
          <w:color w:val="auto"/>
        </w:rPr>
      </w:pPr>
    </w:p>
    <w:p>
      <w:pPr>
        <w:ind w:left="660" w:hanging="653"/>
        <w:spacing w:after="0" w:line="287"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7"/>
          <w:szCs w:val="17"/>
          <w:color w:val="auto"/>
        </w:rPr>
      </w:pPr>
    </w:p>
    <w:p>
      <w:pPr>
        <w:ind w:left="1300" w:hanging="648"/>
        <w:spacing w:after="0" w:line="296"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7"/>
          <w:szCs w:val="17"/>
          <w:color w:val="auto"/>
        </w:rPr>
      </w:pPr>
    </w:p>
    <w:p>
      <w:pPr>
        <w:ind w:left="1300" w:hanging="648"/>
        <w:spacing w:after="0" w:line="296"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WRAP TECHNOLOGIES INC</w:t>
      </w:r>
    </w:p>
    <w:p>
      <w:pPr>
        <w:spacing w:after="0" w:line="240"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March 4, 2021</w:t>
      </w:r>
      <w:r>
        <w:rPr>
          <w:sz w:val="20"/>
          <w:szCs w:val="20"/>
          <w:color w:val="auto"/>
        </w:rPr>
        <w:tab/>
      </w:r>
      <w:r>
        <w:rPr>
          <w:rFonts w:ascii="Arial" w:cs="Arial" w:eastAsia="Arial" w:hAnsi="Arial"/>
          <w:sz w:val="16"/>
          <w:szCs w:val="16"/>
          <w:color w:val="auto"/>
        </w:rPr>
        <w:t>By: /s/ James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17780</wp:posOffset>
            </wp:positionV>
            <wp:extent cx="249110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James A. Barnes</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Financial Officer, Secretary and Treasurer</w:t>
      </w:r>
    </w:p>
    <w:p>
      <w:pPr>
        <w:spacing w:after="0" w:line="1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132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Each of 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2020, fully complies with the requirements of Section 13(a) or Section 15(d) of the Securities Exchange Act of 1934 and that the information contained in such report fairly presents, in all material respects, the financial condition and results of operation of the Company.</w:t>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WRAP TECHNOLOGIES INC</w:t>
      </w:r>
    </w:p>
    <w:p>
      <w:pPr>
        <w:spacing w:after="0" w:line="240"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March 4, 2021</w:t>
      </w:r>
      <w:r>
        <w:rPr>
          <w:sz w:val="20"/>
          <w:szCs w:val="20"/>
          <w:color w:val="auto"/>
        </w:rPr>
        <w:tab/>
      </w:r>
      <w:r>
        <w:rPr>
          <w:rFonts w:ascii="Arial" w:cs="Arial" w:eastAsia="Arial" w:hAnsi="Arial"/>
          <w:sz w:val="16"/>
          <w:szCs w:val="16"/>
          <w:color w:val="auto"/>
        </w:rPr>
        <w:t>By: /s/ Thomas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26035</wp:posOffset>
            </wp:positionV>
            <wp:extent cx="249110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Thomas P. Smith</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Interim Chief Executive Officer and President</w:t>
      </w:r>
    </w:p>
    <w:p>
      <w:pPr>
        <w:spacing w:after="0" w:line="1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(Principal Executive Officer)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WRAP TECHNOLOGIES INC</w:t>
      </w:r>
    </w:p>
    <w:p>
      <w:pPr>
        <w:spacing w:after="0" w:line="240"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March 4, 2021</w:t>
      </w:r>
      <w:r>
        <w:rPr>
          <w:sz w:val="20"/>
          <w:szCs w:val="20"/>
          <w:color w:val="auto"/>
        </w:rPr>
        <w:tab/>
      </w:r>
      <w:r>
        <w:rPr>
          <w:rFonts w:ascii="Arial" w:cs="Arial" w:eastAsia="Arial" w:hAnsi="Arial"/>
          <w:sz w:val="16"/>
          <w:szCs w:val="16"/>
          <w:color w:val="auto"/>
        </w:rPr>
        <w:t>By: /s/ James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26035</wp:posOffset>
            </wp:positionV>
            <wp:extent cx="249110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James A. Barnes</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Financial Officer, Secretary and Treasurer</w:t>
      </w:r>
    </w:p>
    <w:p>
      <w:pPr>
        <w:spacing w:after="0" w:line="1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559435</wp:posOffset>
            </wp:positionV>
            <wp:extent cx="71329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sectPr>
      <w:pgSz w:w="11900" w:h="16838" w:orient="portrait"/>
      <w:cols w:equalWidth="0" w:num="1">
        <w:col w:w="11240"/>
      </w:cols>
      <w:pgMar w:left="320" w:top="3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Roman"/>
      <w:start w:val="2"/>
    </w:lvl>
  </w:abstractNum>
  <w:abstractNum w:abstractNumId="10">
    <w:nsid w:val="628C895D"/>
    <w:multiLevelType w:val="hybridMultilevel"/>
    <w:lvl w:ilvl="0">
      <w:lvlJc w:val="left"/>
      <w:lvlText w:val="%1"/>
      <w:numFmt w:val="upperLetter"/>
      <w:start w:val="68"/>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3"/>
    </w:lvl>
  </w:abstractNum>
  <w:abstractNum w:abstractNumId="15">
    <w:nsid w:val="6763845E"/>
    <w:multiLevelType w:val="hybridMultilevel"/>
    <w:lvl w:ilvl="0">
      <w:lvlJc w:val="left"/>
      <w:lvlText w:val="%1."/>
      <w:numFmt w:val="decimal"/>
      <w:start w:val="4"/>
    </w:lvl>
  </w:abstractNum>
  <w:abstractNum w:abstractNumId="16">
    <w:nsid w:val="75A2A8D4"/>
    <w:multiLevelType w:val="hybridMultilevel"/>
    <w:lvl w:ilvl="0">
      <w:lvlJc w:val="left"/>
      <w:lvlText w:val="%1."/>
      <w:numFmt w:val="decimal"/>
      <w:start w:val="5"/>
    </w:lvl>
  </w:abstractNum>
  <w:abstractNum w:abstractNumId="17">
    <w:nsid w:val="8EDBDAB"/>
    <w:multiLevelType w:val="hybridMultilevel"/>
    <w:lvl w:ilvl="0">
      <w:lvlJc w:val="left"/>
      <w:lvlText w:val="%1."/>
      <w:numFmt w:val="decimal"/>
      <w:start w:val="10"/>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upperLetter"/>
      <w:start w:val="9"/>
    </w:lvl>
  </w:abstractNum>
  <w:abstractNum w:abstractNumId="20">
    <w:nsid w:val="B03E0C6"/>
    <w:multiLevelType w:val="hybridMultilevel"/>
    <w:lvl w:ilvl="0">
      <w:lvlJc w:val="left"/>
      <w:lvlText w:val="%1."/>
      <w:numFmt w:val="upperLetter"/>
      <w:start w:val="35"/>
    </w:lvl>
  </w:abstractNum>
  <w:abstractNum w:abstractNumId="21">
    <w:nsid w:val="189A769B"/>
    <w:multiLevelType w:val="hybridMultilevel"/>
    <w:lvl w:ilvl="0">
      <w:lvlJc w:val="left"/>
      <w:lvlText w:val="%1."/>
      <w:numFmt w:val="upperLetter"/>
      <w:start w:val="6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upperLetter"/>
      <w:start w:val="22"/>
    </w:lvl>
  </w:abstractNum>
  <w:abstractNum w:abstractNumId="25">
    <w:nsid w:val="836C40E"/>
    <w:multiLevelType w:val="hybridMultilevel"/>
    <w:lvl w:ilvl="0">
      <w:lvlJc w:val="left"/>
      <w:lvlText w:val="%1."/>
      <w:numFmt w:val="upperLetter"/>
      <w:start w:val="24"/>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lvl w:ilvl="1">
      <w:lvlJc w:val="left"/>
      <w:lvlText w:val="o"/>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57" Type="http://schemas.openxmlformats.org/officeDocument/2006/relationships/hyperlink" Target="http://www.sec.gov/Archives/edgar/data/1702924/000165495417003384/ex2-1.htm" TargetMode="External"/><Relationship Id="rId58" Type="http://schemas.openxmlformats.org/officeDocument/2006/relationships/hyperlink" Target="http://www.sec.gov/Archives/edgar/data/1702924/000165495417003384/ex2-2.htm" TargetMode="External"/><Relationship Id="rId59" Type="http://schemas.openxmlformats.org/officeDocument/2006/relationships/hyperlink" Target="http://www.sec.gov/Archives/edgar/data/1702924/000165495417003384/ex3-1.htm" TargetMode="External"/><Relationship Id="rId60" Type="http://schemas.openxmlformats.org/officeDocument/2006/relationships/hyperlink" Target="http://www.sec.gov/Archives/edgar/data/1702924/000165495417003384/ex3-2.htm" TargetMode="External"/><Relationship Id="rId61" Type="http://schemas.openxmlformats.org/officeDocument/2006/relationships/hyperlink" Target="http://www.sec.gov/Archives/edgar/data/1702924/000165495417005181/ex4-1.htm" TargetMode="External"/><Relationship Id="rId62" Type="http://schemas.openxmlformats.org/officeDocument/2006/relationships/hyperlink" Target="http://www.sec.gov/Archives/edgar/data/1702924/000165495418011996/ex4-1.htm" TargetMode="External"/><Relationship Id="rId63" Type="http://schemas.openxmlformats.org/officeDocument/2006/relationships/hyperlink" Target="http://www.sec.gov/Archives/edgar/data/1702924/000165495418011996/ex4-2.htm" TargetMode="External"/><Relationship Id="rId64" Type="http://schemas.openxmlformats.org/officeDocument/2006/relationships/hyperlink" Target="http://www.sec.gov/Archives/edgar/data/1702924/000165495419007441/ex4-2.htm" TargetMode="External"/><Relationship Id="rId65" Type="http://schemas.openxmlformats.org/officeDocument/2006/relationships/hyperlink" Target="http://www.sec.gov/Archives/edgar/data/1702924/000165495420006265/ex4-1.htm" TargetMode="External"/><Relationship Id="rId66" Type="http://schemas.openxmlformats.org/officeDocument/2006/relationships/hyperlink" Target="http://www.sec.gov/Archives/edgar/data/1702924/000165495417003384/ex10-1.htm" TargetMode="External"/><Relationship Id="rId67" Type="http://schemas.openxmlformats.org/officeDocument/2006/relationships/hyperlink" Target="http://www.sec.gov/Archives/edgar/data/1702924/000165495417003384/ex10-2.htm" TargetMode="External"/><Relationship Id="rId68" Type="http://schemas.openxmlformats.org/officeDocument/2006/relationships/hyperlink" Target="http://www.sec.gov/Archives/edgar/data/1702924/000165495418011996/ex10-1.htm" TargetMode="External"/><Relationship Id="rId69" Type="http://schemas.openxmlformats.org/officeDocument/2006/relationships/hyperlink" Target="http://www.sec.gov/Archives/edgar/data/1702924/000165495418011996/ex10-2.htm" TargetMode="External"/><Relationship Id="rId70" Type="http://schemas.openxmlformats.org/officeDocument/2006/relationships/hyperlink" Target="http://www.sec.gov/Archives/edgar/data/1702924/000165495419007296/ex10-1.htm" TargetMode="External"/><Relationship Id="rId71" Type="http://schemas.openxmlformats.org/officeDocument/2006/relationships/hyperlink" Target="http://www.sec.gov/Archives/edgar/data/1702924/000165495419007441/ex10-2.htm" TargetMode="External"/><Relationship Id="rId72" Type="http://schemas.openxmlformats.org/officeDocument/2006/relationships/hyperlink" Target="http://www.sec.gov/Archives/edgar/data/1702924/000165495419007594/ex10-1.htm" TargetMode="External"/><Relationship Id="rId73" Type="http://schemas.openxmlformats.org/officeDocument/2006/relationships/hyperlink" Target="http://www.sec.gov/Archives/edgar/data/1702924/000165495419007052/ex10-1.htm" TargetMode="External"/><Relationship Id="rId74" Type="http://schemas.openxmlformats.org/officeDocument/2006/relationships/hyperlink" Target="http://www.sec.gov/Archives/edgar/data/1702924/000141588920001128/ex10-05052020_050504.htm" TargetMode="External"/><Relationship Id="rId75" Type="http://schemas.openxmlformats.org/officeDocument/2006/relationships/hyperlink" Target="http://www.sec.gov/Archives/edgar/data/1702924/000141588920001378/ex10-05292020_050502.htm" TargetMode="External"/><Relationship Id="rId76" Type="http://schemas.openxmlformats.org/officeDocument/2006/relationships/hyperlink" Target="http://www.sec.gov/Archives/edgar/data/1702924/000165495420006738/ex10-1.htm" TargetMode="External"/><Relationship Id="rId77" Type="http://schemas.openxmlformats.org/officeDocument/2006/relationships/hyperlink" Target="http://www.sec.gov/Archives/edgar/data/1702924/000165495420006265/ex10-1.htm" TargetMode="External"/><Relationship Id="rId78" Type="http://schemas.openxmlformats.org/officeDocument/2006/relationships/hyperlink" Target="http://www.sec.gov/Archives/edgar/data/1702924/000165495420008275/ex10-1.htm" TargetMode="External"/><Relationship Id="rId79" Type="http://schemas.openxmlformats.org/officeDocument/2006/relationships/hyperlink" Target="http://www.sec.gov/Archives/edgar/data/1702924/000165495420010068/ex10-1.htm" TargetMode="External"/><Relationship Id="rId80" Type="http://schemas.openxmlformats.org/officeDocument/2006/relationships/hyperlink" Target="http://www.sec.gov/Archives/edgar/data/1702924/000165495420013599/ex2-1.htm" TargetMode="External"/><Relationship Id="rId81" Type="http://schemas.openxmlformats.org/officeDocument/2006/relationships/hyperlink" Target="http://www.sec.gov/Archives/edgar/data/1702924/000165495420013599/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2021-03-04T15:10:44Z</dcterms:created>
  <dcterms:modified xsi:type="dcterms:W3CDTF">2021-03-04T15:10:44Z</dcterms:modified>
</cp:coreProperties>
</file>