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color w:val="auto"/>
        </w:rPr>
        <w:t>Date of Report (Date of earliest event reported): October 20,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WRAP TECHNOLOGIES,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c>
          <w:tcPr>
            <w:tcW w:w="3100" w:type="dxa"/>
            <w:vAlign w:val="bottom"/>
            <w:gridSpan w:val="7"/>
          </w:tcPr>
          <w:p>
            <w:pPr>
              <w:jc w:val="center"/>
              <w:ind w:left="1910"/>
              <w:spacing w:after="0"/>
              <w:rPr>
                <w:sz w:val="20"/>
                <w:szCs w:val="20"/>
                <w:color w:val="auto"/>
              </w:rPr>
            </w:pPr>
            <w:r>
              <w:rPr>
                <w:rFonts w:ascii="Times New Roman" w:cs="Times New Roman" w:eastAsia="Times New Roman" w:hAnsi="Times New Roman"/>
                <w:sz w:val="18"/>
                <w:szCs w:val="18"/>
                <w:color w:val="auto"/>
                <w:w w:val="99"/>
              </w:rPr>
              <w:t>001-38750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9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98-0551945</w:t>
            </w:r>
          </w:p>
        </w:tc>
      </w:tr>
      <w:tr>
        <w:trPr>
          <w:trHeight w:val="198"/>
        </w:trPr>
        <w:tc>
          <w:tcPr>
            <w:tcW w:w="3080" w:type="dxa"/>
            <w:vAlign w:val="bottom"/>
            <w:tcBorders>
              <w:top w:val="single" w:sz="8" w:color="auto"/>
            </w:tcBorders>
          </w:tcPr>
          <w:p>
            <w:pPr>
              <w:jc w:val="center"/>
              <w:ind w:left="45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360" w:type="dxa"/>
            <w:vAlign w:val="bottom"/>
            <w:tcBorders>
              <w:top w:val="single" w:sz="8" w:color="auto"/>
            </w:tcBorders>
            <w:gridSpan w:val="5"/>
          </w:tcPr>
          <w:p>
            <w:pPr>
              <w:jc w:val="center"/>
              <w:ind w:right="1240"/>
              <w:spacing w:after="0" w:line="198"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tcPr>
          <w:p>
            <w:pPr>
              <w:jc w:val="center"/>
              <w:ind w:right="55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20" w:type="dxa"/>
            <w:vAlign w:val="bottom"/>
            <w:gridSpan w:val="7"/>
          </w:tcPr>
          <w:p>
            <w:pPr>
              <w:jc w:val="center"/>
              <w:ind w:right="2100"/>
              <w:spacing w:after="0"/>
              <w:rPr>
                <w:sz w:val="20"/>
                <w:szCs w:val="20"/>
                <w:color w:val="auto"/>
              </w:rPr>
            </w:pPr>
            <w:r>
              <w:rPr>
                <w:rFonts w:ascii="Times New Roman" w:cs="Times New Roman" w:eastAsia="Times New Roman" w:hAnsi="Times New Roman"/>
                <w:sz w:val="18"/>
                <w:szCs w:val="18"/>
                <w:color w:val="auto"/>
                <w:w w:val="98"/>
              </w:rPr>
              <w:t>File Number)</w:t>
            </w:r>
          </w:p>
        </w:tc>
        <w:tc>
          <w:tcPr>
            <w:tcW w:w="29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91"/>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9"/>
              </w:rPr>
              <w:t>3350 Virginia Street</w:t>
            </w:r>
          </w:p>
        </w:tc>
        <w:tc>
          <w:tcPr>
            <w:tcW w:w="1940" w:type="dxa"/>
            <w:vAlign w:val="bottom"/>
            <w:gridSpan w:val="4"/>
          </w:tcPr>
          <w:p>
            <w:pPr>
              <w:spacing w:after="0"/>
              <w:rPr>
                <w:sz w:val="24"/>
                <w:szCs w:val="24"/>
                <w:color w:val="auto"/>
              </w:rPr>
            </w:pPr>
          </w:p>
        </w:tc>
        <w:tc>
          <w:tcPr>
            <w:tcW w:w="2940" w:type="dxa"/>
            <w:vAlign w:val="bottom"/>
          </w:tcPr>
          <w:p>
            <w:pPr>
              <w:spacing w:after="0"/>
              <w:rPr>
                <w:sz w:val="24"/>
                <w:szCs w:val="24"/>
                <w:color w:val="auto"/>
              </w:rPr>
            </w:pPr>
          </w:p>
        </w:tc>
      </w:tr>
      <w:tr>
        <w:trPr>
          <w:trHeight w:val="196"/>
        </w:trPr>
        <w:tc>
          <w:tcPr>
            <w:tcW w:w="3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80" w:type="dxa"/>
            <w:vAlign w:val="bottom"/>
            <w:tcBorders>
              <w:bottom w:val="single" w:sz="8" w:color="auto"/>
            </w:tcBorders>
            <w:gridSpan w:val="7"/>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Miami, Florida 33133</w:t>
            </w:r>
          </w:p>
        </w:tc>
        <w:tc>
          <w:tcPr>
            <w:tcW w:w="1880" w:type="dxa"/>
            <w:vAlign w:val="bottom"/>
            <w:gridSpan w:val="3"/>
          </w:tcPr>
          <w:p>
            <w:pPr>
              <w:spacing w:after="0"/>
              <w:rPr>
                <w:sz w:val="17"/>
                <w:szCs w:val="17"/>
                <w:color w:val="auto"/>
              </w:rPr>
            </w:pPr>
          </w:p>
        </w:tc>
        <w:tc>
          <w:tcPr>
            <w:tcW w:w="2940" w:type="dxa"/>
            <w:vAlign w:val="bottom"/>
          </w:tcPr>
          <w:p>
            <w:pPr>
              <w:spacing w:after="0"/>
              <w:rPr>
                <w:sz w:val="17"/>
                <w:szCs w:val="17"/>
                <w:color w:val="auto"/>
              </w:rPr>
            </w:pPr>
          </w:p>
        </w:tc>
      </w:tr>
      <w:tr>
        <w:trPr>
          <w:trHeight w:val="237"/>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80" w:type="dxa"/>
            <w:vAlign w:val="bottom"/>
            <w:gridSpan w:val="12"/>
          </w:tcPr>
          <w:p>
            <w:pPr>
              <w:jc w:val="center"/>
              <w:ind w:right="66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2940" w:type="dxa"/>
            <w:vAlign w:val="bottom"/>
          </w:tcPr>
          <w:p>
            <w:pPr>
              <w:spacing w:after="0"/>
              <w:rPr>
                <w:sz w:val="20"/>
                <w:szCs w:val="20"/>
                <w:color w:val="auto"/>
              </w:rPr>
            </w:pPr>
          </w:p>
        </w:tc>
      </w:tr>
      <w:tr>
        <w:trPr>
          <w:trHeight w:val="392"/>
        </w:trPr>
        <w:tc>
          <w:tcPr>
            <w:tcW w:w="3080" w:type="dxa"/>
            <w:vAlign w:val="bottom"/>
          </w:tcPr>
          <w:p>
            <w:pPr>
              <w:spacing w:after="0"/>
              <w:rPr>
                <w:sz w:val="24"/>
                <w:szCs w:val="24"/>
                <w:color w:val="auto"/>
              </w:rPr>
            </w:pPr>
          </w:p>
        </w:tc>
        <w:tc>
          <w:tcPr>
            <w:tcW w:w="1980" w:type="dxa"/>
            <w:vAlign w:val="bottom"/>
            <w:gridSpan w:val="5"/>
          </w:tcPr>
          <w:p>
            <w:pPr>
              <w:spacing w:after="0"/>
              <w:rPr>
                <w:sz w:val="24"/>
                <w:szCs w:val="24"/>
                <w:color w:val="auto"/>
              </w:rPr>
            </w:pPr>
          </w:p>
        </w:tc>
        <w:tc>
          <w:tcPr>
            <w:tcW w:w="11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(800) 583-2652</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37"/>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80" w:type="dxa"/>
            <w:vAlign w:val="bottom"/>
            <w:gridSpan w:val="12"/>
          </w:tcPr>
          <w:p>
            <w:pPr>
              <w:jc w:val="center"/>
              <w:ind w:right="6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940" w:type="dxa"/>
            <w:vAlign w:val="bottom"/>
          </w:tcPr>
          <w:p>
            <w:pPr>
              <w:spacing w:after="0"/>
              <w:rPr>
                <w:sz w:val="20"/>
                <w:szCs w:val="20"/>
                <w:color w:val="auto"/>
              </w:rPr>
            </w:pPr>
          </w:p>
        </w:tc>
      </w:tr>
      <w:tr>
        <w:trPr>
          <w:trHeight w:val="391"/>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 Applicable</w:t>
            </w:r>
          </w:p>
        </w:tc>
        <w:tc>
          <w:tcPr>
            <w:tcW w:w="2120" w:type="dxa"/>
            <w:vAlign w:val="bottom"/>
            <w:gridSpan w:val="6"/>
          </w:tcPr>
          <w:p>
            <w:pPr>
              <w:spacing w:after="0"/>
              <w:rPr>
                <w:sz w:val="24"/>
                <w:szCs w:val="24"/>
                <w:color w:val="auto"/>
              </w:rPr>
            </w:pPr>
          </w:p>
        </w:tc>
        <w:tc>
          <w:tcPr>
            <w:tcW w:w="2940" w:type="dxa"/>
            <w:vAlign w:val="bottom"/>
          </w:tcPr>
          <w:p>
            <w:pPr>
              <w:spacing w:after="0"/>
              <w:rPr>
                <w:sz w:val="24"/>
                <w:szCs w:val="24"/>
                <w:color w:val="auto"/>
              </w:rPr>
            </w:pPr>
          </w:p>
        </w:tc>
      </w:tr>
      <w:tr>
        <w:trPr>
          <w:trHeight w:val="237"/>
        </w:trPr>
        <w:tc>
          <w:tcPr>
            <w:tcW w:w="3080" w:type="dxa"/>
            <w:vAlign w:val="bottom"/>
          </w:tcPr>
          <w:p>
            <w:pPr>
              <w:spacing w:after="0"/>
              <w:rPr>
                <w:sz w:val="20"/>
                <w:szCs w:val="20"/>
                <w:color w:val="auto"/>
              </w:rPr>
            </w:pPr>
          </w:p>
        </w:tc>
        <w:tc>
          <w:tcPr>
            <w:tcW w:w="5220" w:type="dxa"/>
            <w:vAlign w:val="bottom"/>
            <w:gridSpan w:val="13"/>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94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WRAP</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(17 CFR 230.405) or Rule 12b-2 of the Securities Exchange Act of 1934 (17 CFR 240.12b-2)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20, 2026, the Board of Directors (the “Board”) of Wrap Technologies, Inc. (the “Company”) increased the size of the Board from six directors to seven directors and appointed Edward Delatorre to the Board, effective immediately, to serve as a director until the Company’s 2026 annual meeting of stockholders or until his successor is duly elected and qualified, or until his earlier death, resignation, or removal. As of the date of this Current Report on Form 8-K, Mr. Delatorre has not been appointed to any committees of the Board.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Delatorre and any other persons pursuant to which Mr. Delatorre was selected to serve as a director of the Company. In addition, there are no transactions between the Company and Mr. Delatorre or his immediate family members requiring disclosure under Item 404(a) of Regulation S-K promulgated under the Securities Act of 1933, as amended.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his appointment, the Company granted Mr. Delatorre options (“Options”) to purchase 30,000 shares of Company common stock, par value $0.0001 per share, with an exercise price of $1.45 per share. The Options have a ten-year term, and vest as follows: (i) 50% on October 20, 2027 and (ii) the remaining 50% in four equal quarterly installments over the next year, subject to the terms and conditions of the applicable non-employee non-statutory stock option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36"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Inline XBRL for the cover page of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October 26, 2026</w:t>
      </w:r>
      <w:r>
        <w:rPr>
          <w:sz w:val="20"/>
          <w:szCs w:val="20"/>
          <w:color w:val="auto"/>
        </w:rPr>
        <w:tab/>
      </w:r>
      <w:r>
        <w:rPr>
          <w:rFonts w:ascii="Times New Roman" w:cs="Times New Roman" w:eastAsia="Times New Roman" w:hAnsi="Times New Roman"/>
          <w:sz w:val="17"/>
          <w:szCs w:val="17"/>
          <w:b w:val="1"/>
          <w:bCs w:val="1"/>
          <w:color w:val="auto"/>
        </w:rPr>
        <w:t>WRAP TECHNOLOGIES,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Scot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Scot Cohen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2026-10-26T15:07:25Z</dcterms:created>
  <dcterms:modified xsi:type="dcterms:W3CDTF">2026-10-26T15:07:25Z</dcterms:modified>
</cp:coreProperties>
</file>